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395440">
      <w:pPr>
        <w:ind w:left="321" w:leftChars="153" w:right="227"/>
        <w:jc w:val="center"/>
        <w:rPr>
          <w:rFonts w:eastAsia="黑体"/>
          <w:b/>
          <w:bCs/>
          <w:sz w:val="36"/>
          <w:szCs w:val="36"/>
        </w:rPr>
      </w:pPr>
      <w:bookmarkStart w:id="1" w:name="_GoBack"/>
      <w:bookmarkEnd w:id="1"/>
      <w:r>
        <w:rPr>
          <w:rFonts w:hint="eastAsia" w:eastAsia="黑体"/>
          <w:b/>
          <w:bCs/>
          <w:sz w:val="36"/>
          <w:szCs w:val="36"/>
        </w:rPr>
        <w:t>基础医学</w:t>
      </w:r>
      <w:r>
        <w:rPr>
          <w:rFonts w:eastAsia="黑体"/>
          <w:b/>
          <w:bCs/>
          <w:sz w:val="36"/>
          <w:szCs w:val="36"/>
        </w:rPr>
        <w:t>专业学术学位硕士研究生培养方案</w:t>
      </w:r>
    </w:p>
    <w:p w14:paraId="7161FCA7">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基础医学院</w:t>
      </w:r>
      <w:r>
        <w:rPr>
          <w:rFonts w:eastAsia="黑体"/>
          <w:b/>
          <w:bCs/>
          <w:sz w:val="28"/>
          <w:szCs w:val="28"/>
        </w:rPr>
        <w:t>)</w:t>
      </w:r>
    </w:p>
    <w:p w14:paraId="572697F7">
      <w:pPr>
        <w:spacing w:line="360" w:lineRule="auto"/>
        <w:ind w:firstLine="562" w:firstLineChars="200"/>
        <w:rPr>
          <w:rFonts w:eastAsia="黑体"/>
          <w:b/>
          <w:sz w:val="28"/>
          <w:szCs w:val="28"/>
        </w:rPr>
      </w:pPr>
      <w:r>
        <w:rPr>
          <w:rFonts w:eastAsia="黑体"/>
          <w:b/>
          <w:sz w:val="28"/>
          <w:szCs w:val="28"/>
        </w:rPr>
        <w:t>一、专业名称、代码</w:t>
      </w:r>
    </w:p>
    <w:p w14:paraId="7EA0BDF6">
      <w:pPr>
        <w:widowControl/>
        <w:spacing w:line="360" w:lineRule="auto"/>
        <w:ind w:firstLine="480" w:firstLineChars="200"/>
        <w:jc w:val="left"/>
        <w:rPr>
          <w:rFonts w:hint="eastAsia" w:ascii="宋体" w:hAnsi="宋体" w:cs="宋体"/>
          <w:color w:val="222222"/>
          <w:kern w:val="0"/>
          <w:sz w:val="24"/>
        </w:rPr>
      </w:pPr>
      <w:r>
        <w:rPr>
          <w:rFonts w:hint="eastAsia" w:ascii="宋体" w:hAnsi="宋体" w:cs="宋体"/>
          <w:color w:val="222222"/>
          <w:kern w:val="0"/>
          <w:sz w:val="24"/>
        </w:rPr>
        <w:t>专业名称：基础医学</w:t>
      </w:r>
    </w:p>
    <w:p w14:paraId="77A48165">
      <w:pPr>
        <w:widowControl/>
        <w:spacing w:line="360" w:lineRule="auto"/>
        <w:ind w:firstLine="480" w:firstLineChars="200"/>
        <w:jc w:val="left"/>
        <w:rPr>
          <w:color w:val="222222"/>
          <w:kern w:val="0"/>
          <w:sz w:val="18"/>
          <w:szCs w:val="18"/>
        </w:rPr>
      </w:pPr>
      <w:r>
        <w:rPr>
          <w:rFonts w:hint="eastAsia" w:ascii="宋体" w:hAnsi="宋体" w:cs="宋体"/>
          <w:color w:val="222222"/>
          <w:kern w:val="0"/>
          <w:sz w:val="24"/>
        </w:rPr>
        <w:t>专业代码：100100</w:t>
      </w:r>
    </w:p>
    <w:p w14:paraId="7D0509C8">
      <w:pPr>
        <w:spacing w:line="360" w:lineRule="auto"/>
        <w:ind w:firstLine="562" w:firstLineChars="200"/>
        <w:rPr>
          <w:rFonts w:eastAsia="黑体"/>
          <w:b/>
          <w:i/>
          <w:color w:val="FF0000"/>
          <w:sz w:val="28"/>
          <w:szCs w:val="28"/>
        </w:rPr>
      </w:pPr>
      <w:r>
        <w:rPr>
          <w:rFonts w:eastAsia="黑体"/>
          <w:b/>
          <w:sz w:val="28"/>
          <w:szCs w:val="28"/>
        </w:rPr>
        <w:t>二、</w:t>
      </w:r>
      <w:r>
        <w:rPr>
          <w:rFonts w:eastAsia="黑体"/>
          <w:b/>
          <w:color w:val="000000" w:themeColor="text1"/>
          <w:sz w:val="28"/>
          <w:szCs w:val="28"/>
          <w14:textFill>
            <w14:solidFill>
              <w14:schemeClr w14:val="tx1"/>
            </w14:solidFill>
          </w14:textFill>
        </w:rPr>
        <w:t>专业简介</w:t>
      </w:r>
    </w:p>
    <w:p w14:paraId="455534DE">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河北大学基础医学一级学科硕士学位授权点于2017年获教育部批准，并于2023年顺利通过国务院学位委员会学位授权点的专项评估，目前包括人体解剖与组织胚胎学、人体生理与病理生理学、医用生物材料学、免疫学、病原生物学、医学药理学等多个主干学科。</w:t>
      </w:r>
    </w:p>
    <w:p w14:paraId="70DA022F">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学院师资力量雄厚，拥有专任教师82人，包括“国家杰出青年基金”获得者1人，“河北省杰出青年基金”获得者1人，河北省青年拔尖人才1人，海外高层次人才1人、“河北省三三三人才”2人。博士研究生导师8人，硕士研究生导师37人。建有河北省炎性自身免疫性疾病发病机制及防治重点实验室、河北省老龄化与健康重点实验室、河北省基础医学实验教学示范中心、河北省生命健康科普基地等多个省级教学科研平台。</w:t>
      </w:r>
    </w:p>
    <w:p w14:paraId="7692C799">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学院坚持立德树人根本任务，稳步推进研究生培养高质量发展，形成了贯通培养目标、培养模式、过程监控、培养结果等人才培养全过程的质量保障体系。重视研究生思政教育，将思政教育渗透到研究生培养的各个环节。</w:t>
      </w:r>
    </w:p>
    <w:p w14:paraId="7800229A">
      <w:pPr>
        <w:spacing w:line="360" w:lineRule="auto"/>
        <w:ind w:firstLine="480" w:firstLineChars="200"/>
        <w:rPr>
          <w:rFonts w:eastAsiaTheme="minorEastAsia"/>
          <w:i/>
          <w:color w:val="FF0000"/>
          <w:sz w:val="24"/>
        </w:rPr>
      </w:pPr>
      <w:r>
        <w:rPr>
          <w:rFonts w:hint="eastAsia" w:eastAsiaTheme="minorEastAsia"/>
          <w:iCs/>
          <w:color w:val="000000" w:themeColor="text1"/>
          <w:sz w:val="24"/>
          <w14:textFill>
            <w14:solidFill>
              <w14:schemeClr w14:val="tx1"/>
            </w14:solidFill>
          </w14:textFill>
        </w:rPr>
        <w:t>特色优势：既注重自然科学基础研究，又强调为地方经济建设服务。紧密结合河北省和雄安新区建设主战场，取得了丰硕的教学科研成果，近年来，学院教师承担各级各类科研项目200余项，其中国家级14项，省部级70余项，厅局级50余项。先后获得河北省科技进步一等奖1项、二等奖4项，河北省自然科学三等奖2项，河北省科技进步三等奖1项。</w:t>
      </w:r>
    </w:p>
    <w:p w14:paraId="383C6F0C">
      <w:pPr>
        <w:spacing w:line="360" w:lineRule="auto"/>
        <w:ind w:firstLine="562" w:firstLineChars="200"/>
        <w:rPr>
          <w:rFonts w:eastAsia="黑体"/>
          <w:b/>
          <w:sz w:val="28"/>
          <w:szCs w:val="28"/>
        </w:rPr>
      </w:pPr>
      <w:r>
        <w:rPr>
          <w:rFonts w:eastAsia="黑体"/>
          <w:b/>
          <w:sz w:val="28"/>
          <w:szCs w:val="28"/>
        </w:rPr>
        <w:t>三、研究方向</w:t>
      </w:r>
    </w:p>
    <w:p w14:paraId="017CF801">
      <w:pPr>
        <w:spacing w:line="360" w:lineRule="auto"/>
        <w:ind w:firstLine="480" w:firstLineChars="200"/>
        <w:rPr>
          <w:rFonts w:hint="eastAsia" w:ascii="宋体" w:hAnsi="宋体" w:cs="宋体"/>
          <w:iCs/>
          <w:color w:val="000000" w:themeColor="text1"/>
          <w:sz w:val="24"/>
          <w14:textFill>
            <w14:solidFill>
              <w14:schemeClr w14:val="tx1"/>
            </w14:solidFill>
          </w14:textFill>
        </w:rPr>
      </w:pPr>
      <w:r>
        <w:rPr>
          <w:rFonts w:hint="eastAsia" w:ascii="宋体" w:hAnsi="宋体" w:cs="宋体"/>
          <w:iCs/>
          <w:color w:val="000000" w:themeColor="text1"/>
          <w:sz w:val="24"/>
          <w14:textFill>
            <w14:solidFill>
              <w14:schemeClr w14:val="tx1"/>
            </w14:solidFill>
          </w14:textFill>
        </w:rPr>
        <w:t>人体解剖与组织胚胎学：围绕神经-内分泌-性腺轴发育、不育不孕、流产、中枢神经系统及生殖功能退行性变等科学问题，在细胞、分子水平开展建立病理模型及疾病发生发展病理生理机制研究；并依据中医理论进行干预，研究中医理论调控的分子机制与作用靶点，揭示中医理论的科学内涵和作用的物质基础，促进中医药的发展。研究方向：（1）生殖功能障碍的病理生理机制及补肾中药干预靶点的研究；（2）神经退行性疾病病理生理及中医药作用；（3）神经系统肿瘤的分子病理学基础；（4）食源性多糖的构效关系研究。</w:t>
      </w:r>
    </w:p>
    <w:p w14:paraId="3242ED45">
      <w:pPr>
        <w:spacing w:line="360" w:lineRule="auto"/>
        <w:ind w:firstLine="480" w:firstLineChars="200"/>
        <w:rPr>
          <w:rFonts w:hint="eastAsia" w:ascii="宋体" w:hAnsi="宋体" w:cs="宋体"/>
          <w:iCs/>
          <w:sz w:val="24"/>
        </w:rPr>
      </w:pPr>
      <w:r>
        <w:rPr>
          <w:rFonts w:hint="eastAsia" w:ascii="宋体" w:hAnsi="宋体" w:cs="宋体"/>
          <w:iCs/>
          <w:sz w:val="24"/>
        </w:rPr>
        <w:t>人体生理与病理生理学：神经与心血管生理学和病理生理学、离子通道病理生理与药理学、神经与心血管疾病的防治。研究方向：（1）慢性疼痛的离子通道和分子调控机制与靶向防治策略；慢性疼痛的生物标志物、分子机制和潜在靶点；（2）听觉系统疾病的离子通道和分子调控机制与靶向防治策略；听觉系统疾病的生物标志物、分子机制和潜在靶点；听觉系统疾病的中医药防治和机制；（3）心血管的神经调控机制及运动干预；运动调节心血管疾病的生物标志物、分子机制和潜在靶点。</w:t>
      </w:r>
    </w:p>
    <w:p w14:paraId="4C953EAB">
      <w:pPr>
        <w:spacing w:line="360" w:lineRule="auto"/>
        <w:ind w:firstLine="480" w:firstLineChars="200"/>
        <w:rPr>
          <w:rFonts w:hint="eastAsia" w:ascii="宋体" w:hAnsi="宋体" w:cs="宋体"/>
          <w:iCs/>
          <w:color w:val="000000" w:themeColor="text1"/>
          <w:sz w:val="24"/>
          <w:highlight w:val="yellow"/>
          <w14:textFill>
            <w14:solidFill>
              <w14:schemeClr w14:val="tx1"/>
            </w14:solidFill>
          </w14:textFill>
        </w:rPr>
      </w:pPr>
      <w:r>
        <w:rPr>
          <w:rFonts w:hint="eastAsia" w:ascii="宋体" w:hAnsi="宋体" w:cs="宋体"/>
          <w:iCs/>
          <w:color w:val="000000" w:themeColor="text1"/>
          <w:sz w:val="24"/>
          <w14:textFill>
            <w14:solidFill>
              <w14:schemeClr w14:val="tx1"/>
            </w14:solidFill>
          </w14:textFill>
        </w:rPr>
        <w:t>医用生物材料学：纳米药物载体、基因药物递送体系、组织修复用复合材料和功能高分子荧光探针等研究。研究方向：（1）生物医用高分子材料的设计、合成及应用，药物控制释放载体的设计与合成；（2）微/纳结构材料对骨微环境细胞的调控机制，开发智能化骨缺损修复系统及精准诊疗方案；（3）基因药物递送体系构建及生物医学应用，肿瘤和骨关节炎的靶向治疗、免疫调控机制及氧化应激干预策略；（4）抗感染、抗肿瘤免疫、早期诊断功能高分子荧光探针的设计与合成。</w:t>
      </w:r>
    </w:p>
    <w:p w14:paraId="1491F9DB">
      <w:pPr>
        <w:spacing w:line="360" w:lineRule="auto"/>
        <w:ind w:firstLine="480" w:firstLineChars="200"/>
        <w:rPr>
          <w:rFonts w:hint="eastAsia" w:ascii="宋体" w:hAnsi="宋体" w:cs="宋体"/>
          <w:iCs/>
          <w:color w:val="000000" w:themeColor="text1"/>
          <w:sz w:val="24"/>
          <w14:textFill>
            <w14:solidFill>
              <w14:schemeClr w14:val="tx1"/>
            </w14:solidFill>
          </w14:textFill>
        </w:rPr>
      </w:pPr>
      <w:r>
        <w:rPr>
          <w:rFonts w:hint="eastAsia" w:ascii="宋体" w:hAnsi="宋体" w:cs="宋体"/>
          <w:iCs/>
          <w:color w:val="000000" w:themeColor="text1"/>
          <w:sz w:val="24"/>
          <w14:textFill>
            <w14:solidFill>
              <w14:schemeClr w14:val="tx1"/>
            </w14:solidFill>
          </w14:textFill>
        </w:rPr>
        <w:t>免疫学：研究免疫系统及其在维持机体健康、抵抗疾病中的重要作用的学科。研究方向：（1）天然植物小分子靶向肿瘤代谢-免疫调控网络的化学预防研究。重点研究肿瘤细胞代谢重编程对免疫细胞功能的影响；筛选可靶向代谢酶或线粒体功能的天然小分子，逆转免疫抑制；开发代谢-免疫协同的天然产物干预策略，阻断肿瘤发生发展。（2）肿瘤免疫诊疗载体方向，开发新型载体以提高免疫诊疗药物的生物利用度和靶向性。包括利用纳米技术设计智能药物载体，能够在特定的微环境条件下释放药物，增加治疗效果，减少副作用。（3）炎性自身免疫病的基础研究和应用。深入探讨细胞因子、免疫细胞功能异常等方面在自身免疫病中的作用。</w:t>
      </w:r>
    </w:p>
    <w:p w14:paraId="3F2B0C8B">
      <w:pPr>
        <w:spacing w:line="360" w:lineRule="auto"/>
        <w:ind w:firstLine="480" w:firstLineChars="200"/>
        <w:rPr>
          <w:rFonts w:hint="eastAsia" w:ascii="宋体" w:hAnsi="宋体" w:cs="宋体"/>
          <w:iCs/>
          <w:color w:val="000000" w:themeColor="text1"/>
          <w:sz w:val="24"/>
          <w14:textFill>
            <w14:solidFill>
              <w14:schemeClr w14:val="tx1"/>
            </w14:solidFill>
          </w14:textFill>
        </w:rPr>
      </w:pPr>
      <w:r>
        <w:rPr>
          <w:rFonts w:hint="eastAsia" w:ascii="宋体" w:hAnsi="宋体" w:cs="宋体"/>
          <w:iCs/>
          <w:color w:val="000000" w:themeColor="text1"/>
          <w:sz w:val="24"/>
          <w14:textFill>
            <w14:solidFill>
              <w14:schemeClr w14:val="tx1"/>
            </w14:solidFill>
          </w14:textFill>
        </w:rPr>
        <w:t>病原生物学：病原生物学学科研究涉及病原微生物形态结构特征，肠道菌群的功能，致病及耐药的分子机制和防控策略等。研究方向：（1）益生菌及其代谢产物对机体的免疫调节、平衡肠道微生态和感染治疗研究，基于肠道菌群调控治疗神经或代谢相关疾病。（2）病原菌耐药机制和流行传播特征，应用中药单体化合物、纳米技术以及基因编辑技术开发抗菌佐剂，基于光动力增敏抗菌疗效及机制研究。（3）探究细菌的毒力演化机制和代谢调控策略，解析病原菌与宿主的互作机制和免疫逃逸策略。</w:t>
      </w:r>
    </w:p>
    <w:p w14:paraId="718CFCFF">
      <w:pPr>
        <w:spacing w:line="360" w:lineRule="auto"/>
        <w:ind w:firstLine="480" w:firstLineChars="200"/>
        <w:rPr>
          <w:rFonts w:eastAsia="黑体"/>
          <w:bCs/>
          <w:sz w:val="24"/>
        </w:rPr>
      </w:pPr>
      <w:r>
        <w:rPr>
          <w:rFonts w:hint="eastAsia" w:ascii="宋体" w:hAnsi="宋体" w:cs="宋体"/>
          <w:iCs/>
          <w:color w:val="000000" w:themeColor="text1"/>
          <w:sz w:val="24"/>
          <w14:textFill>
            <w14:solidFill>
              <w14:schemeClr w14:val="tx1"/>
            </w14:solidFill>
          </w14:textFill>
        </w:rPr>
        <w:t>医学药理学：聚焦心血管系统药理学、中枢神经系统药理学与肿瘤药理学三大领域。研究方向：（1）解析药物调控脂质代谢紊乱、动脉粥样硬化及心肌重构的分子机制，建立基于炎症-氧化应激双通路干预的心血管疾病治疗新策略。（2）揭示抗生素类药物对抑郁样行为的神经可塑性影响，阐明脑肠轴通过菌群-代谢物-神经递质网络调控抑郁发生发展的多维度机制。（3）研究天然产物及合成化合物对肿瘤增殖/转移/耐药关键靶点的调控规律，构建基于类器官模型的抗肿瘤先导化合物评价体系。研究强调分子机制解析与转化医学结合。</w:t>
      </w:r>
    </w:p>
    <w:p w14:paraId="48D2ADEF">
      <w:pPr>
        <w:spacing w:line="360" w:lineRule="auto"/>
        <w:ind w:firstLine="562" w:firstLineChars="200"/>
        <w:rPr>
          <w:rFonts w:eastAsia="黑体"/>
          <w:b/>
          <w:sz w:val="28"/>
          <w:szCs w:val="28"/>
        </w:rPr>
      </w:pPr>
      <w:r>
        <w:rPr>
          <w:rFonts w:eastAsia="黑体"/>
          <w:b/>
          <w:sz w:val="28"/>
          <w:szCs w:val="28"/>
        </w:rPr>
        <w:t>四、学制及学习年限</w:t>
      </w:r>
    </w:p>
    <w:p w14:paraId="556787DC">
      <w:pPr>
        <w:spacing w:line="360" w:lineRule="auto"/>
        <w:ind w:firstLine="480" w:firstLineChars="200"/>
        <w:rPr>
          <w:rFonts w:hint="eastAsia" w:ascii="宋体" w:hAnsi="宋体" w:cs="宋体"/>
          <w:i/>
          <w:color w:val="FF0000"/>
          <w:sz w:val="24"/>
        </w:rPr>
      </w:pPr>
      <w:r>
        <w:rPr>
          <w:rFonts w:hint="eastAsia" w:ascii="宋体" w:hAnsi="宋体" w:cs="宋体"/>
          <w:color w:val="000000"/>
          <w:sz w:val="24"/>
        </w:rPr>
        <w:t>本专业学制为3年，在校最长学习年限（含休学）不超过6年。</w:t>
      </w:r>
    </w:p>
    <w:p w14:paraId="7FD3DB2F">
      <w:pPr>
        <w:spacing w:line="360" w:lineRule="auto"/>
        <w:ind w:firstLine="562" w:firstLineChars="200"/>
        <w:rPr>
          <w:rFonts w:eastAsia="黑体"/>
          <w:b/>
          <w:sz w:val="28"/>
          <w:szCs w:val="28"/>
        </w:rPr>
      </w:pPr>
      <w:r>
        <w:rPr>
          <w:rFonts w:eastAsia="黑体"/>
          <w:b/>
          <w:sz w:val="28"/>
          <w:szCs w:val="28"/>
        </w:rPr>
        <w:t>五、培养目标</w:t>
      </w:r>
    </w:p>
    <w:p w14:paraId="7D8C9939">
      <w:pPr>
        <w:spacing w:line="360" w:lineRule="auto"/>
        <w:ind w:firstLine="480" w:firstLineChars="200"/>
        <w:rPr>
          <w:rFonts w:hint="eastAsia" w:ascii="宋体" w:hAnsi="宋体" w:cs="宋体"/>
          <w:iCs/>
          <w:sz w:val="24"/>
        </w:rPr>
      </w:pPr>
      <w:r>
        <w:rPr>
          <w:rFonts w:hint="eastAsia" w:ascii="宋体" w:hAnsi="宋体" w:cs="宋体"/>
          <w:iCs/>
          <w:sz w:val="24"/>
        </w:rPr>
        <w:t>1. 树立正确的中国特色社会主义核心价值观，具有坚定的理想信念，高尚的道德情操，优良的学术作风，高度的社会责任感。</w:t>
      </w:r>
    </w:p>
    <w:p w14:paraId="15DF295A">
      <w:pPr>
        <w:spacing w:line="360" w:lineRule="auto"/>
        <w:ind w:firstLine="480" w:firstLineChars="200"/>
        <w:rPr>
          <w:rFonts w:hint="eastAsia" w:ascii="宋体" w:hAnsi="宋体" w:cs="宋体"/>
          <w:iCs/>
          <w:sz w:val="24"/>
        </w:rPr>
      </w:pPr>
      <w:r>
        <w:rPr>
          <w:rFonts w:hint="eastAsia" w:ascii="宋体" w:hAnsi="宋体" w:cs="宋体"/>
          <w:iCs/>
          <w:sz w:val="24"/>
        </w:rPr>
        <w:t xml:space="preserve">2. 系统掌握基础医学基本理论、基本知识和技能；熟悉本学科的基础理论体系、前沿科学主题和重要技术方法；对人类健康与疾病及其研究的历史和现状有较深刻的科学认识。 </w:t>
      </w:r>
    </w:p>
    <w:p w14:paraId="2D422F19">
      <w:pPr>
        <w:spacing w:line="360" w:lineRule="auto"/>
        <w:ind w:firstLine="480" w:firstLineChars="200"/>
        <w:rPr>
          <w:rFonts w:hint="eastAsia" w:ascii="宋体" w:hAnsi="宋体" w:cs="宋体"/>
          <w:iCs/>
          <w:sz w:val="24"/>
        </w:rPr>
      </w:pPr>
      <w:r>
        <w:rPr>
          <w:rFonts w:hint="eastAsia" w:ascii="宋体" w:hAnsi="宋体" w:cs="宋体"/>
          <w:iCs/>
          <w:sz w:val="24"/>
        </w:rPr>
        <w:t xml:space="preserve">3. 能深入了解和认识相关研究领域已有的成果，掌握所属研究领域的相关理论和研究方法；能理论联系实际，提炼科学问题，能独立或合作开展具有创新性的理论或应用研究；能以学术论文、研究报告或口头方式，清晰表达自己的学术观点，展现研究成果。 </w:t>
      </w:r>
    </w:p>
    <w:p w14:paraId="5F159DE8">
      <w:pPr>
        <w:spacing w:line="360" w:lineRule="auto"/>
        <w:ind w:firstLine="480" w:firstLineChars="200"/>
        <w:rPr>
          <w:rFonts w:hint="eastAsia" w:ascii="宋体" w:hAnsi="宋体" w:cs="宋体"/>
          <w:iCs/>
          <w:sz w:val="24"/>
        </w:rPr>
      </w:pPr>
      <w:r>
        <w:rPr>
          <w:rFonts w:hint="eastAsia" w:ascii="宋体" w:hAnsi="宋体" w:cs="宋体"/>
          <w:iCs/>
          <w:sz w:val="24"/>
        </w:rPr>
        <w:t>4. 至少掌握一门外国语，能熟练阅读本专业的外文资料，具有撰写学术论文和进行国际学术交流的能力。</w:t>
      </w:r>
    </w:p>
    <w:p w14:paraId="5B57C697">
      <w:pPr>
        <w:spacing w:line="360" w:lineRule="auto"/>
        <w:ind w:firstLine="480" w:firstLineChars="200"/>
        <w:rPr>
          <w:rFonts w:hint="eastAsia" w:ascii="宋体" w:hAnsi="宋体" w:cs="宋体"/>
          <w:iCs/>
          <w:sz w:val="24"/>
        </w:rPr>
      </w:pPr>
      <w:r>
        <w:rPr>
          <w:rFonts w:hint="eastAsia" w:ascii="宋体" w:hAnsi="宋体" w:cs="宋体"/>
          <w:iCs/>
          <w:sz w:val="24"/>
        </w:rPr>
        <w:t>5. 具有良好的团队意识和团队合作精神。</w:t>
      </w:r>
    </w:p>
    <w:p w14:paraId="516A6B9E">
      <w:pPr>
        <w:spacing w:line="360" w:lineRule="auto"/>
        <w:ind w:firstLine="480" w:firstLineChars="200"/>
        <w:rPr>
          <w:rFonts w:hint="eastAsia" w:ascii="宋体" w:hAnsi="宋体" w:cs="宋体"/>
          <w:iCs/>
          <w:sz w:val="24"/>
        </w:rPr>
      </w:pPr>
      <w:r>
        <w:rPr>
          <w:rFonts w:hint="eastAsia" w:ascii="宋体" w:hAnsi="宋体" w:cs="宋体"/>
          <w:iCs/>
          <w:sz w:val="24"/>
        </w:rPr>
        <w:t>6. 具有健康的身体和良好的心理素质。</w:t>
      </w:r>
    </w:p>
    <w:p w14:paraId="7AAF614A">
      <w:pPr>
        <w:spacing w:line="360" w:lineRule="auto"/>
        <w:ind w:firstLine="480" w:firstLineChars="200"/>
        <w:rPr>
          <w:rFonts w:hint="eastAsia" w:ascii="宋体" w:hAnsi="宋体" w:cs="宋体"/>
          <w:iCs/>
          <w:sz w:val="24"/>
        </w:rPr>
      </w:pPr>
      <w:r>
        <w:rPr>
          <w:rFonts w:hint="eastAsia" w:ascii="宋体" w:hAnsi="宋体" w:cs="宋体"/>
          <w:iCs/>
          <w:sz w:val="24"/>
        </w:rPr>
        <w:t>7. 具有担负本学科相当助教或助研的教学能力和科研能力。</w:t>
      </w:r>
    </w:p>
    <w:p w14:paraId="35344C5E">
      <w:pPr>
        <w:spacing w:line="360" w:lineRule="auto"/>
        <w:ind w:firstLine="480" w:firstLineChars="200"/>
        <w:rPr>
          <w:rFonts w:hint="eastAsia" w:ascii="宋体" w:hAnsi="宋体" w:cs="宋体"/>
          <w:i/>
          <w:color w:val="FF0000"/>
          <w:sz w:val="24"/>
        </w:rPr>
      </w:pPr>
      <w:r>
        <w:rPr>
          <w:rFonts w:hint="eastAsia" w:ascii="宋体" w:hAnsi="宋体" w:cs="宋体"/>
          <w:iCs/>
          <w:sz w:val="24"/>
        </w:rPr>
        <w:t>8. 培养德智体美劳全面发展的社会主义事业接班人。</w:t>
      </w:r>
    </w:p>
    <w:p w14:paraId="32628EFC">
      <w:pPr>
        <w:spacing w:line="360" w:lineRule="auto"/>
        <w:ind w:firstLine="562" w:firstLineChars="200"/>
        <w:rPr>
          <w:rFonts w:eastAsia="黑体"/>
          <w:b/>
          <w:sz w:val="28"/>
          <w:szCs w:val="28"/>
        </w:rPr>
      </w:pPr>
      <w:r>
        <w:rPr>
          <w:rFonts w:eastAsia="黑体"/>
          <w:b/>
          <w:sz w:val="28"/>
          <w:szCs w:val="28"/>
        </w:rPr>
        <w:t>六、培养方式</w:t>
      </w:r>
    </w:p>
    <w:p w14:paraId="0A14356A">
      <w:pPr>
        <w:spacing w:line="360" w:lineRule="auto"/>
        <w:ind w:firstLine="480" w:firstLineChars="200"/>
        <w:rPr>
          <w:rFonts w:hint="eastAsia" w:ascii="宋体" w:hAnsi="宋体" w:cs="宋体"/>
          <w:bCs/>
          <w:sz w:val="24"/>
        </w:rPr>
      </w:pPr>
      <w:r>
        <w:rPr>
          <w:rFonts w:hint="eastAsia" w:ascii="宋体" w:hAnsi="宋体" w:cs="宋体"/>
          <w:bCs/>
          <w:sz w:val="24"/>
        </w:rPr>
        <w:t>基础医学硕士研究生培养采取导师（组）负责培养方式。研究生导师负责指导研究生制定个人培养计划、撰写开题报告和学位论文、开展学术（科学）研究、组织学术交流。</w:t>
      </w:r>
    </w:p>
    <w:p w14:paraId="4451CB25">
      <w:pPr>
        <w:spacing w:line="360" w:lineRule="auto"/>
        <w:ind w:firstLine="562" w:firstLineChars="200"/>
        <w:rPr>
          <w:rFonts w:eastAsia="黑体"/>
          <w:b/>
          <w:sz w:val="28"/>
          <w:szCs w:val="28"/>
        </w:rPr>
      </w:pPr>
      <w:r>
        <w:rPr>
          <w:rFonts w:eastAsia="黑体"/>
          <w:b/>
          <w:sz w:val="28"/>
          <w:szCs w:val="28"/>
        </w:rPr>
        <w:t>七、中期筛选</w:t>
      </w:r>
    </w:p>
    <w:p w14:paraId="10EB27A8">
      <w:pPr>
        <w:spacing w:line="360" w:lineRule="auto"/>
        <w:ind w:firstLine="480" w:firstLineChars="200"/>
        <w:rPr>
          <w:rFonts w:hint="eastAsia" w:ascii="宋体" w:hAnsi="宋体" w:cs="宋体"/>
          <w:bCs/>
          <w:sz w:val="24"/>
        </w:rPr>
      </w:pPr>
      <w:bookmarkStart w:id="0" w:name="_Toc59002625"/>
      <w:r>
        <w:rPr>
          <w:rFonts w:hint="eastAsia" w:ascii="宋体" w:hAnsi="宋体" w:cs="宋体"/>
          <w:bCs/>
          <w:sz w:val="24"/>
        </w:rPr>
        <w:t>在完成培养方案规定的课程学习、考核成绩合格、获得规定的学分后，</w:t>
      </w:r>
      <w:bookmarkEnd w:id="0"/>
      <w:r>
        <w:rPr>
          <w:rFonts w:hint="eastAsia" w:ascii="宋体" w:hAnsi="宋体" w:cs="宋体"/>
          <w:bCs/>
          <w:sz w:val="24"/>
        </w:rPr>
        <w:t>按照《河北大学研究生中期筛选管理办法》（校政字〔2021〕15号）的相关规定，组织开展中期筛选工作。</w:t>
      </w:r>
    </w:p>
    <w:p w14:paraId="285D0A03">
      <w:pPr>
        <w:spacing w:line="360" w:lineRule="auto"/>
        <w:ind w:firstLine="562" w:firstLineChars="200"/>
        <w:rPr>
          <w:rFonts w:eastAsia="黑体"/>
          <w:b/>
          <w:sz w:val="28"/>
          <w:szCs w:val="28"/>
        </w:rPr>
      </w:pPr>
      <w:r>
        <w:rPr>
          <w:rFonts w:hint="eastAsia" w:eastAsia="黑体"/>
          <w:b/>
          <w:sz w:val="28"/>
          <w:szCs w:val="28"/>
        </w:rPr>
        <w:t>八</w:t>
      </w:r>
      <w:r>
        <w:rPr>
          <w:rFonts w:eastAsia="黑体"/>
          <w:b/>
          <w:sz w:val="28"/>
          <w:szCs w:val="28"/>
        </w:rPr>
        <w:t>、学位（毕业）论文</w:t>
      </w:r>
    </w:p>
    <w:p w14:paraId="1455CE7D">
      <w:pPr>
        <w:widowControl/>
        <w:spacing w:line="360" w:lineRule="auto"/>
        <w:ind w:firstLine="480" w:firstLineChars="200"/>
        <w:jc w:val="left"/>
        <w:rPr>
          <w:rFonts w:hint="eastAsia" w:ascii="宋体" w:hAnsi="宋体" w:cs="宋体"/>
          <w:kern w:val="0"/>
          <w:sz w:val="24"/>
        </w:rPr>
      </w:pPr>
      <w:r>
        <w:rPr>
          <w:rFonts w:hint="eastAsia" w:ascii="宋体" w:hAnsi="宋体" w:cs="宋体"/>
          <w:bCs/>
          <w:kern w:val="0"/>
          <w:sz w:val="24"/>
        </w:rPr>
        <w:t>1. 总体要求：</w:t>
      </w:r>
      <w:r>
        <w:rPr>
          <w:rFonts w:hint="eastAsia" w:ascii="宋体" w:hAnsi="宋体" w:cs="宋体"/>
          <w:kern w:val="0"/>
          <w:sz w:val="24"/>
        </w:rPr>
        <w:t>按照《河北大学关于开展2025版研究生培养方案修订工作的指导意见》（校政字</w:t>
      </w:r>
      <w:r>
        <w:rPr>
          <w:rFonts w:hint="eastAsia" w:ascii="宋体" w:hAnsi="宋体" w:cs="宋体"/>
          <w:bCs/>
          <w:sz w:val="24"/>
        </w:rPr>
        <w:t>〔2025〕9号</w:t>
      </w:r>
      <w:r>
        <w:rPr>
          <w:rFonts w:hint="eastAsia" w:ascii="宋体" w:hAnsi="宋体" w:cs="宋体"/>
          <w:kern w:val="0"/>
          <w:sz w:val="24"/>
        </w:rPr>
        <w:t>）规定，硕士研究生论文开题与答辩时间间隔原则上不少于12个月。学位（毕业）论文应当表明作者具有独立从事学术研究工作的能力，鼓励硕士研究生参与科学研究，取得创新性成果。</w:t>
      </w:r>
    </w:p>
    <w:p w14:paraId="3ADF4A22">
      <w:pPr>
        <w:widowControl/>
        <w:spacing w:line="360" w:lineRule="auto"/>
        <w:ind w:firstLine="480" w:firstLineChars="200"/>
        <w:jc w:val="left"/>
        <w:rPr>
          <w:rFonts w:hint="eastAsia" w:ascii="宋体" w:hAnsi="宋体" w:cs="宋体"/>
          <w:kern w:val="0"/>
          <w:sz w:val="24"/>
        </w:rPr>
      </w:pPr>
      <w:r>
        <w:rPr>
          <w:rFonts w:hint="eastAsia" w:ascii="宋体" w:hAnsi="宋体" w:cs="宋体"/>
          <w:bCs/>
          <w:kern w:val="0"/>
          <w:sz w:val="24"/>
        </w:rPr>
        <w:t>2. 开题：</w:t>
      </w:r>
      <w:r>
        <w:rPr>
          <w:rFonts w:hint="eastAsia" w:ascii="宋体" w:hAnsi="宋体" w:cs="宋体"/>
          <w:kern w:val="0"/>
          <w:sz w:val="24"/>
        </w:rPr>
        <w:t>开题是研究生培养过程中开展学位（毕业）论文工作的首要环节，要求研究生充分阅读国内外相关文献，</w:t>
      </w:r>
      <w:r>
        <w:rPr>
          <w:rFonts w:hint="eastAsia" w:ascii="宋体" w:hAnsi="宋体" w:cs="宋体"/>
          <w:sz w:val="24"/>
        </w:rPr>
        <w:t>在导师指导下拟定课题，</w:t>
      </w:r>
      <w:r>
        <w:rPr>
          <w:rFonts w:hint="eastAsia" w:ascii="宋体" w:hAnsi="宋体" w:cs="宋体"/>
          <w:kern w:val="0"/>
          <w:sz w:val="24"/>
        </w:rPr>
        <w:t>撰写开题报告。开题报告应包含文献综述、论文选题依据、研究方案、预期目标与成果、工作计划等关键问题。</w:t>
      </w:r>
      <w:r>
        <w:rPr>
          <w:rFonts w:hint="eastAsia" w:ascii="宋体" w:hAnsi="宋体" w:cs="宋体"/>
          <w:sz w:val="24"/>
        </w:rPr>
        <w:t>论文开题一般应在</w:t>
      </w:r>
      <w:r>
        <w:rPr>
          <w:rFonts w:hint="eastAsia" w:ascii="宋体" w:hAnsi="宋体" w:cs="宋体"/>
          <w:kern w:val="0"/>
          <w:sz w:val="24"/>
        </w:rPr>
        <w:t>入学后的</w:t>
      </w:r>
      <w:r>
        <w:rPr>
          <w:rFonts w:hint="eastAsia" w:ascii="宋体" w:hAnsi="宋体" w:cs="宋体"/>
          <w:sz w:val="24"/>
        </w:rPr>
        <w:t>第三个学期前完成。开题的具体要求见《河北大学关于硕士研究生学位论文开题报告的有关要求》。</w:t>
      </w:r>
      <w:r>
        <w:rPr>
          <w:rFonts w:hint="eastAsia" w:ascii="宋体" w:hAnsi="宋体" w:cs="宋体"/>
          <w:kern w:val="0"/>
          <w:sz w:val="24"/>
        </w:rPr>
        <w:t>开题由3-5名具有高级专业技术职务人员参加，以学术报告的方式进行。</w:t>
      </w:r>
    </w:p>
    <w:p w14:paraId="232BC116">
      <w:pPr>
        <w:widowControl/>
        <w:spacing w:line="360" w:lineRule="auto"/>
        <w:ind w:firstLine="480" w:firstLineChars="200"/>
        <w:jc w:val="left"/>
        <w:rPr>
          <w:rFonts w:hint="eastAsia" w:ascii="宋体" w:hAnsi="宋体" w:cs="宋体"/>
          <w:kern w:val="0"/>
          <w:sz w:val="24"/>
        </w:rPr>
      </w:pPr>
      <w:r>
        <w:rPr>
          <w:rFonts w:hint="eastAsia" w:ascii="宋体" w:hAnsi="宋体" w:cs="宋体"/>
          <w:bCs/>
          <w:kern w:val="0"/>
          <w:sz w:val="24"/>
        </w:rPr>
        <w:t>3.中期进展报告：</w:t>
      </w:r>
      <w:r>
        <w:rPr>
          <w:rFonts w:hint="eastAsia" w:ascii="宋体" w:hAnsi="宋体" w:cs="宋体"/>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09B2E73">
      <w:pPr>
        <w:widowControl/>
        <w:spacing w:line="360" w:lineRule="auto"/>
        <w:ind w:firstLine="480" w:firstLineChars="200"/>
        <w:jc w:val="left"/>
        <w:rPr>
          <w:rFonts w:hint="eastAsia" w:ascii="宋体" w:hAnsi="宋体" w:cs="宋体"/>
          <w:kern w:val="0"/>
          <w:sz w:val="24"/>
        </w:rPr>
      </w:pPr>
      <w:r>
        <w:rPr>
          <w:rFonts w:hint="eastAsia" w:ascii="宋体" w:hAnsi="宋体" w:cs="宋体"/>
          <w:bCs/>
          <w:kern w:val="0"/>
          <w:sz w:val="24"/>
        </w:rPr>
        <w:t>4. 学位申请：</w:t>
      </w:r>
      <w:r>
        <w:rPr>
          <w:rFonts w:hint="eastAsia" w:ascii="宋体" w:hAnsi="宋体" w:cs="宋体"/>
          <w:kern w:val="0"/>
          <w:sz w:val="24"/>
        </w:rPr>
        <w:t>达到学位授予条件的申请人，经导师同意后，应于答辩前三个月，向所属学位评定分委员会提出学位申请，提交学位申请材料。</w:t>
      </w:r>
    </w:p>
    <w:p w14:paraId="3C51DA3A">
      <w:pPr>
        <w:widowControl/>
        <w:spacing w:line="360" w:lineRule="auto"/>
        <w:ind w:firstLine="480" w:firstLineChars="200"/>
        <w:jc w:val="left"/>
        <w:rPr>
          <w:rFonts w:hint="eastAsia" w:ascii="宋体" w:hAnsi="宋体" w:cs="宋体"/>
          <w:kern w:val="0"/>
          <w:sz w:val="24"/>
        </w:rPr>
      </w:pPr>
      <w:r>
        <w:rPr>
          <w:rFonts w:hint="eastAsia" w:ascii="宋体" w:hAnsi="宋体" w:cs="宋体"/>
          <w:bCs/>
          <w:kern w:val="0"/>
          <w:sz w:val="24"/>
        </w:rPr>
        <w:t>5. 预答辩：</w:t>
      </w:r>
      <w:r>
        <w:rPr>
          <w:rFonts w:hint="eastAsia" w:ascii="宋体" w:hAnsi="宋体" w:cs="宋体"/>
          <w:kern w:val="0"/>
          <w:sz w:val="24"/>
        </w:rPr>
        <w:t>学位申请人须进行学位论文预答辩。预答辩通过者，方可进入学位论文评阅、学位论文答辩等环节。学位（毕业）论文预答辩在正式答辩前3个月进行。</w:t>
      </w:r>
    </w:p>
    <w:p w14:paraId="2B2DC4DA">
      <w:pPr>
        <w:widowControl/>
        <w:spacing w:line="360" w:lineRule="auto"/>
        <w:ind w:firstLine="480" w:firstLineChars="200"/>
        <w:jc w:val="left"/>
        <w:rPr>
          <w:rFonts w:hint="eastAsia" w:ascii="宋体" w:hAnsi="宋体" w:cs="宋体"/>
          <w:kern w:val="0"/>
          <w:sz w:val="24"/>
        </w:rPr>
      </w:pPr>
      <w:r>
        <w:rPr>
          <w:rFonts w:hint="eastAsia" w:ascii="宋体" w:hAnsi="宋体" w:cs="宋体"/>
          <w:bCs/>
          <w:kern w:val="0"/>
          <w:sz w:val="24"/>
        </w:rPr>
        <w:t>6. 论文评阅：</w:t>
      </w:r>
      <w:r>
        <w:rPr>
          <w:rFonts w:hint="eastAsia" w:ascii="宋体" w:hAnsi="宋体" w:cs="宋体"/>
          <w:kern w:val="0"/>
          <w:sz w:val="24"/>
        </w:rPr>
        <w:t>学位（毕业）论文在获得导师组认可，经培养单位形式审查合格，并通过预答辩，方可提出进入评阅程序的申请。论文评阅在正式答辩前40天由研究生提出，由学院依据相关规定进行匿名评审。评阅结果及异议处理按照《河北大学研究生学位论文或者实践成果评审管理办法》（校政字〔2025〕8号）执行。</w:t>
      </w:r>
    </w:p>
    <w:p w14:paraId="15E5BA9C">
      <w:pPr>
        <w:widowControl/>
        <w:spacing w:line="360" w:lineRule="auto"/>
        <w:ind w:firstLine="480" w:firstLineChars="200"/>
        <w:jc w:val="left"/>
        <w:rPr>
          <w:rFonts w:hint="eastAsia" w:ascii="宋体" w:hAnsi="宋体" w:cs="宋体"/>
          <w:sz w:val="24"/>
        </w:rPr>
      </w:pPr>
      <w:r>
        <w:rPr>
          <w:rFonts w:hint="eastAsia" w:ascii="宋体" w:hAnsi="宋体" w:cs="宋体"/>
          <w:bCs/>
          <w:kern w:val="0"/>
          <w:sz w:val="24"/>
        </w:rPr>
        <w:t>7. 答辩：学位（毕业）论文答辩按照</w:t>
      </w:r>
      <w:r>
        <w:rPr>
          <w:rFonts w:hint="eastAsia" w:ascii="宋体" w:hAnsi="宋体" w:cs="宋体"/>
          <w:kern w:val="0"/>
          <w:sz w:val="24"/>
        </w:rPr>
        <w:t>《河北大学博士、硕士学位授予工作实施细则》（校政字〔2025〕7号）执行。</w:t>
      </w:r>
    </w:p>
    <w:p w14:paraId="2934BD3A">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674C29A4">
      <w:pPr>
        <w:spacing w:line="360" w:lineRule="auto"/>
        <w:ind w:firstLine="480" w:firstLineChars="200"/>
        <w:rPr>
          <w:rFonts w:hint="eastAsia" w:ascii="宋体" w:hAnsi="宋体" w:cs="宋体"/>
          <w:bCs/>
          <w:sz w:val="24"/>
        </w:rPr>
      </w:pPr>
      <w:r>
        <w:rPr>
          <w:rFonts w:hint="eastAsia" w:ascii="宋体" w:hAnsi="宋体" w:cs="宋体"/>
          <w:bCs/>
          <w:sz w:val="24"/>
        </w:rPr>
        <w:t>1. 课程学习。研究生在规定修业年限内完成培养方案规定的课程学习，考核成绩合格，获得规定的学分。</w:t>
      </w:r>
    </w:p>
    <w:p w14:paraId="6FE67508">
      <w:pPr>
        <w:spacing w:line="360" w:lineRule="auto"/>
        <w:ind w:firstLine="480" w:firstLineChars="200"/>
        <w:rPr>
          <w:rFonts w:hint="eastAsia" w:ascii="宋体" w:hAnsi="宋体" w:cs="宋体"/>
          <w:color w:val="000000"/>
          <w:sz w:val="24"/>
        </w:rPr>
      </w:pPr>
      <w:r>
        <w:rPr>
          <w:rFonts w:hint="eastAsia" w:ascii="宋体" w:hAnsi="宋体" w:cs="宋体"/>
          <w:bCs/>
          <w:sz w:val="24"/>
        </w:rPr>
        <w:t>2. 学术活动。研究生</w:t>
      </w:r>
      <w:r>
        <w:rPr>
          <w:rFonts w:hint="eastAsia" w:ascii="宋体" w:hAnsi="宋体" w:cs="宋体"/>
          <w:color w:val="000000"/>
          <w:sz w:val="24"/>
        </w:rPr>
        <w:t>在读期间参加不少于10次学术活动，并撰写学术报告小结；以主讲人或宣讲人身份，参加在校内外举行的学术报告或学术讲座不少于1次。</w:t>
      </w:r>
    </w:p>
    <w:p w14:paraId="7724A8CB">
      <w:pPr>
        <w:spacing w:line="360" w:lineRule="auto"/>
        <w:ind w:firstLine="480" w:firstLineChars="200"/>
        <w:rPr>
          <w:rFonts w:hint="eastAsia" w:ascii="宋体" w:hAnsi="宋体" w:cs="宋体"/>
          <w:bCs/>
          <w:sz w:val="24"/>
        </w:rPr>
      </w:pPr>
      <w:r>
        <w:rPr>
          <w:rFonts w:hint="eastAsia" w:ascii="宋体" w:hAnsi="宋体" w:cs="宋体"/>
          <w:color w:val="000000"/>
          <w:sz w:val="24"/>
        </w:rPr>
        <w:t>3. 符合提前毕业条件的研究生，可按照学校相关规定</w:t>
      </w:r>
      <w:r>
        <w:rPr>
          <w:rFonts w:hint="eastAsia" w:ascii="宋体" w:hAnsi="宋体" w:cs="宋体"/>
          <w:bCs/>
          <w:sz w:val="24"/>
        </w:rPr>
        <w:t>申请</w:t>
      </w:r>
      <w:r>
        <w:rPr>
          <w:rFonts w:hint="eastAsia" w:ascii="宋体" w:hAnsi="宋体" w:cs="宋体"/>
          <w:color w:val="000000"/>
          <w:sz w:val="24"/>
        </w:rPr>
        <w:t>提前毕业。</w:t>
      </w:r>
    </w:p>
    <w:p w14:paraId="546C5B5F">
      <w:pPr>
        <w:spacing w:line="360" w:lineRule="auto"/>
        <w:ind w:firstLine="480" w:firstLineChars="200"/>
        <w:rPr>
          <w:rFonts w:hint="eastAsia" w:ascii="宋体" w:hAnsi="宋体" w:cs="宋体"/>
          <w:bCs/>
          <w:sz w:val="24"/>
        </w:rPr>
      </w:pPr>
      <w:r>
        <w:rPr>
          <w:rFonts w:hint="eastAsia" w:ascii="宋体" w:hAnsi="宋体" w:cs="宋体"/>
          <w:bCs/>
          <w:sz w:val="24"/>
        </w:rPr>
        <w:t>4. 论文答辩。学位（毕业）论文经专家评审合格、通过学位（毕业）答辩，符合毕业资格审查后，准予毕业。</w:t>
      </w:r>
    </w:p>
    <w:p w14:paraId="5BFA2D71">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27AE3167">
      <w:pPr>
        <w:spacing w:line="360" w:lineRule="auto"/>
        <w:ind w:firstLine="480" w:firstLineChars="200"/>
        <w:rPr>
          <w:rFonts w:hint="eastAsia" w:ascii="宋体" w:hAnsi="宋体" w:cs="宋体"/>
          <w:bCs/>
          <w:sz w:val="24"/>
        </w:rPr>
      </w:pPr>
      <w:r>
        <w:rPr>
          <w:rFonts w:hint="eastAsia" w:ascii="宋体" w:hAnsi="宋体" w:cs="宋体"/>
          <w:bCs/>
          <w:sz w:val="24"/>
        </w:rPr>
        <w:t>创新性成果依照《河北大学基础医学院关于研究生申请学位取得创新性成果的规定》（院科字〔2023〕3号）执行。</w:t>
      </w:r>
    </w:p>
    <w:p w14:paraId="60A9FEBA">
      <w:pPr>
        <w:spacing w:line="360" w:lineRule="auto"/>
        <w:ind w:firstLine="480" w:firstLineChars="200"/>
        <w:rPr>
          <w:rFonts w:hint="eastAsia" w:ascii="宋体" w:hAnsi="宋体" w:cs="宋体"/>
          <w:bCs/>
          <w:sz w:val="24"/>
        </w:rPr>
      </w:pPr>
      <w:r>
        <w:rPr>
          <w:rFonts w:hint="eastAsia" w:ascii="宋体" w:hAnsi="宋体" w:cs="宋体"/>
          <w:bCs/>
          <w:sz w:val="24"/>
        </w:rPr>
        <w:t>申请硕士学位的创新性成果应符合以下条件之一，取得的创新成果第一署名单位或通讯作者单位为河北大学基础医学院。</w:t>
      </w:r>
    </w:p>
    <w:p w14:paraId="749E1C41">
      <w:pPr>
        <w:numPr>
          <w:ilvl w:val="0"/>
          <w:numId w:val="1"/>
        </w:numPr>
        <w:spacing w:line="360" w:lineRule="auto"/>
        <w:ind w:firstLine="480" w:firstLineChars="200"/>
        <w:rPr>
          <w:rFonts w:hint="eastAsia" w:ascii="宋体" w:hAnsi="宋体" w:cs="宋体"/>
          <w:bCs/>
          <w:sz w:val="24"/>
        </w:rPr>
      </w:pPr>
      <w:r>
        <w:rPr>
          <w:rFonts w:hint="eastAsia" w:ascii="宋体" w:hAnsi="宋体" w:cs="宋体"/>
          <w:bCs/>
          <w:sz w:val="24"/>
        </w:rPr>
        <w:t>硕士研究生在攻读学位期间，原则上至少应有1篇学术论文在省级及以上刊物发表。研究生发表的学术论文，研究生本人应为第一作者。如果是SCI、EI收录的学术论文，导师为第一作者或通讯作者，研究生可为第一作者、第二作者。如果是中国科学院分区二区及以上期刊上收录的学术论文，导师为第一作者或通讯作者，研究生可为第一作者、第二作者、第三作者。不包含学术会议报道、会议综述、译文、随笔等。</w:t>
      </w:r>
    </w:p>
    <w:p w14:paraId="70AEDF06">
      <w:pPr>
        <w:numPr>
          <w:ilvl w:val="0"/>
          <w:numId w:val="1"/>
        </w:numPr>
        <w:spacing w:line="360" w:lineRule="auto"/>
        <w:ind w:firstLine="480" w:firstLineChars="200"/>
        <w:rPr>
          <w:rFonts w:hint="eastAsia" w:ascii="宋体" w:hAnsi="宋体" w:cs="宋体"/>
          <w:bCs/>
          <w:sz w:val="24"/>
        </w:rPr>
      </w:pPr>
      <w:r>
        <w:rPr>
          <w:rFonts w:hint="eastAsia" w:ascii="宋体" w:hAnsi="宋体" w:cs="宋体"/>
          <w:bCs/>
          <w:sz w:val="24"/>
        </w:rPr>
        <w:t>在校定一类出版社（自然科学类）出版学术专著；本人为第一作者，或导师为第一作者，本人为第二作者。</w:t>
      </w:r>
    </w:p>
    <w:p w14:paraId="7FAEDB4B">
      <w:pPr>
        <w:numPr>
          <w:ilvl w:val="0"/>
          <w:numId w:val="1"/>
        </w:numPr>
        <w:spacing w:line="360" w:lineRule="auto"/>
        <w:ind w:firstLine="480" w:firstLineChars="200"/>
        <w:rPr>
          <w:rFonts w:hint="eastAsia" w:ascii="宋体" w:hAnsi="宋体" w:cs="宋体"/>
          <w:bCs/>
          <w:sz w:val="24"/>
        </w:rPr>
      </w:pPr>
      <w:r>
        <w:rPr>
          <w:rFonts w:hint="eastAsia" w:ascii="宋体" w:hAnsi="宋体" w:cs="宋体"/>
          <w:bCs/>
          <w:sz w:val="24"/>
        </w:rPr>
        <w:t>获得知识产权发明专利授权，本人为第一发明人，或导师为第一发明人，本人为第二发明人，或获得知识产权实用新型专利授权，本人为第一发明人。</w:t>
      </w:r>
    </w:p>
    <w:p w14:paraId="721FBEA9">
      <w:pPr>
        <w:spacing w:line="360" w:lineRule="auto"/>
        <w:ind w:firstLine="560" w:firstLineChars="200"/>
        <w:rPr>
          <w:rFonts w:eastAsia="黑体"/>
          <w:bCs/>
          <w:sz w:val="28"/>
          <w:szCs w:val="28"/>
        </w:rPr>
      </w:pPr>
      <w:r>
        <w:rPr>
          <w:rFonts w:eastAsia="黑体"/>
          <w:bCs/>
          <w:sz w:val="28"/>
          <w:szCs w:val="28"/>
        </w:rPr>
        <w:t>十一、学位授予</w:t>
      </w:r>
    </w:p>
    <w:p w14:paraId="46E24152">
      <w:pPr>
        <w:spacing w:line="360" w:lineRule="auto"/>
        <w:ind w:firstLine="480" w:firstLineChars="200"/>
        <w:rPr>
          <w:rFonts w:hint="eastAsia" w:ascii="宋体" w:hAnsi="宋体" w:cs="宋体"/>
          <w:bCs/>
          <w:sz w:val="24"/>
        </w:rPr>
      </w:pPr>
      <w:r>
        <w:rPr>
          <w:rFonts w:hint="eastAsia" w:ascii="宋体" w:hAnsi="宋体" w:cs="宋体"/>
          <w:bCs/>
          <w:color w:val="000000" w:themeColor="text1"/>
          <w:sz w:val="24"/>
          <w14:textFill>
            <w14:solidFill>
              <w14:schemeClr w14:val="tx1"/>
            </w14:solidFill>
          </w14:textFill>
        </w:rPr>
        <w:t>研究生通过毕业资格审查，</w:t>
      </w:r>
      <w:r>
        <w:rPr>
          <w:rFonts w:hint="eastAsia" w:ascii="宋体" w:hAnsi="宋体" w:cs="宋体"/>
          <w:color w:val="222222"/>
          <w:kern w:val="0"/>
          <w:sz w:val="24"/>
        </w:rPr>
        <w:t>满足学院制定的创新性成果要求，</w:t>
      </w:r>
      <w:r>
        <w:rPr>
          <w:rFonts w:hint="eastAsia" w:ascii="宋体" w:hAnsi="宋体" w:cs="宋体"/>
          <w:bCs/>
          <w:sz w:val="24"/>
        </w:rPr>
        <w:t>符合</w:t>
      </w:r>
      <w:r>
        <w:rPr>
          <w:rFonts w:hint="eastAsia" w:ascii="宋体" w:hAnsi="宋体" w:cs="宋体"/>
          <w:color w:val="222222"/>
          <w:kern w:val="0"/>
          <w:sz w:val="24"/>
        </w:rPr>
        <w:t>《河北大学博士、硕士学位授予工作实施细则》（校政字〔2025〕7号）</w:t>
      </w:r>
      <w:r>
        <w:rPr>
          <w:rFonts w:hint="eastAsia" w:ascii="宋体" w:hAnsi="宋体" w:cs="宋体"/>
          <w:bCs/>
          <w:sz w:val="24"/>
        </w:rPr>
        <w:t>的有关规定，达到学校学位授予标准，经学校学位评定委员会审议，授予硕士学位。</w:t>
      </w:r>
    </w:p>
    <w:p w14:paraId="70F0BE3A">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5EBEB64C">
      <w:pPr>
        <w:spacing w:line="360" w:lineRule="auto"/>
        <w:ind w:firstLine="480" w:firstLineChars="200"/>
        <w:rPr>
          <w:rFonts w:hint="eastAsia" w:ascii="宋体" w:hAnsi="宋体" w:cs="宋体"/>
          <w:sz w:val="24"/>
        </w:rPr>
      </w:pPr>
      <w:r>
        <w:rPr>
          <w:rFonts w:hint="eastAsia" w:ascii="宋体" w:hAnsi="宋体" w:cs="宋体"/>
          <w:sz w:val="24"/>
        </w:rPr>
        <w:t>本专业最低毕业学分为24分，其中学位课14学分，非学位课10学分，必修环节0-2分。</w:t>
      </w:r>
    </w:p>
    <w:p w14:paraId="55646BEE">
      <w:pPr>
        <w:spacing w:line="360" w:lineRule="auto"/>
        <w:ind w:firstLine="480" w:firstLineChars="200"/>
        <w:rPr>
          <w:rFonts w:hint="eastAsia" w:ascii="宋体" w:hAnsi="宋体" w:cs="宋体"/>
          <w:sz w:val="24"/>
        </w:rPr>
      </w:pPr>
      <w:r>
        <w:rPr>
          <w:rFonts w:hint="eastAsia" w:ascii="宋体" w:hAnsi="宋体" w:cs="宋体"/>
          <w:sz w:val="24"/>
        </w:rPr>
        <w:t>课程考试不设补考环节，考试成绩低于60分的需重修。</w:t>
      </w:r>
    </w:p>
    <w:p w14:paraId="088D8000">
      <w:pPr>
        <w:spacing w:line="360" w:lineRule="auto"/>
        <w:ind w:firstLine="480" w:firstLineChars="200"/>
        <w:rPr>
          <w:rFonts w:eastAsiaTheme="minorEastAsia"/>
          <w:b/>
          <w:bCs/>
          <w:sz w:val="24"/>
        </w:rPr>
      </w:pPr>
      <w:r>
        <w:rPr>
          <w:rFonts w:hint="eastAsia" w:ascii="宋体" w:hAnsi="宋体" w:cs="宋体"/>
          <w:iCs/>
          <w:sz w:val="24"/>
        </w:rPr>
        <w:t>课程考核方式包括考试和考查，可以采用口试、笔试或写读书报告、论文的形式，但应有一定数量的笔试。考核方式需均能真实反映学生对所学课程掌握的程度及运用知识的能力，成绩均按百分制成绩评定。</w:t>
      </w:r>
    </w:p>
    <w:p w14:paraId="3774411D">
      <w:pPr>
        <w:spacing w:after="156" w:afterLines="50" w:line="440" w:lineRule="exact"/>
        <w:ind w:firstLine="482" w:firstLineChars="200"/>
        <w:jc w:val="center"/>
        <w:rPr>
          <w:rFonts w:eastAsiaTheme="minorEastAsia"/>
          <w:b/>
          <w:bCs/>
          <w:sz w:val="24"/>
        </w:rPr>
      </w:pPr>
    </w:p>
    <w:p w14:paraId="01F2C975">
      <w:pPr>
        <w:spacing w:after="156" w:afterLines="50" w:line="440" w:lineRule="exact"/>
        <w:ind w:firstLine="482" w:firstLineChars="200"/>
        <w:jc w:val="center"/>
        <w:rPr>
          <w:rFonts w:eastAsiaTheme="minorEastAsia"/>
          <w:b/>
          <w:bCs/>
          <w:sz w:val="24"/>
        </w:rPr>
      </w:pPr>
    </w:p>
    <w:p w14:paraId="5A2751C3">
      <w:pPr>
        <w:spacing w:after="156" w:afterLines="50" w:line="440" w:lineRule="exact"/>
        <w:ind w:firstLine="482" w:firstLineChars="200"/>
        <w:jc w:val="center"/>
        <w:rPr>
          <w:rFonts w:eastAsiaTheme="minorEastAsia"/>
          <w:b/>
          <w:bCs/>
          <w:sz w:val="24"/>
        </w:rPr>
      </w:pPr>
    </w:p>
    <w:p w14:paraId="317891E4">
      <w:pPr>
        <w:spacing w:after="156" w:afterLines="50" w:line="440" w:lineRule="exact"/>
        <w:ind w:firstLine="482" w:firstLineChars="200"/>
        <w:jc w:val="center"/>
        <w:rPr>
          <w:rFonts w:eastAsiaTheme="minorEastAsia"/>
          <w:b/>
          <w:bCs/>
          <w:sz w:val="24"/>
        </w:rPr>
      </w:pPr>
    </w:p>
    <w:p w14:paraId="79819F75">
      <w:pPr>
        <w:spacing w:after="156" w:afterLines="50" w:line="440" w:lineRule="exact"/>
        <w:ind w:firstLine="482" w:firstLineChars="200"/>
        <w:jc w:val="center"/>
        <w:rPr>
          <w:rFonts w:eastAsiaTheme="minorEastAsia"/>
          <w:b/>
          <w:bCs/>
          <w:sz w:val="24"/>
        </w:rPr>
      </w:pPr>
    </w:p>
    <w:p w14:paraId="7CCF3E37">
      <w:pPr>
        <w:spacing w:after="156" w:afterLines="50" w:line="440" w:lineRule="exact"/>
        <w:ind w:firstLine="482" w:firstLineChars="200"/>
        <w:jc w:val="center"/>
        <w:rPr>
          <w:rFonts w:eastAsiaTheme="minorEastAsia"/>
          <w:b/>
          <w:bCs/>
          <w:sz w:val="24"/>
        </w:rPr>
      </w:pPr>
    </w:p>
    <w:p w14:paraId="3592C7C8">
      <w:pPr>
        <w:spacing w:after="156" w:afterLines="50" w:line="440" w:lineRule="exact"/>
        <w:ind w:firstLine="482" w:firstLineChars="200"/>
        <w:jc w:val="center"/>
        <w:rPr>
          <w:rFonts w:eastAsiaTheme="minorEastAsia"/>
          <w:b/>
          <w:bCs/>
          <w:sz w:val="24"/>
        </w:rPr>
      </w:pPr>
    </w:p>
    <w:p w14:paraId="5B070A9D">
      <w:pPr>
        <w:spacing w:after="156" w:afterLines="50" w:line="440" w:lineRule="exact"/>
        <w:ind w:firstLine="482" w:firstLineChars="200"/>
        <w:jc w:val="center"/>
        <w:rPr>
          <w:rFonts w:eastAsiaTheme="minorEastAsia"/>
          <w:b/>
          <w:bCs/>
          <w:sz w:val="24"/>
        </w:rPr>
      </w:pPr>
    </w:p>
    <w:p w14:paraId="382F0366">
      <w:pPr>
        <w:spacing w:after="156" w:afterLines="50" w:line="440" w:lineRule="exact"/>
        <w:ind w:firstLine="482" w:firstLineChars="200"/>
        <w:jc w:val="center"/>
        <w:rPr>
          <w:rFonts w:eastAsiaTheme="minorEastAsia"/>
          <w:b/>
          <w:bCs/>
          <w:sz w:val="24"/>
        </w:rPr>
      </w:pPr>
    </w:p>
    <w:p w14:paraId="7EA23C23">
      <w:pPr>
        <w:spacing w:after="156" w:afterLines="50" w:line="440" w:lineRule="exact"/>
        <w:ind w:firstLine="482" w:firstLineChars="200"/>
        <w:jc w:val="center"/>
        <w:rPr>
          <w:rFonts w:eastAsiaTheme="minorEastAsia"/>
          <w:b/>
          <w:bCs/>
          <w:sz w:val="24"/>
        </w:rPr>
      </w:pPr>
    </w:p>
    <w:p w14:paraId="30EA13FC">
      <w:pPr>
        <w:spacing w:after="156" w:afterLines="50" w:line="440" w:lineRule="exact"/>
        <w:ind w:firstLine="482" w:firstLineChars="200"/>
        <w:jc w:val="center"/>
        <w:rPr>
          <w:rFonts w:eastAsiaTheme="minorEastAsia"/>
          <w:b/>
          <w:bCs/>
          <w:sz w:val="24"/>
        </w:rPr>
      </w:pPr>
    </w:p>
    <w:p w14:paraId="1F0D7B66">
      <w:pPr>
        <w:spacing w:after="156" w:afterLines="50" w:line="440" w:lineRule="exact"/>
        <w:ind w:firstLine="482" w:firstLineChars="200"/>
        <w:jc w:val="center"/>
        <w:rPr>
          <w:rFonts w:eastAsiaTheme="minorEastAsia"/>
          <w:b/>
          <w:bCs/>
          <w:sz w:val="24"/>
        </w:rPr>
      </w:pPr>
    </w:p>
    <w:p w14:paraId="6343AB27">
      <w:pPr>
        <w:spacing w:after="156" w:afterLines="50" w:line="440" w:lineRule="exact"/>
        <w:ind w:firstLine="482" w:firstLineChars="200"/>
        <w:jc w:val="center"/>
        <w:rPr>
          <w:rFonts w:eastAsiaTheme="minorEastAsia"/>
          <w:b/>
          <w:bCs/>
          <w:sz w:val="24"/>
        </w:rPr>
      </w:pPr>
    </w:p>
    <w:p w14:paraId="3609F2BA">
      <w:pPr>
        <w:spacing w:after="156" w:afterLines="50" w:line="440" w:lineRule="exact"/>
        <w:ind w:firstLine="482" w:firstLineChars="200"/>
        <w:jc w:val="center"/>
        <w:rPr>
          <w:rFonts w:eastAsiaTheme="minorEastAsia"/>
          <w:b/>
          <w:bCs/>
          <w:sz w:val="24"/>
        </w:rPr>
      </w:pPr>
    </w:p>
    <w:p w14:paraId="36B19134">
      <w:pPr>
        <w:spacing w:after="156" w:afterLines="50" w:line="440" w:lineRule="exact"/>
        <w:ind w:firstLine="482" w:firstLineChars="200"/>
        <w:jc w:val="center"/>
        <w:rPr>
          <w:rFonts w:eastAsiaTheme="minorEastAsia"/>
          <w:b/>
          <w:bCs/>
          <w:sz w:val="24"/>
        </w:rPr>
      </w:pPr>
    </w:p>
    <w:p w14:paraId="551C443E">
      <w:pPr>
        <w:spacing w:after="156" w:afterLines="50" w:line="440" w:lineRule="exact"/>
        <w:ind w:firstLine="482" w:firstLineChars="200"/>
        <w:jc w:val="center"/>
        <w:rPr>
          <w:rFonts w:eastAsiaTheme="minorEastAsia"/>
          <w:b/>
          <w:bCs/>
          <w:sz w:val="24"/>
        </w:rPr>
      </w:pPr>
    </w:p>
    <w:p w14:paraId="3872DBE3">
      <w:pPr>
        <w:spacing w:after="156" w:afterLines="50" w:line="440" w:lineRule="exact"/>
        <w:ind w:firstLine="482" w:firstLineChars="200"/>
        <w:jc w:val="center"/>
        <w:rPr>
          <w:rFonts w:eastAsiaTheme="minorEastAsia"/>
          <w:b/>
          <w:bCs/>
          <w:sz w:val="24"/>
        </w:rPr>
      </w:pPr>
    </w:p>
    <w:p w14:paraId="296A5361">
      <w:pPr>
        <w:spacing w:after="156" w:afterLines="50" w:line="440" w:lineRule="exact"/>
        <w:ind w:firstLine="482" w:firstLineChars="200"/>
        <w:jc w:val="center"/>
        <w:rPr>
          <w:rFonts w:eastAsiaTheme="minorEastAsia"/>
          <w:b/>
          <w:bCs/>
          <w:sz w:val="24"/>
        </w:rPr>
      </w:pPr>
    </w:p>
    <w:p w14:paraId="6F0D87C1">
      <w:pPr>
        <w:spacing w:after="156" w:afterLines="50" w:line="440" w:lineRule="exact"/>
        <w:ind w:firstLine="482" w:firstLineChars="200"/>
        <w:jc w:val="center"/>
        <w:rPr>
          <w:rFonts w:eastAsiaTheme="minorEastAsia"/>
          <w:b/>
          <w:bCs/>
          <w:sz w:val="24"/>
        </w:rPr>
      </w:pPr>
    </w:p>
    <w:p w14:paraId="751DD6F2">
      <w:pPr>
        <w:spacing w:after="156" w:afterLines="50" w:line="440" w:lineRule="exact"/>
        <w:ind w:firstLine="482" w:firstLineChars="200"/>
        <w:jc w:val="center"/>
        <w:rPr>
          <w:rFonts w:eastAsiaTheme="minorEastAsia"/>
          <w:b/>
          <w:bCs/>
          <w:sz w:val="24"/>
        </w:rPr>
      </w:pPr>
    </w:p>
    <w:p w14:paraId="14CBE80B">
      <w:pPr>
        <w:spacing w:after="156" w:afterLines="50" w:line="440" w:lineRule="exact"/>
        <w:ind w:firstLine="482" w:firstLineChars="200"/>
        <w:jc w:val="center"/>
        <w:rPr>
          <w:rFonts w:eastAsiaTheme="minorEastAsia"/>
          <w:b/>
          <w:bCs/>
          <w:sz w:val="24"/>
        </w:rPr>
      </w:pPr>
    </w:p>
    <w:p w14:paraId="6D91B7A6">
      <w:pPr>
        <w:spacing w:after="156" w:afterLines="50" w:line="440" w:lineRule="exact"/>
        <w:ind w:firstLine="482" w:firstLineChars="200"/>
        <w:jc w:val="center"/>
        <w:rPr>
          <w:rFonts w:eastAsiaTheme="minorEastAsia"/>
          <w:b/>
          <w:bCs/>
          <w:sz w:val="24"/>
        </w:rPr>
      </w:pPr>
    </w:p>
    <w:p w14:paraId="0A3F4A5A">
      <w:pPr>
        <w:spacing w:after="156" w:afterLines="50" w:line="440" w:lineRule="exact"/>
        <w:ind w:firstLine="482" w:firstLineChars="200"/>
        <w:jc w:val="center"/>
        <w:rPr>
          <w:rFonts w:eastAsiaTheme="minorEastAsia"/>
          <w:b/>
          <w:bCs/>
          <w:sz w:val="24"/>
        </w:rPr>
      </w:pPr>
      <w:r>
        <w:rPr>
          <w:rFonts w:hint="eastAsia" w:eastAsiaTheme="minorEastAsia"/>
          <w:b/>
          <w:bCs/>
          <w:sz w:val="24"/>
        </w:rPr>
        <w:t>基础医学</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291"/>
        <w:gridCol w:w="1306"/>
        <w:gridCol w:w="709"/>
        <w:gridCol w:w="709"/>
        <w:gridCol w:w="1045"/>
      </w:tblGrid>
      <w:tr w14:paraId="22867D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91419A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291" w:type="dxa"/>
            <w:vAlign w:val="center"/>
          </w:tcPr>
          <w:p w14:paraId="532966B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306" w:type="dxa"/>
            <w:vAlign w:val="center"/>
          </w:tcPr>
          <w:p w14:paraId="7656AA7C">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75D74ABC">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5F5AF98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40233A7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4B1216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restart"/>
            <w:vAlign w:val="center"/>
          </w:tcPr>
          <w:p w14:paraId="1C97353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6FE1661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35160B1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291" w:type="dxa"/>
            <w:vAlign w:val="center"/>
          </w:tcPr>
          <w:p w14:paraId="29B38A7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306" w:type="dxa"/>
            <w:vAlign w:val="center"/>
          </w:tcPr>
          <w:p w14:paraId="67D45B7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58C5A25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30F1FA1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E13077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41917A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100672DE">
            <w:pPr>
              <w:jc w:val="center"/>
              <w:rPr>
                <w:b/>
                <w:color w:val="000000" w:themeColor="text1"/>
                <w:sz w:val="18"/>
                <w:szCs w:val="18"/>
                <w14:textFill>
                  <w14:solidFill>
                    <w14:schemeClr w14:val="tx1"/>
                  </w14:solidFill>
                </w14:textFill>
              </w:rPr>
            </w:pPr>
          </w:p>
        </w:tc>
        <w:tc>
          <w:tcPr>
            <w:tcW w:w="1226" w:type="dxa"/>
            <w:vMerge w:val="continue"/>
            <w:vAlign w:val="center"/>
          </w:tcPr>
          <w:p w14:paraId="62717049">
            <w:pPr>
              <w:jc w:val="center"/>
              <w:rPr>
                <w:b/>
                <w:color w:val="000000" w:themeColor="text1"/>
                <w:sz w:val="18"/>
                <w:szCs w:val="18"/>
                <w14:textFill>
                  <w14:solidFill>
                    <w14:schemeClr w14:val="tx1"/>
                  </w14:solidFill>
                </w14:textFill>
              </w:rPr>
            </w:pPr>
          </w:p>
        </w:tc>
        <w:tc>
          <w:tcPr>
            <w:tcW w:w="3291" w:type="dxa"/>
            <w:vAlign w:val="center"/>
          </w:tcPr>
          <w:p w14:paraId="34ED7EDB">
            <w:pPr>
              <w:rPr>
                <w:sz w:val="18"/>
                <w:szCs w:val="18"/>
              </w:rPr>
            </w:pPr>
            <w:r>
              <w:rPr>
                <w:sz w:val="18"/>
                <w:szCs w:val="18"/>
              </w:rPr>
              <w:t>通用学术英语</w:t>
            </w:r>
          </w:p>
        </w:tc>
        <w:tc>
          <w:tcPr>
            <w:tcW w:w="1306" w:type="dxa"/>
            <w:vAlign w:val="center"/>
          </w:tcPr>
          <w:p w14:paraId="16286556">
            <w:pPr>
              <w:jc w:val="center"/>
              <w:rPr>
                <w:sz w:val="18"/>
                <w:szCs w:val="18"/>
              </w:rPr>
            </w:pPr>
            <w:r>
              <w:rPr>
                <w:sz w:val="18"/>
                <w:szCs w:val="18"/>
              </w:rPr>
              <w:t>TS0000002</w:t>
            </w:r>
          </w:p>
        </w:tc>
        <w:tc>
          <w:tcPr>
            <w:tcW w:w="709" w:type="dxa"/>
            <w:vAlign w:val="center"/>
          </w:tcPr>
          <w:p w14:paraId="26C45C8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561F4B9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09A2B1F3">
            <w:pPr>
              <w:jc w:val="center"/>
              <w:rPr>
                <w:sz w:val="18"/>
                <w:szCs w:val="18"/>
              </w:rPr>
            </w:pPr>
            <w:r>
              <w:rPr>
                <w:rFonts w:hint="eastAsia"/>
                <w:sz w:val="18"/>
                <w:szCs w:val="18"/>
              </w:rPr>
              <w:t>考查</w:t>
            </w:r>
          </w:p>
        </w:tc>
      </w:tr>
      <w:tr w14:paraId="0A09FFB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0517C480">
            <w:pPr>
              <w:jc w:val="center"/>
              <w:rPr>
                <w:b/>
                <w:color w:val="000000" w:themeColor="text1"/>
                <w:sz w:val="18"/>
                <w:szCs w:val="18"/>
                <w14:textFill>
                  <w14:solidFill>
                    <w14:schemeClr w14:val="tx1"/>
                  </w14:solidFill>
                </w14:textFill>
              </w:rPr>
            </w:pPr>
          </w:p>
        </w:tc>
        <w:tc>
          <w:tcPr>
            <w:tcW w:w="1226" w:type="dxa"/>
            <w:vMerge w:val="restart"/>
            <w:vAlign w:val="center"/>
          </w:tcPr>
          <w:p w14:paraId="7BDA225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7A64342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5</w:t>
            </w:r>
            <w:r>
              <w:rPr>
                <w:b/>
                <w:color w:val="000000" w:themeColor="text1"/>
                <w:sz w:val="18"/>
                <w:szCs w:val="18"/>
                <w14:textFill>
                  <w14:solidFill>
                    <w14:schemeClr w14:val="tx1"/>
                  </w14:solidFill>
                </w14:textFill>
              </w:rPr>
              <w:t>学分）</w:t>
            </w:r>
          </w:p>
        </w:tc>
        <w:tc>
          <w:tcPr>
            <w:tcW w:w="3291" w:type="dxa"/>
            <w:shd w:val="clear" w:color="auto" w:fill="auto"/>
            <w:vAlign w:val="center"/>
          </w:tcPr>
          <w:p w14:paraId="7131A032">
            <w:pPr>
              <w:rPr>
                <w:sz w:val="18"/>
                <w:szCs w:val="18"/>
              </w:rPr>
            </w:pPr>
            <w:r>
              <w:rPr>
                <w:rFonts w:hint="eastAsia"/>
                <w:sz w:val="18"/>
                <w:szCs w:val="18"/>
              </w:rPr>
              <w:t>科学道德与学术论文写作</w:t>
            </w:r>
          </w:p>
        </w:tc>
        <w:tc>
          <w:tcPr>
            <w:tcW w:w="1306" w:type="dxa"/>
            <w:shd w:val="clear" w:color="auto" w:fill="auto"/>
            <w:vAlign w:val="center"/>
          </w:tcPr>
          <w:p w14:paraId="17DB8AE3">
            <w:pPr>
              <w:jc w:val="center"/>
              <w:rPr>
                <w:iCs/>
                <w:sz w:val="13"/>
                <w:szCs w:val="13"/>
              </w:rPr>
            </w:pPr>
            <w:r>
              <w:rPr>
                <w:rFonts w:hint="eastAsia"/>
                <w:sz w:val="18"/>
                <w:szCs w:val="18"/>
              </w:rPr>
              <w:t>XS2301011</w:t>
            </w:r>
          </w:p>
        </w:tc>
        <w:tc>
          <w:tcPr>
            <w:tcW w:w="709" w:type="dxa"/>
            <w:shd w:val="clear" w:color="auto" w:fill="auto"/>
            <w:vAlign w:val="center"/>
          </w:tcPr>
          <w:p w14:paraId="5C6BEF8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33D09EF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shd w:val="clear" w:color="auto" w:fill="auto"/>
            <w:vAlign w:val="center"/>
          </w:tcPr>
          <w:p w14:paraId="656FB89B">
            <w:pPr>
              <w:jc w:val="center"/>
              <w:rPr>
                <w:i/>
                <w:sz w:val="13"/>
                <w:szCs w:val="13"/>
              </w:rPr>
            </w:pPr>
            <w:r>
              <w:rPr>
                <w:rFonts w:hint="eastAsia"/>
                <w:sz w:val="18"/>
                <w:szCs w:val="18"/>
              </w:rPr>
              <w:t>考试</w:t>
            </w:r>
          </w:p>
        </w:tc>
      </w:tr>
      <w:tr w14:paraId="2774A1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3CA37DB9">
            <w:pPr>
              <w:jc w:val="center"/>
              <w:rPr>
                <w:b/>
                <w:color w:val="000000" w:themeColor="text1"/>
                <w:sz w:val="18"/>
                <w:szCs w:val="18"/>
                <w14:textFill>
                  <w14:solidFill>
                    <w14:schemeClr w14:val="tx1"/>
                  </w14:solidFill>
                </w14:textFill>
              </w:rPr>
            </w:pPr>
          </w:p>
        </w:tc>
        <w:tc>
          <w:tcPr>
            <w:tcW w:w="1226" w:type="dxa"/>
            <w:vMerge w:val="continue"/>
            <w:vAlign w:val="center"/>
          </w:tcPr>
          <w:p w14:paraId="671AFA2C">
            <w:pPr>
              <w:jc w:val="center"/>
              <w:rPr>
                <w:b/>
                <w:color w:val="000000" w:themeColor="text1"/>
                <w:sz w:val="18"/>
                <w:szCs w:val="18"/>
                <w14:textFill>
                  <w14:solidFill>
                    <w14:schemeClr w14:val="tx1"/>
                  </w14:solidFill>
                </w14:textFill>
              </w:rPr>
            </w:pPr>
          </w:p>
        </w:tc>
        <w:tc>
          <w:tcPr>
            <w:tcW w:w="3291" w:type="dxa"/>
            <w:shd w:val="clear" w:color="auto" w:fill="auto"/>
            <w:vAlign w:val="center"/>
          </w:tcPr>
          <w:p w14:paraId="10FC4D44">
            <w:pPr>
              <w:rPr>
                <w:sz w:val="18"/>
                <w:szCs w:val="18"/>
              </w:rPr>
            </w:pPr>
            <w:r>
              <w:rPr>
                <w:rFonts w:hint="eastAsia"/>
                <w:sz w:val="18"/>
                <w:szCs w:val="18"/>
              </w:rPr>
              <w:t>医学实验动物学</w:t>
            </w:r>
          </w:p>
        </w:tc>
        <w:tc>
          <w:tcPr>
            <w:tcW w:w="1306" w:type="dxa"/>
            <w:shd w:val="clear" w:color="auto" w:fill="auto"/>
            <w:vAlign w:val="center"/>
          </w:tcPr>
          <w:p w14:paraId="3A2CF708">
            <w:pPr>
              <w:jc w:val="center"/>
              <w:rPr>
                <w:iCs/>
                <w:sz w:val="13"/>
                <w:szCs w:val="13"/>
              </w:rPr>
            </w:pPr>
            <w:r>
              <w:rPr>
                <w:rFonts w:hint="eastAsia"/>
                <w:sz w:val="18"/>
                <w:szCs w:val="18"/>
              </w:rPr>
              <w:t>XS2301012</w:t>
            </w:r>
          </w:p>
        </w:tc>
        <w:tc>
          <w:tcPr>
            <w:tcW w:w="709" w:type="dxa"/>
            <w:shd w:val="clear" w:color="auto" w:fill="auto"/>
            <w:vAlign w:val="center"/>
          </w:tcPr>
          <w:p w14:paraId="6A0DB2C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2A8FE04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shd w:val="clear" w:color="auto" w:fill="auto"/>
            <w:vAlign w:val="center"/>
          </w:tcPr>
          <w:p w14:paraId="6C9B9373">
            <w:pPr>
              <w:jc w:val="center"/>
              <w:rPr>
                <w:i/>
                <w:sz w:val="18"/>
                <w:szCs w:val="18"/>
              </w:rPr>
            </w:pPr>
            <w:r>
              <w:rPr>
                <w:rFonts w:hint="eastAsia"/>
                <w:sz w:val="18"/>
                <w:szCs w:val="18"/>
              </w:rPr>
              <w:t>考试</w:t>
            </w:r>
          </w:p>
        </w:tc>
      </w:tr>
      <w:tr w14:paraId="6746FE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4066AB50">
            <w:pPr>
              <w:jc w:val="center"/>
              <w:rPr>
                <w:b/>
                <w:color w:val="000000" w:themeColor="text1"/>
                <w:sz w:val="18"/>
                <w:szCs w:val="18"/>
                <w14:textFill>
                  <w14:solidFill>
                    <w14:schemeClr w14:val="tx1"/>
                  </w14:solidFill>
                </w14:textFill>
              </w:rPr>
            </w:pPr>
          </w:p>
        </w:tc>
        <w:tc>
          <w:tcPr>
            <w:tcW w:w="1226" w:type="dxa"/>
            <w:vMerge w:val="continue"/>
            <w:vAlign w:val="center"/>
          </w:tcPr>
          <w:p w14:paraId="3DC6F707">
            <w:pPr>
              <w:jc w:val="center"/>
              <w:rPr>
                <w:b/>
                <w:color w:val="000000" w:themeColor="text1"/>
                <w:sz w:val="18"/>
                <w:szCs w:val="18"/>
                <w14:textFill>
                  <w14:solidFill>
                    <w14:schemeClr w14:val="tx1"/>
                  </w14:solidFill>
                </w14:textFill>
              </w:rPr>
            </w:pPr>
          </w:p>
        </w:tc>
        <w:tc>
          <w:tcPr>
            <w:tcW w:w="3291" w:type="dxa"/>
            <w:shd w:val="clear" w:color="auto" w:fill="auto"/>
            <w:vAlign w:val="center"/>
          </w:tcPr>
          <w:p w14:paraId="14FF8EA7">
            <w:pPr>
              <w:rPr>
                <w:sz w:val="18"/>
                <w:szCs w:val="18"/>
              </w:rPr>
            </w:pPr>
            <w:r>
              <w:rPr>
                <w:rFonts w:hint="eastAsia"/>
                <w:sz w:val="18"/>
                <w:szCs w:val="18"/>
              </w:rPr>
              <w:t>医学统计学</w:t>
            </w:r>
          </w:p>
        </w:tc>
        <w:tc>
          <w:tcPr>
            <w:tcW w:w="1306" w:type="dxa"/>
            <w:shd w:val="clear" w:color="auto" w:fill="auto"/>
            <w:vAlign w:val="center"/>
          </w:tcPr>
          <w:p w14:paraId="2B105E9B">
            <w:pPr>
              <w:jc w:val="center"/>
              <w:rPr>
                <w:iCs/>
                <w:sz w:val="13"/>
                <w:szCs w:val="13"/>
              </w:rPr>
            </w:pPr>
            <w:r>
              <w:rPr>
                <w:rFonts w:hint="eastAsia"/>
                <w:sz w:val="18"/>
                <w:szCs w:val="18"/>
              </w:rPr>
              <w:t>XS2301013</w:t>
            </w:r>
          </w:p>
        </w:tc>
        <w:tc>
          <w:tcPr>
            <w:tcW w:w="709" w:type="dxa"/>
            <w:shd w:val="clear" w:color="auto" w:fill="auto"/>
            <w:vAlign w:val="center"/>
          </w:tcPr>
          <w:p w14:paraId="2E0A342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587F9FD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shd w:val="clear" w:color="auto" w:fill="auto"/>
            <w:vAlign w:val="center"/>
          </w:tcPr>
          <w:p w14:paraId="33232B75">
            <w:pPr>
              <w:jc w:val="center"/>
              <w:rPr>
                <w:sz w:val="18"/>
                <w:szCs w:val="18"/>
              </w:rPr>
            </w:pPr>
            <w:r>
              <w:rPr>
                <w:rFonts w:hint="eastAsia"/>
                <w:sz w:val="18"/>
                <w:szCs w:val="18"/>
              </w:rPr>
              <w:t>考试</w:t>
            </w:r>
          </w:p>
        </w:tc>
      </w:tr>
      <w:tr w14:paraId="66A773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298FC434">
            <w:pPr>
              <w:jc w:val="center"/>
              <w:rPr>
                <w:b/>
                <w:color w:val="000000" w:themeColor="text1"/>
                <w:sz w:val="18"/>
                <w:szCs w:val="18"/>
                <w14:textFill>
                  <w14:solidFill>
                    <w14:schemeClr w14:val="tx1"/>
                  </w14:solidFill>
                </w14:textFill>
              </w:rPr>
            </w:pPr>
          </w:p>
        </w:tc>
        <w:tc>
          <w:tcPr>
            <w:tcW w:w="1226" w:type="dxa"/>
            <w:vMerge w:val="restart"/>
            <w:vAlign w:val="center"/>
          </w:tcPr>
          <w:p w14:paraId="0B66C9A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0153899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5</w:t>
            </w:r>
            <w:r>
              <w:rPr>
                <w:b/>
                <w:color w:val="000000" w:themeColor="text1"/>
                <w:sz w:val="18"/>
                <w:szCs w:val="18"/>
                <w14:textFill>
                  <w14:solidFill>
                    <w14:schemeClr w14:val="tx1"/>
                  </w14:solidFill>
                </w14:textFill>
              </w:rPr>
              <w:t>学分）</w:t>
            </w:r>
          </w:p>
        </w:tc>
        <w:tc>
          <w:tcPr>
            <w:tcW w:w="3291" w:type="dxa"/>
            <w:vAlign w:val="center"/>
          </w:tcPr>
          <w:p w14:paraId="7CD2A2AC">
            <w:pPr>
              <w:rPr>
                <w:sz w:val="18"/>
                <w:szCs w:val="18"/>
              </w:rPr>
            </w:pPr>
            <w:r>
              <w:rPr>
                <w:rFonts w:hint="eastAsia"/>
                <w:sz w:val="18"/>
                <w:szCs w:val="18"/>
              </w:rPr>
              <w:t>医学生理学</w:t>
            </w:r>
          </w:p>
        </w:tc>
        <w:tc>
          <w:tcPr>
            <w:tcW w:w="1306" w:type="dxa"/>
            <w:shd w:val="clear" w:color="auto" w:fill="auto"/>
            <w:vAlign w:val="center"/>
          </w:tcPr>
          <w:p w14:paraId="37B79680">
            <w:pPr>
              <w:jc w:val="center"/>
              <w:rPr>
                <w:iCs/>
                <w:sz w:val="13"/>
                <w:szCs w:val="13"/>
              </w:rPr>
            </w:pPr>
            <w:r>
              <w:rPr>
                <w:rFonts w:hint="eastAsia"/>
                <w:sz w:val="18"/>
                <w:szCs w:val="18"/>
              </w:rPr>
              <w:t>XS2301014</w:t>
            </w:r>
          </w:p>
        </w:tc>
        <w:tc>
          <w:tcPr>
            <w:tcW w:w="709" w:type="dxa"/>
            <w:vAlign w:val="center"/>
          </w:tcPr>
          <w:p w14:paraId="19156ED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6648F1E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shd w:val="clear" w:color="auto" w:fill="auto"/>
            <w:vAlign w:val="center"/>
          </w:tcPr>
          <w:p w14:paraId="17746084">
            <w:pPr>
              <w:jc w:val="center"/>
              <w:rPr>
                <w:sz w:val="18"/>
                <w:szCs w:val="18"/>
              </w:rPr>
            </w:pPr>
            <w:r>
              <w:rPr>
                <w:rFonts w:hint="eastAsia"/>
                <w:sz w:val="18"/>
                <w:szCs w:val="18"/>
              </w:rPr>
              <w:t>考试</w:t>
            </w:r>
          </w:p>
        </w:tc>
      </w:tr>
      <w:tr w14:paraId="1184DC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410BD2DC">
            <w:pPr>
              <w:jc w:val="center"/>
              <w:rPr>
                <w:b/>
                <w:color w:val="000000" w:themeColor="text1"/>
                <w:sz w:val="18"/>
                <w:szCs w:val="18"/>
                <w14:textFill>
                  <w14:solidFill>
                    <w14:schemeClr w14:val="tx1"/>
                  </w14:solidFill>
                </w14:textFill>
              </w:rPr>
            </w:pPr>
          </w:p>
        </w:tc>
        <w:tc>
          <w:tcPr>
            <w:tcW w:w="1226" w:type="dxa"/>
            <w:vMerge w:val="continue"/>
            <w:vAlign w:val="center"/>
          </w:tcPr>
          <w:p w14:paraId="7DA526EC">
            <w:pPr>
              <w:jc w:val="center"/>
              <w:rPr>
                <w:b/>
                <w:color w:val="000000" w:themeColor="text1"/>
                <w:sz w:val="18"/>
                <w:szCs w:val="18"/>
                <w:highlight w:val="yellow"/>
                <w14:textFill>
                  <w14:solidFill>
                    <w14:schemeClr w14:val="tx1"/>
                  </w14:solidFill>
                </w14:textFill>
              </w:rPr>
            </w:pPr>
          </w:p>
        </w:tc>
        <w:tc>
          <w:tcPr>
            <w:tcW w:w="3291" w:type="dxa"/>
            <w:vAlign w:val="center"/>
          </w:tcPr>
          <w:p w14:paraId="43D3263E">
            <w:pPr>
              <w:rPr>
                <w:sz w:val="18"/>
                <w:szCs w:val="18"/>
              </w:rPr>
            </w:pPr>
            <w:r>
              <w:rPr>
                <w:rFonts w:hint="eastAsia"/>
                <w:sz w:val="18"/>
                <w:szCs w:val="18"/>
              </w:rPr>
              <w:t>医学生物化学与分子生物学</w:t>
            </w:r>
          </w:p>
        </w:tc>
        <w:tc>
          <w:tcPr>
            <w:tcW w:w="1306" w:type="dxa"/>
            <w:shd w:val="clear" w:color="auto" w:fill="auto"/>
            <w:vAlign w:val="center"/>
          </w:tcPr>
          <w:p w14:paraId="166EF1C4">
            <w:pPr>
              <w:jc w:val="center"/>
              <w:rPr>
                <w:iCs/>
                <w:sz w:val="13"/>
                <w:szCs w:val="13"/>
              </w:rPr>
            </w:pPr>
            <w:r>
              <w:rPr>
                <w:rFonts w:hint="eastAsia"/>
                <w:sz w:val="18"/>
                <w:szCs w:val="18"/>
              </w:rPr>
              <w:t>XS2301015</w:t>
            </w:r>
          </w:p>
        </w:tc>
        <w:tc>
          <w:tcPr>
            <w:tcW w:w="709" w:type="dxa"/>
            <w:shd w:val="clear" w:color="auto" w:fill="auto"/>
            <w:vAlign w:val="center"/>
          </w:tcPr>
          <w:p w14:paraId="393DAC7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0E0F31C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shd w:val="clear" w:color="auto" w:fill="auto"/>
            <w:vAlign w:val="center"/>
          </w:tcPr>
          <w:p w14:paraId="77F51DCB">
            <w:pPr>
              <w:jc w:val="center"/>
              <w:rPr>
                <w:sz w:val="18"/>
                <w:szCs w:val="18"/>
              </w:rPr>
            </w:pPr>
            <w:r>
              <w:rPr>
                <w:rFonts w:hint="eastAsia"/>
                <w:sz w:val="18"/>
                <w:szCs w:val="18"/>
              </w:rPr>
              <w:t>考试</w:t>
            </w:r>
          </w:p>
        </w:tc>
      </w:tr>
      <w:tr w14:paraId="1A9419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311289ED">
            <w:pPr>
              <w:jc w:val="center"/>
              <w:rPr>
                <w:b/>
                <w:color w:val="000000" w:themeColor="text1"/>
                <w:sz w:val="18"/>
                <w:szCs w:val="18"/>
                <w14:textFill>
                  <w14:solidFill>
                    <w14:schemeClr w14:val="tx1"/>
                  </w14:solidFill>
                </w14:textFill>
              </w:rPr>
            </w:pPr>
          </w:p>
        </w:tc>
        <w:tc>
          <w:tcPr>
            <w:tcW w:w="1226" w:type="dxa"/>
            <w:vMerge w:val="continue"/>
            <w:vAlign w:val="center"/>
          </w:tcPr>
          <w:p w14:paraId="2F4221F7">
            <w:pPr>
              <w:jc w:val="center"/>
              <w:rPr>
                <w:b/>
                <w:color w:val="000000" w:themeColor="text1"/>
                <w:sz w:val="18"/>
                <w:szCs w:val="18"/>
                <w:highlight w:val="yellow"/>
                <w14:textFill>
                  <w14:solidFill>
                    <w14:schemeClr w14:val="tx1"/>
                  </w14:solidFill>
                </w14:textFill>
              </w:rPr>
            </w:pPr>
          </w:p>
        </w:tc>
        <w:tc>
          <w:tcPr>
            <w:tcW w:w="3291" w:type="dxa"/>
            <w:vAlign w:val="center"/>
          </w:tcPr>
          <w:p w14:paraId="171DC48B">
            <w:pPr>
              <w:rPr>
                <w:sz w:val="18"/>
                <w:szCs w:val="18"/>
              </w:rPr>
            </w:pPr>
            <w:r>
              <w:rPr>
                <w:rFonts w:hint="eastAsia"/>
                <w:sz w:val="18"/>
                <w:szCs w:val="18"/>
              </w:rPr>
              <w:t>组织学与胚胎学</w:t>
            </w:r>
          </w:p>
        </w:tc>
        <w:tc>
          <w:tcPr>
            <w:tcW w:w="1306" w:type="dxa"/>
            <w:shd w:val="clear" w:color="auto" w:fill="auto"/>
            <w:vAlign w:val="center"/>
          </w:tcPr>
          <w:p w14:paraId="6C09CABB">
            <w:pPr>
              <w:jc w:val="center"/>
              <w:rPr>
                <w:iCs/>
                <w:sz w:val="13"/>
                <w:szCs w:val="13"/>
              </w:rPr>
            </w:pPr>
            <w:r>
              <w:rPr>
                <w:rFonts w:hint="eastAsia"/>
                <w:sz w:val="18"/>
                <w:szCs w:val="18"/>
              </w:rPr>
              <w:t>XS2301016</w:t>
            </w:r>
          </w:p>
        </w:tc>
        <w:tc>
          <w:tcPr>
            <w:tcW w:w="709" w:type="dxa"/>
            <w:shd w:val="clear" w:color="auto" w:fill="auto"/>
            <w:vAlign w:val="center"/>
          </w:tcPr>
          <w:p w14:paraId="4EB357A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513674E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shd w:val="clear" w:color="auto" w:fill="auto"/>
            <w:vAlign w:val="center"/>
          </w:tcPr>
          <w:p w14:paraId="31300748">
            <w:pPr>
              <w:jc w:val="center"/>
              <w:rPr>
                <w:sz w:val="18"/>
                <w:szCs w:val="18"/>
              </w:rPr>
            </w:pPr>
            <w:r>
              <w:rPr>
                <w:rFonts w:hint="eastAsia"/>
                <w:sz w:val="18"/>
                <w:szCs w:val="18"/>
              </w:rPr>
              <w:t>考试</w:t>
            </w:r>
          </w:p>
        </w:tc>
      </w:tr>
      <w:tr w14:paraId="3A036F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3EA5A34C">
            <w:pPr>
              <w:jc w:val="center"/>
              <w:rPr>
                <w:b/>
                <w:color w:val="000000" w:themeColor="text1"/>
                <w:sz w:val="18"/>
                <w:szCs w:val="18"/>
                <w14:textFill>
                  <w14:solidFill>
                    <w14:schemeClr w14:val="tx1"/>
                  </w14:solidFill>
                </w14:textFill>
              </w:rPr>
            </w:pPr>
          </w:p>
        </w:tc>
        <w:tc>
          <w:tcPr>
            <w:tcW w:w="1226" w:type="dxa"/>
            <w:vMerge w:val="continue"/>
            <w:vAlign w:val="center"/>
          </w:tcPr>
          <w:p w14:paraId="7376695B">
            <w:pPr>
              <w:jc w:val="center"/>
              <w:rPr>
                <w:b/>
                <w:color w:val="000000" w:themeColor="text1"/>
                <w:sz w:val="18"/>
                <w:szCs w:val="18"/>
                <w:highlight w:val="yellow"/>
                <w14:textFill>
                  <w14:solidFill>
                    <w14:schemeClr w14:val="tx1"/>
                  </w14:solidFill>
                </w14:textFill>
              </w:rPr>
            </w:pPr>
          </w:p>
        </w:tc>
        <w:tc>
          <w:tcPr>
            <w:tcW w:w="3291" w:type="dxa"/>
            <w:vAlign w:val="center"/>
          </w:tcPr>
          <w:p w14:paraId="20B4C497">
            <w:pPr>
              <w:rPr>
                <w:sz w:val="18"/>
                <w:szCs w:val="18"/>
              </w:rPr>
            </w:pPr>
            <w:r>
              <w:rPr>
                <w:rFonts w:hint="eastAsia"/>
                <w:sz w:val="18"/>
                <w:szCs w:val="18"/>
              </w:rPr>
              <w:t>高级病理生理学</w:t>
            </w:r>
          </w:p>
        </w:tc>
        <w:tc>
          <w:tcPr>
            <w:tcW w:w="1306" w:type="dxa"/>
            <w:shd w:val="clear" w:color="auto" w:fill="auto"/>
            <w:vAlign w:val="center"/>
          </w:tcPr>
          <w:p w14:paraId="51E6AA7F">
            <w:pPr>
              <w:jc w:val="center"/>
              <w:rPr>
                <w:iCs/>
                <w:sz w:val="13"/>
                <w:szCs w:val="13"/>
              </w:rPr>
            </w:pPr>
            <w:r>
              <w:rPr>
                <w:rFonts w:hint="eastAsia"/>
                <w:sz w:val="18"/>
                <w:szCs w:val="18"/>
              </w:rPr>
              <w:t>XS2301017</w:t>
            </w:r>
          </w:p>
        </w:tc>
        <w:tc>
          <w:tcPr>
            <w:tcW w:w="709" w:type="dxa"/>
            <w:shd w:val="clear" w:color="auto" w:fill="auto"/>
            <w:vAlign w:val="center"/>
          </w:tcPr>
          <w:p w14:paraId="1927BB9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2453F6C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shd w:val="clear" w:color="auto" w:fill="auto"/>
            <w:vAlign w:val="center"/>
          </w:tcPr>
          <w:p w14:paraId="442E29B9">
            <w:pPr>
              <w:jc w:val="center"/>
              <w:rPr>
                <w:sz w:val="18"/>
                <w:szCs w:val="18"/>
              </w:rPr>
            </w:pPr>
            <w:r>
              <w:rPr>
                <w:rFonts w:hint="eastAsia"/>
                <w:sz w:val="18"/>
                <w:szCs w:val="18"/>
              </w:rPr>
              <w:t>考试</w:t>
            </w:r>
          </w:p>
        </w:tc>
      </w:tr>
      <w:tr w14:paraId="7D9A234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30D3C509">
            <w:pPr>
              <w:jc w:val="center"/>
              <w:rPr>
                <w:b/>
                <w:color w:val="000000" w:themeColor="text1"/>
                <w:sz w:val="18"/>
                <w:szCs w:val="18"/>
                <w14:textFill>
                  <w14:solidFill>
                    <w14:schemeClr w14:val="tx1"/>
                  </w14:solidFill>
                </w14:textFill>
              </w:rPr>
            </w:pPr>
          </w:p>
        </w:tc>
        <w:tc>
          <w:tcPr>
            <w:tcW w:w="1226" w:type="dxa"/>
            <w:vMerge w:val="continue"/>
            <w:vAlign w:val="center"/>
          </w:tcPr>
          <w:p w14:paraId="473AAEFB">
            <w:pPr>
              <w:jc w:val="center"/>
              <w:rPr>
                <w:b/>
                <w:color w:val="000000" w:themeColor="text1"/>
                <w:sz w:val="18"/>
                <w:szCs w:val="18"/>
                <w:highlight w:val="yellow"/>
                <w14:textFill>
                  <w14:solidFill>
                    <w14:schemeClr w14:val="tx1"/>
                  </w14:solidFill>
                </w14:textFill>
              </w:rPr>
            </w:pPr>
          </w:p>
        </w:tc>
        <w:tc>
          <w:tcPr>
            <w:tcW w:w="3291" w:type="dxa"/>
            <w:shd w:val="clear" w:color="auto" w:fill="auto"/>
            <w:vAlign w:val="center"/>
          </w:tcPr>
          <w:p w14:paraId="31579C51">
            <w:pPr>
              <w:rPr>
                <w:sz w:val="18"/>
                <w:szCs w:val="18"/>
              </w:rPr>
            </w:pPr>
            <w:r>
              <w:rPr>
                <w:rFonts w:hint="eastAsia"/>
                <w:sz w:val="18"/>
                <w:szCs w:val="18"/>
              </w:rPr>
              <w:t>分子病理学</w:t>
            </w:r>
          </w:p>
        </w:tc>
        <w:tc>
          <w:tcPr>
            <w:tcW w:w="1306" w:type="dxa"/>
            <w:shd w:val="clear" w:color="auto" w:fill="auto"/>
            <w:vAlign w:val="center"/>
          </w:tcPr>
          <w:p w14:paraId="09148DB2">
            <w:pPr>
              <w:jc w:val="center"/>
              <w:rPr>
                <w:iCs/>
                <w:sz w:val="13"/>
                <w:szCs w:val="13"/>
              </w:rPr>
            </w:pPr>
            <w:r>
              <w:rPr>
                <w:rFonts w:hint="eastAsia"/>
                <w:sz w:val="18"/>
                <w:szCs w:val="18"/>
              </w:rPr>
              <w:t>XS2301018</w:t>
            </w:r>
          </w:p>
        </w:tc>
        <w:tc>
          <w:tcPr>
            <w:tcW w:w="709" w:type="dxa"/>
            <w:shd w:val="clear" w:color="auto" w:fill="auto"/>
            <w:vAlign w:val="center"/>
          </w:tcPr>
          <w:p w14:paraId="748C96F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50886F8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shd w:val="clear" w:color="auto" w:fill="auto"/>
            <w:vAlign w:val="center"/>
          </w:tcPr>
          <w:p w14:paraId="1D2A5F63">
            <w:pPr>
              <w:jc w:val="center"/>
              <w:rPr>
                <w:sz w:val="18"/>
                <w:szCs w:val="18"/>
              </w:rPr>
            </w:pPr>
            <w:r>
              <w:rPr>
                <w:rFonts w:hint="eastAsia"/>
                <w:sz w:val="18"/>
                <w:szCs w:val="18"/>
              </w:rPr>
              <w:t>考试</w:t>
            </w:r>
          </w:p>
        </w:tc>
      </w:tr>
      <w:tr w14:paraId="0442C9C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restart"/>
            <w:vAlign w:val="center"/>
          </w:tcPr>
          <w:p w14:paraId="1D48D54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0E2AE75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1EF92F8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291" w:type="dxa"/>
            <w:vAlign w:val="center"/>
          </w:tcPr>
          <w:p w14:paraId="58A0EF63">
            <w:pPr>
              <w:rPr>
                <w:sz w:val="18"/>
                <w:szCs w:val="18"/>
              </w:rPr>
            </w:pPr>
            <w:r>
              <w:rPr>
                <w:rFonts w:hint="eastAsia"/>
                <w:sz w:val="18"/>
                <w:szCs w:val="18"/>
              </w:rPr>
              <w:t>《习近平谈治国理政》研读</w:t>
            </w:r>
          </w:p>
        </w:tc>
        <w:tc>
          <w:tcPr>
            <w:tcW w:w="1306" w:type="dxa"/>
            <w:vAlign w:val="center"/>
          </w:tcPr>
          <w:p w14:paraId="310C7C49">
            <w:pPr>
              <w:jc w:val="center"/>
              <w:rPr>
                <w:sz w:val="18"/>
                <w:szCs w:val="18"/>
              </w:rPr>
            </w:pPr>
            <w:r>
              <w:rPr>
                <w:rFonts w:hint="eastAsia"/>
                <w:sz w:val="18"/>
                <w:szCs w:val="18"/>
              </w:rPr>
              <w:t>TT0000101</w:t>
            </w:r>
          </w:p>
        </w:tc>
        <w:tc>
          <w:tcPr>
            <w:tcW w:w="709" w:type="dxa"/>
            <w:vAlign w:val="center"/>
          </w:tcPr>
          <w:p w14:paraId="4708D5C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8FD5A2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6A7777F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1999A1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114398DC">
            <w:pPr>
              <w:jc w:val="center"/>
              <w:rPr>
                <w:b/>
                <w:color w:val="000000" w:themeColor="text1"/>
                <w:sz w:val="18"/>
                <w:szCs w:val="18"/>
                <w14:textFill>
                  <w14:solidFill>
                    <w14:schemeClr w14:val="tx1"/>
                  </w14:solidFill>
                </w14:textFill>
              </w:rPr>
            </w:pPr>
          </w:p>
        </w:tc>
        <w:tc>
          <w:tcPr>
            <w:tcW w:w="1226" w:type="dxa"/>
            <w:vMerge w:val="continue"/>
            <w:vAlign w:val="center"/>
          </w:tcPr>
          <w:p w14:paraId="694BE0EC">
            <w:pPr>
              <w:jc w:val="center"/>
              <w:rPr>
                <w:b/>
                <w:color w:val="000000" w:themeColor="text1"/>
                <w:sz w:val="18"/>
                <w:szCs w:val="18"/>
                <w14:textFill>
                  <w14:solidFill>
                    <w14:schemeClr w14:val="tx1"/>
                  </w14:solidFill>
                </w14:textFill>
              </w:rPr>
            </w:pPr>
          </w:p>
        </w:tc>
        <w:tc>
          <w:tcPr>
            <w:tcW w:w="3291" w:type="dxa"/>
            <w:vAlign w:val="center"/>
          </w:tcPr>
          <w:p w14:paraId="1F00B5FF">
            <w:pPr>
              <w:rPr>
                <w:sz w:val="18"/>
                <w:szCs w:val="18"/>
              </w:rPr>
            </w:pPr>
            <w:r>
              <w:rPr>
                <w:rFonts w:hint="eastAsia"/>
                <w:sz w:val="18"/>
                <w:szCs w:val="18"/>
              </w:rPr>
              <w:t>自然辩证法概论</w:t>
            </w:r>
          </w:p>
        </w:tc>
        <w:tc>
          <w:tcPr>
            <w:tcW w:w="1306" w:type="dxa"/>
            <w:vAlign w:val="center"/>
          </w:tcPr>
          <w:p w14:paraId="7952BF91">
            <w:pPr>
              <w:jc w:val="center"/>
              <w:rPr>
                <w:sz w:val="18"/>
                <w:szCs w:val="18"/>
              </w:rPr>
            </w:pPr>
            <w:r>
              <w:rPr>
                <w:rFonts w:hint="eastAsia"/>
                <w:sz w:val="18"/>
                <w:szCs w:val="18"/>
              </w:rPr>
              <w:t>TS0000102</w:t>
            </w:r>
          </w:p>
        </w:tc>
        <w:tc>
          <w:tcPr>
            <w:tcW w:w="709" w:type="dxa"/>
            <w:vAlign w:val="center"/>
          </w:tcPr>
          <w:p w14:paraId="768C05E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74CB3BD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33C4A27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7A128A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35E69E47">
            <w:pPr>
              <w:rPr>
                <w:b/>
                <w:color w:val="000000" w:themeColor="text1"/>
                <w:sz w:val="18"/>
                <w:szCs w:val="18"/>
                <w14:textFill>
                  <w14:solidFill>
                    <w14:schemeClr w14:val="tx1"/>
                  </w14:solidFill>
                </w14:textFill>
              </w:rPr>
            </w:pPr>
          </w:p>
        </w:tc>
        <w:tc>
          <w:tcPr>
            <w:tcW w:w="1226" w:type="dxa"/>
            <w:vMerge w:val="restart"/>
            <w:vAlign w:val="center"/>
          </w:tcPr>
          <w:p w14:paraId="6B52C9B4">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tc>
        <w:tc>
          <w:tcPr>
            <w:tcW w:w="3291" w:type="dxa"/>
            <w:shd w:val="clear" w:color="auto" w:fill="auto"/>
            <w:vAlign w:val="center"/>
          </w:tcPr>
          <w:p w14:paraId="6210FC45">
            <w:pPr>
              <w:rPr>
                <w:sz w:val="18"/>
                <w:szCs w:val="18"/>
              </w:rPr>
            </w:pPr>
            <w:r>
              <w:rPr>
                <w:rFonts w:hint="eastAsia"/>
                <w:sz w:val="18"/>
                <w:szCs w:val="18"/>
              </w:rPr>
              <w:t>医学微生物学</w:t>
            </w:r>
          </w:p>
        </w:tc>
        <w:tc>
          <w:tcPr>
            <w:tcW w:w="1306" w:type="dxa"/>
            <w:shd w:val="clear" w:color="auto" w:fill="auto"/>
            <w:vAlign w:val="center"/>
          </w:tcPr>
          <w:p w14:paraId="40AAC2E6">
            <w:pPr>
              <w:jc w:val="center"/>
              <w:rPr>
                <w:iCs/>
                <w:sz w:val="13"/>
                <w:szCs w:val="13"/>
              </w:rPr>
            </w:pPr>
            <w:r>
              <w:rPr>
                <w:rFonts w:hint="eastAsia"/>
                <w:sz w:val="18"/>
                <w:szCs w:val="18"/>
              </w:rPr>
              <w:t>XS2301111</w:t>
            </w:r>
          </w:p>
        </w:tc>
        <w:tc>
          <w:tcPr>
            <w:tcW w:w="709" w:type="dxa"/>
            <w:shd w:val="clear" w:color="auto" w:fill="auto"/>
            <w:vAlign w:val="center"/>
          </w:tcPr>
          <w:p w14:paraId="7203D79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18733E4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18293C6E">
            <w:pPr>
              <w:adjustRightInd w:val="0"/>
              <w:snapToGrid w:val="0"/>
              <w:jc w:val="center"/>
              <w:rPr>
                <w:sz w:val="18"/>
                <w:szCs w:val="18"/>
              </w:rPr>
            </w:pPr>
            <w:r>
              <w:rPr>
                <w:sz w:val="18"/>
                <w:szCs w:val="18"/>
              </w:rPr>
              <w:t>研究生至少选修</w:t>
            </w:r>
          </w:p>
          <w:p w14:paraId="01000D80">
            <w:pPr>
              <w:adjustRightInd w:val="0"/>
              <w:snapToGrid w:val="0"/>
              <w:jc w:val="center"/>
              <w:rPr>
                <w:color w:val="000000" w:themeColor="text1"/>
                <w:sz w:val="18"/>
                <w:szCs w:val="18"/>
                <w14:textFill>
                  <w14:solidFill>
                    <w14:schemeClr w14:val="tx1"/>
                  </w14:solidFill>
                </w14:textFill>
              </w:rPr>
            </w:pPr>
            <w:r>
              <w:rPr>
                <w:rFonts w:hint="eastAsia"/>
                <w:sz w:val="18"/>
                <w:szCs w:val="18"/>
              </w:rPr>
              <w:t>8</w:t>
            </w:r>
            <w:r>
              <w:rPr>
                <w:sz w:val="18"/>
                <w:szCs w:val="18"/>
              </w:rPr>
              <w:t>学分</w:t>
            </w:r>
          </w:p>
        </w:tc>
      </w:tr>
      <w:tr w14:paraId="53E23F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344C5777">
            <w:pPr>
              <w:rPr>
                <w:b/>
                <w:color w:val="000000" w:themeColor="text1"/>
                <w:sz w:val="18"/>
                <w:szCs w:val="18"/>
                <w14:textFill>
                  <w14:solidFill>
                    <w14:schemeClr w14:val="tx1"/>
                  </w14:solidFill>
                </w14:textFill>
              </w:rPr>
            </w:pPr>
          </w:p>
        </w:tc>
        <w:tc>
          <w:tcPr>
            <w:tcW w:w="1226" w:type="dxa"/>
            <w:vMerge w:val="continue"/>
            <w:vAlign w:val="center"/>
          </w:tcPr>
          <w:p w14:paraId="6FC43131">
            <w:pPr>
              <w:adjustRightInd w:val="0"/>
              <w:snapToGrid w:val="0"/>
              <w:jc w:val="center"/>
              <w:rPr>
                <w:b/>
                <w:color w:val="000000" w:themeColor="text1"/>
                <w:sz w:val="18"/>
                <w:szCs w:val="18"/>
                <w14:textFill>
                  <w14:solidFill>
                    <w14:schemeClr w14:val="tx1"/>
                  </w14:solidFill>
                </w14:textFill>
              </w:rPr>
            </w:pPr>
          </w:p>
        </w:tc>
        <w:tc>
          <w:tcPr>
            <w:tcW w:w="3291" w:type="dxa"/>
            <w:shd w:val="clear" w:color="auto" w:fill="auto"/>
            <w:vAlign w:val="center"/>
          </w:tcPr>
          <w:p w14:paraId="54A01125">
            <w:pPr>
              <w:rPr>
                <w:sz w:val="18"/>
                <w:szCs w:val="18"/>
              </w:rPr>
            </w:pPr>
            <w:r>
              <w:rPr>
                <w:rFonts w:hint="eastAsia"/>
                <w:sz w:val="18"/>
                <w:szCs w:val="18"/>
              </w:rPr>
              <w:t>细胞与分子生物学</w:t>
            </w:r>
          </w:p>
        </w:tc>
        <w:tc>
          <w:tcPr>
            <w:tcW w:w="1306" w:type="dxa"/>
            <w:shd w:val="clear" w:color="auto" w:fill="auto"/>
            <w:vAlign w:val="center"/>
          </w:tcPr>
          <w:p w14:paraId="1BBEAB75">
            <w:pPr>
              <w:jc w:val="center"/>
              <w:rPr>
                <w:iCs/>
                <w:sz w:val="13"/>
                <w:szCs w:val="13"/>
              </w:rPr>
            </w:pPr>
            <w:r>
              <w:rPr>
                <w:rFonts w:hint="eastAsia"/>
                <w:sz w:val="18"/>
                <w:szCs w:val="18"/>
              </w:rPr>
              <w:t>XS2301112</w:t>
            </w:r>
          </w:p>
        </w:tc>
        <w:tc>
          <w:tcPr>
            <w:tcW w:w="709" w:type="dxa"/>
            <w:shd w:val="clear" w:color="auto" w:fill="auto"/>
            <w:vAlign w:val="center"/>
          </w:tcPr>
          <w:p w14:paraId="7CC47A5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18978AA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08AF9B37">
            <w:pPr>
              <w:adjustRightInd w:val="0"/>
              <w:snapToGrid w:val="0"/>
              <w:jc w:val="center"/>
              <w:rPr>
                <w:color w:val="FF0000"/>
                <w:sz w:val="18"/>
                <w:szCs w:val="18"/>
              </w:rPr>
            </w:pPr>
          </w:p>
        </w:tc>
      </w:tr>
      <w:tr w14:paraId="3F68E7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29A47C1E">
            <w:pPr>
              <w:rPr>
                <w:b/>
                <w:color w:val="000000" w:themeColor="text1"/>
                <w:sz w:val="18"/>
                <w:szCs w:val="18"/>
                <w14:textFill>
                  <w14:solidFill>
                    <w14:schemeClr w14:val="tx1"/>
                  </w14:solidFill>
                </w14:textFill>
              </w:rPr>
            </w:pPr>
          </w:p>
        </w:tc>
        <w:tc>
          <w:tcPr>
            <w:tcW w:w="1226" w:type="dxa"/>
            <w:vMerge w:val="continue"/>
            <w:vAlign w:val="center"/>
          </w:tcPr>
          <w:p w14:paraId="263A5561">
            <w:pPr>
              <w:adjustRightInd w:val="0"/>
              <w:snapToGrid w:val="0"/>
              <w:jc w:val="center"/>
              <w:rPr>
                <w:b/>
                <w:color w:val="000000" w:themeColor="text1"/>
                <w:sz w:val="18"/>
                <w:szCs w:val="18"/>
                <w14:textFill>
                  <w14:solidFill>
                    <w14:schemeClr w14:val="tx1"/>
                  </w14:solidFill>
                </w14:textFill>
              </w:rPr>
            </w:pPr>
          </w:p>
        </w:tc>
        <w:tc>
          <w:tcPr>
            <w:tcW w:w="3291" w:type="dxa"/>
            <w:shd w:val="clear" w:color="auto" w:fill="auto"/>
            <w:vAlign w:val="center"/>
          </w:tcPr>
          <w:p w14:paraId="26EA32D8">
            <w:pPr>
              <w:rPr>
                <w:sz w:val="18"/>
                <w:szCs w:val="18"/>
              </w:rPr>
            </w:pPr>
            <w:r>
              <w:rPr>
                <w:rFonts w:hint="eastAsia"/>
                <w:sz w:val="18"/>
                <w:szCs w:val="18"/>
              </w:rPr>
              <w:t>医学免疫学基础</w:t>
            </w:r>
          </w:p>
        </w:tc>
        <w:tc>
          <w:tcPr>
            <w:tcW w:w="1306" w:type="dxa"/>
            <w:shd w:val="clear" w:color="auto" w:fill="auto"/>
            <w:vAlign w:val="center"/>
          </w:tcPr>
          <w:p w14:paraId="01AD62B0">
            <w:pPr>
              <w:jc w:val="center"/>
              <w:rPr>
                <w:iCs/>
                <w:sz w:val="13"/>
                <w:szCs w:val="13"/>
              </w:rPr>
            </w:pPr>
            <w:r>
              <w:rPr>
                <w:rFonts w:hint="eastAsia"/>
                <w:sz w:val="18"/>
                <w:szCs w:val="18"/>
              </w:rPr>
              <w:t>XS2301113</w:t>
            </w:r>
          </w:p>
        </w:tc>
        <w:tc>
          <w:tcPr>
            <w:tcW w:w="709" w:type="dxa"/>
            <w:shd w:val="clear" w:color="auto" w:fill="auto"/>
            <w:vAlign w:val="center"/>
          </w:tcPr>
          <w:p w14:paraId="73AFA1B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33DC215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1EF8873D">
            <w:pPr>
              <w:adjustRightInd w:val="0"/>
              <w:snapToGrid w:val="0"/>
              <w:jc w:val="center"/>
              <w:rPr>
                <w:color w:val="FF0000"/>
                <w:sz w:val="18"/>
                <w:szCs w:val="18"/>
              </w:rPr>
            </w:pPr>
          </w:p>
        </w:tc>
      </w:tr>
      <w:tr w14:paraId="240896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367AB100">
            <w:pPr>
              <w:rPr>
                <w:b/>
                <w:color w:val="000000" w:themeColor="text1"/>
                <w:sz w:val="18"/>
                <w:szCs w:val="18"/>
                <w14:textFill>
                  <w14:solidFill>
                    <w14:schemeClr w14:val="tx1"/>
                  </w14:solidFill>
                </w14:textFill>
              </w:rPr>
            </w:pPr>
          </w:p>
        </w:tc>
        <w:tc>
          <w:tcPr>
            <w:tcW w:w="1226" w:type="dxa"/>
            <w:vMerge w:val="continue"/>
            <w:vAlign w:val="center"/>
          </w:tcPr>
          <w:p w14:paraId="1BE51130">
            <w:pPr>
              <w:adjustRightInd w:val="0"/>
              <w:snapToGrid w:val="0"/>
              <w:jc w:val="center"/>
              <w:rPr>
                <w:b/>
                <w:color w:val="000000" w:themeColor="text1"/>
                <w:sz w:val="18"/>
                <w:szCs w:val="18"/>
                <w14:textFill>
                  <w14:solidFill>
                    <w14:schemeClr w14:val="tx1"/>
                  </w14:solidFill>
                </w14:textFill>
              </w:rPr>
            </w:pPr>
          </w:p>
        </w:tc>
        <w:tc>
          <w:tcPr>
            <w:tcW w:w="3291" w:type="dxa"/>
            <w:shd w:val="clear" w:color="auto" w:fill="auto"/>
            <w:vAlign w:val="center"/>
          </w:tcPr>
          <w:p w14:paraId="3DD11D27">
            <w:pPr>
              <w:rPr>
                <w:sz w:val="18"/>
                <w:szCs w:val="18"/>
              </w:rPr>
            </w:pPr>
            <w:r>
              <w:rPr>
                <w:rFonts w:hint="eastAsia"/>
                <w:sz w:val="18"/>
                <w:szCs w:val="18"/>
              </w:rPr>
              <w:t>药理学</w:t>
            </w:r>
          </w:p>
        </w:tc>
        <w:tc>
          <w:tcPr>
            <w:tcW w:w="1306" w:type="dxa"/>
            <w:shd w:val="clear" w:color="auto" w:fill="auto"/>
            <w:vAlign w:val="center"/>
          </w:tcPr>
          <w:p w14:paraId="1A583C49">
            <w:pPr>
              <w:jc w:val="center"/>
              <w:rPr>
                <w:iCs/>
                <w:sz w:val="13"/>
                <w:szCs w:val="13"/>
              </w:rPr>
            </w:pPr>
            <w:r>
              <w:rPr>
                <w:rFonts w:hint="eastAsia"/>
                <w:sz w:val="18"/>
                <w:szCs w:val="18"/>
              </w:rPr>
              <w:t>XS2301114</w:t>
            </w:r>
          </w:p>
        </w:tc>
        <w:tc>
          <w:tcPr>
            <w:tcW w:w="709" w:type="dxa"/>
            <w:shd w:val="clear" w:color="auto" w:fill="auto"/>
            <w:vAlign w:val="center"/>
          </w:tcPr>
          <w:p w14:paraId="460D6B3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0BD6639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3AB74616">
            <w:pPr>
              <w:adjustRightInd w:val="0"/>
              <w:snapToGrid w:val="0"/>
              <w:jc w:val="center"/>
              <w:rPr>
                <w:color w:val="FF0000"/>
                <w:sz w:val="18"/>
                <w:szCs w:val="18"/>
              </w:rPr>
            </w:pPr>
          </w:p>
        </w:tc>
      </w:tr>
      <w:tr w14:paraId="1A7231B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78867F43">
            <w:pPr>
              <w:rPr>
                <w:b/>
                <w:color w:val="000000" w:themeColor="text1"/>
                <w:sz w:val="18"/>
                <w:szCs w:val="18"/>
                <w14:textFill>
                  <w14:solidFill>
                    <w14:schemeClr w14:val="tx1"/>
                  </w14:solidFill>
                </w14:textFill>
              </w:rPr>
            </w:pPr>
          </w:p>
        </w:tc>
        <w:tc>
          <w:tcPr>
            <w:tcW w:w="1226" w:type="dxa"/>
            <w:vMerge w:val="continue"/>
            <w:vAlign w:val="center"/>
          </w:tcPr>
          <w:p w14:paraId="5ACD2E11">
            <w:pPr>
              <w:adjustRightInd w:val="0"/>
              <w:snapToGrid w:val="0"/>
              <w:jc w:val="center"/>
              <w:rPr>
                <w:b/>
                <w:color w:val="FF0000"/>
                <w:sz w:val="18"/>
                <w:szCs w:val="18"/>
              </w:rPr>
            </w:pPr>
          </w:p>
        </w:tc>
        <w:tc>
          <w:tcPr>
            <w:tcW w:w="3291" w:type="dxa"/>
            <w:shd w:val="clear" w:color="auto" w:fill="auto"/>
            <w:vAlign w:val="center"/>
          </w:tcPr>
          <w:p w14:paraId="0C6D1E6A">
            <w:pPr>
              <w:rPr>
                <w:sz w:val="18"/>
                <w:szCs w:val="18"/>
              </w:rPr>
            </w:pPr>
            <w:r>
              <w:rPr>
                <w:rFonts w:hint="eastAsia"/>
                <w:sz w:val="18"/>
                <w:szCs w:val="18"/>
              </w:rPr>
              <w:t>医学遗传学</w:t>
            </w:r>
          </w:p>
        </w:tc>
        <w:tc>
          <w:tcPr>
            <w:tcW w:w="1306" w:type="dxa"/>
            <w:shd w:val="clear" w:color="auto" w:fill="auto"/>
            <w:vAlign w:val="center"/>
          </w:tcPr>
          <w:p w14:paraId="513492FC">
            <w:pPr>
              <w:jc w:val="center"/>
              <w:rPr>
                <w:color w:val="FF0000"/>
                <w:sz w:val="18"/>
                <w:szCs w:val="18"/>
              </w:rPr>
            </w:pPr>
            <w:r>
              <w:rPr>
                <w:rFonts w:hint="eastAsia"/>
                <w:sz w:val="18"/>
                <w:szCs w:val="18"/>
              </w:rPr>
              <w:t>XS2301115</w:t>
            </w:r>
          </w:p>
        </w:tc>
        <w:tc>
          <w:tcPr>
            <w:tcW w:w="709" w:type="dxa"/>
            <w:shd w:val="clear" w:color="auto" w:fill="auto"/>
            <w:vAlign w:val="center"/>
          </w:tcPr>
          <w:p w14:paraId="68F7BC8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0307EE2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6248B5C5">
            <w:pPr>
              <w:adjustRightInd w:val="0"/>
              <w:snapToGrid w:val="0"/>
              <w:jc w:val="center"/>
              <w:rPr>
                <w:color w:val="000000" w:themeColor="text1"/>
                <w:sz w:val="18"/>
                <w:szCs w:val="18"/>
                <w14:textFill>
                  <w14:solidFill>
                    <w14:schemeClr w14:val="tx1"/>
                  </w14:solidFill>
                </w14:textFill>
              </w:rPr>
            </w:pPr>
          </w:p>
        </w:tc>
      </w:tr>
      <w:tr w14:paraId="36F0A0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29EA2095">
            <w:pPr>
              <w:rPr>
                <w:b/>
                <w:color w:val="000000" w:themeColor="text1"/>
                <w:sz w:val="18"/>
                <w:szCs w:val="18"/>
                <w14:textFill>
                  <w14:solidFill>
                    <w14:schemeClr w14:val="tx1"/>
                  </w14:solidFill>
                </w14:textFill>
              </w:rPr>
            </w:pPr>
          </w:p>
        </w:tc>
        <w:tc>
          <w:tcPr>
            <w:tcW w:w="1226" w:type="dxa"/>
            <w:vMerge w:val="continue"/>
            <w:vAlign w:val="center"/>
          </w:tcPr>
          <w:p w14:paraId="15F0CB93">
            <w:pPr>
              <w:adjustRightInd w:val="0"/>
              <w:snapToGrid w:val="0"/>
              <w:jc w:val="center"/>
              <w:rPr>
                <w:b/>
                <w:color w:val="FF0000"/>
                <w:sz w:val="18"/>
                <w:szCs w:val="18"/>
              </w:rPr>
            </w:pPr>
          </w:p>
        </w:tc>
        <w:tc>
          <w:tcPr>
            <w:tcW w:w="3291" w:type="dxa"/>
            <w:shd w:val="clear" w:color="auto" w:fill="auto"/>
            <w:vAlign w:val="center"/>
          </w:tcPr>
          <w:p w14:paraId="51BE78E7">
            <w:pPr>
              <w:rPr>
                <w:sz w:val="18"/>
                <w:szCs w:val="18"/>
              </w:rPr>
            </w:pPr>
            <w:r>
              <w:rPr>
                <w:rFonts w:hint="eastAsia"/>
                <w:sz w:val="18"/>
                <w:szCs w:val="18"/>
              </w:rPr>
              <w:t>现代神经生物学</w:t>
            </w:r>
          </w:p>
        </w:tc>
        <w:tc>
          <w:tcPr>
            <w:tcW w:w="1306" w:type="dxa"/>
            <w:shd w:val="clear" w:color="auto" w:fill="auto"/>
            <w:vAlign w:val="center"/>
          </w:tcPr>
          <w:p w14:paraId="13312018">
            <w:pPr>
              <w:jc w:val="center"/>
              <w:rPr>
                <w:color w:val="FF0000"/>
                <w:sz w:val="18"/>
                <w:szCs w:val="18"/>
              </w:rPr>
            </w:pPr>
            <w:r>
              <w:rPr>
                <w:rFonts w:hint="eastAsia"/>
                <w:sz w:val="18"/>
                <w:szCs w:val="18"/>
              </w:rPr>
              <w:t>XS2301116</w:t>
            </w:r>
          </w:p>
        </w:tc>
        <w:tc>
          <w:tcPr>
            <w:tcW w:w="709" w:type="dxa"/>
            <w:shd w:val="clear" w:color="auto" w:fill="auto"/>
            <w:vAlign w:val="center"/>
          </w:tcPr>
          <w:p w14:paraId="5EA8FAF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13B0525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continue"/>
            <w:vAlign w:val="center"/>
          </w:tcPr>
          <w:p w14:paraId="6E546697">
            <w:pPr>
              <w:adjustRightInd w:val="0"/>
              <w:snapToGrid w:val="0"/>
              <w:jc w:val="center"/>
              <w:rPr>
                <w:color w:val="000000" w:themeColor="text1"/>
                <w:sz w:val="18"/>
                <w:szCs w:val="18"/>
                <w14:textFill>
                  <w14:solidFill>
                    <w14:schemeClr w14:val="tx1"/>
                  </w14:solidFill>
                </w14:textFill>
              </w:rPr>
            </w:pPr>
          </w:p>
        </w:tc>
      </w:tr>
      <w:tr w14:paraId="17A1C4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484AFD49">
            <w:pPr>
              <w:rPr>
                <w:b/>
                <w:color w:val="000000" w:themeColor="text1"/>
                <w:sz w:val="18"/>
                <w:szCs w:val="18"/>
                <w14:textFill>
                  <w14:solidFill>
                    <w14:schemeClr w14:val="tx1"/>
                  </w14:solidFill>
                </w14:textFill>
              </w:rPr>
            </w:pPr>
          </w:p>
        </w:tc>
        <w:tc>
          <w:tcPr>
            <w:tcW w:w="1226" w:type="dxa"/>
            <w:vMerge w:val="continue"/>
            <w:vAlign w:val="center"/>
          </w:tcPr>
          <w:p w14:paraId="7FE3B3BB">
            <w:pPr>
              <w:adjustRightInd w:val="0"/>
              <w:snapToGrid w:val="0"/>
              <w:jc w:val="center"/>
              <w:rPr>
                <w:b/>
                <w:color w:val="FF0000"/>
                <w:sz w:val="18"/>
                <w:szCs w:val="18"/>
              </w:rPr>
            </w:pPr>
          </w:p>
        </w:tc>
        <w:tc>
          <w:tcPr>
            <w:tcW w:w="3291" w:type="dxa"/>
            <w:vAlign w:val="center"/>
          </w:tcPr>
          <w:p w14:paraId="5D730172">
            <w:pPr>
              <w:rPr>
                <w:sz w:val="18"/>
                <w:szCs w:val="18"/>
              </w:rPr>
            </w:pPr>
            <w:r>
              <w:rPr>
                <w:rFonts w:hint="eastAsia"/>
                <w:sz w:val="18"/>
                <w:szCs w:val="18"/>
              </w:rPr>
              <w:t>计算机辅助药物设计</w:t>
            </w:r>
          </w:p>
        </w:tc>
        <w:tc>
          <w:tcPr>
            <w:tcW w:w="1306" w:type="dxa"/>
            <w:vAlign w:val="center"/>
          </w:tcPr>
          <w:p w14:paraId="200B5DA4">
            <w:pPr>
              <w:jc w:val="center"/>
              <w:rPr>
                <w:sz w:val="18"/>
                <w:szCs w:val="18"/>
              </w:rPr>
            </w:pPr>
            <w:r>
              <w:rPr>
                <w:rFonts w:hint="eastAsia"/>
                <w:sz w:val="18"/>
                <w:szCs w:val="18"/>
              </w:rPr>
              <w:t>XS2301117</w:t>
            </w:r>
          </w:p>
        </w:tc>
        <w:tc>
          <w:tcPr>
            <w:tcW w:w="709" w:type="dxa"/>
            <w:vAlign w:val="center"/>
          </w:tcPr>
          <w:p w14:paraId="6F140D4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6F4E5F8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2CB42FFD">
            <w:pPr>
              <w:adjustRightInd w:val="0"/>
              <w:snapToGrid w:val="0"/>
              <w:jc w:val="center"/>
              <w:rPr>
                <w:color w:val="000000" w:themeColor="text1"/>
                <w:sz w:val="18"/>
                <w:szCs w:val="18"/>
                <w14:textFill>
                  <w14:solidFill>
                    <w14:schemeClr w14:val="tx1"/>
                  </w14:solidFill>
                </w14:textFill>
              </w:rPr>
            </w:pPr>
          </w:p>
        </w:tc>
      </w:tr>
      <w:tr w14:paraId="578000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33F5353D">
            <w:pPr>
              <w:rPr>
                <w:b/>
                <w:color w:val="000000" w:themeColor="text1"/>
                <w:sz w:val="18"/>
                <w:szCs w:val="18"/>
                <w14:textFill>
                  <w14:solidFill>
                    <w14:schemeClr w14:val="tx1"/>
                  </w14:solidFill>
                </w14:textFill>
              </w:rPr>
            </w:pPr>
          </w:p>
        </w:tc>
        <w:tc>
          <w:tcPr>
            <w:tcW w:w="1226" w:type="dxa"/>
            <w:vMerge w:val="continue"/>
            <w:vAlign w:val="center"/>
          </w:tcPr>
          <w:p w14:paraId="61082885">
            <w:pPr>
              <w:adjustRightInd w:val="0"/>
              <w:snapToGrid w:val="0"/>
              <w:jc w:val="center"/>
              <w:rPr>
                <w:b/>
                <w:color w:val="FF0000"/>
                <w:sz w:val="18"/>
                <w:szCs w:val="18"/>
              </w:rPr>
            </w:pPr>
          </w:p>
        </w:tc>
        <w:tc>
          <w:tcPr>
            <w:tcW w:w="3291" w:type="dxa"/>
            <w:shd w:val="clear" w:color="auto" w:fill="auto"/>
            <w:vAlign w:val="center"/>
          </w:tcPr>
          <w:p w14:paraId="11075B79">
            <w:pPr>
              <w:rPr>
                <w:sz w:val="18"/>
                <w:szCs w:val="18"/>
              </w:rPr>
            </w:pPr>
            <w:r>
              <w:rPr>
                <w:rFonts w:hint="eastAsia"/>
                <w:sz w:val="18"/>
                <w:szCs w:val="18"/>
              </w:rPr>
              <w:t>医学人工智能导论</w:t>
            </w:r>
          </w:p>
        </w:tc>
        <w:tc>
          <w:tcPr>
            <w:tcW w:w="1306" w:type="dxa"/>
            <w:shd w:val="clear" w:color="auto" w:fill="auto"/>
            <w:vAlign w:val="center"/>
          </w:tcPr>
          <w:p w14:paraId="624CECAC">
            <w:pPr>
              <w:jc w:val="center"/>
              <w:rPr>
                <w:color w:val="FF0000"/>
                <w:sz w:val="18"/>
                <w:szCs w:val="18"/>
              </w:rPr>
            </w:pPr>
            <w:r>
              <w:rPr>
                <w:rFonts w:hint="eastAsia"/>
                <w:sz w:val="18"/>
                <w:szCs w:val="18"/>
              </w:rPr>
              <w:t>XS2301118</w:t>
            </w:r>
          </w:p>
        </w:tc>
        <w:tc>
          <w:tcPr>
            <w:tcW w:w="709" w:type="dxa"/>
            <w:shd w:val="clear" w:color="auto" w:fill="auto"/>
            <w:vAlign w:val="center"/>
          </w:tcPr>
          <w:p w14:paraId="3C2079C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44EC5B0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3A6BE013">
            <w:pPr>
              <w:adjustRightInd w:val="0"/>
              <w:snapToGrid w:val="0"/>
              <w:jc w:val="center"/>
              <w:rPr>
                <w:color w:val="000000" w:themeColor="text1"/>
                <w:sz w:val="18"/>
                <w:szCs w:val="18"/>
                <w14:textFill>
                  <w14:solidFill>
                    <w14:schemeClr w14:val="tx1"/>
                  </w14:solidFill>
                </w14:textFill>
              </w:rPr>
            </w:pPr>
          </w:p>
        </w:tc>
      </w:tr>
      <w:tr w14:paraId="65173A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64AFB379">
            <w:pPr>
              <w:rPr>
                <w:b/>
                <w:color w:val="000000" w:themeColor="text1"/>
                <w:sz w:val="18"/>
                <w:szCs w:val="18"/>
                <w14:textFill>
                  <w14:solidFill>
                    <w14:schemeClr w14:val="tx1"/>
                  </w14:solidFill>
                </w14:textFill>
              </w:rPr>
            </w:pPr>
          </w:p>
        </w:tc>
        <w:tc>
          <w:tcPr>
            <w:tcW w:w="1226" w:type="dxa"/>
            <w:vMerge w:val="continue"/>
            <w:vAlign w:val="center"/>
          </w:tcPr>
          <w:p w14:paraId="43851813">
            <w:pPr>
              <w:adjustRightInd w:val="0"/>
              <w:snapToGrid w:val="0"/>
              <w:jc w:val="center"/>
              <w:rPr>
                <w:b/>
                <w:color w:val="FF0000"/>
                <w:sz w:val="18"/>
                <w:szCs w:val="18"/>
              </w:rPr>
            </w:pPr>
          </w:p>
        </w:tc>
        <w:tc>
          <w:tcPr>
            <w:tcW w:w="3291" w:type="dxa"/>
            <w:vAlign w:val="center"/>
          </w:tcPr>
          <w:p w14:paraId="63F9790D">
            <w:pPr>
              <w:rPr>
                <w:sz w:val="18"/>
                <w:szCs w:val="18"/>
              </w:rPr>
            </w:pPr>
            <w:r>
              <w:rPr>
                <w:rFonts w:hint="eastAsia"/>
                <w:sz w:val="18"/>
                <w:szCs w:val="18"/>
              </w:rPr>
              <w:t>纳米医学</w:t>
            </w:r>
          </w:p>
        </w:tc>
        <w:tc>
          <w:tcPr>
            <w:tcW w:w="1306" w:type="dxa"/>
            <w:vAlign w:val="center"/>
          </w:tcPr>
          <w:p w14:paraId="74A5D3FE">
            <w:pPr>
              <w:jc w:val="center"/>
              <w:rPr>
                <w:color w:val="FF0000"/>
                <w:sz w:val="18"/>
                <w:szCs w:val="18"/>
              </w:rPr>
            </w:pPr>
            <w:r>
              <w:rPr>
                <w:rFonts w:hint="eastAsia"/>
                <w:sz w:val="18"/>
                <w:szCs w:val="18"/>
              </w:rPr>
              <w:t>XS2301119</w:t>
            </w:r>
          </w:p>
        </w:tc>
        <w:tc>
          <w:tcPr>
            <w:tcW w:w="709" w:type="dxa"/>
            <w:vAlign w:val="center"/>
          </w:tcPr>
          <w:p w14:paraId="18C2A32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7DFA980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continue"/>
            <w:vAlign w:val="center"/>
          </w:tcPr>
          <w:p w14:paraId="11A7954C">
            <w:pPr>
              <w:adjustRightInd w:val="0"/>
              <w:snapToGrid w:val="0"/>
              <w:jc w:val="center"/>
              <w:rPr>
                <w:color w:val="000000" w:themeColor="text1"/>
                <w:sz w:val="18"/>
                <w:szCs w:val="18"/>
                <w14:textFill>
                  <w14:solidFill>
                    <w14:schemeClr w14:val="tx1"/>
                  </w14:solidFill>
                </w14:textFill>
              </w:rPr>
            </w:pPr>
          </w:p>
        </w:tc>
      </w:tr>
      <w:tr w14:paraId="6CC6BC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471FF20B">
            <w:pPr>
              <w:rPr>
                <w:b/>
                <w:color w:val="000000" w:themeColor="text1"/>
                <w:sz w:val="18"/>
                <w:szCs w:val="18"/>
                <w14:textFill>
                  <w14:solidFill>
                    <w14:schemeClr w14:val="tx1"/>
                  </w14:solidFill>
                </w14:textFill>
              </w:rPr>
            </w:pPr>
          </w:p>
        </w:tc>
        <w:tc>
          <w:tcPr>
            <w:tcW w:w="1226" w:type="dxa"/>
            <w:vMerge w:val="continue"/>
            <w:vAlign w:val="center"/>
          </w:tcPr>
          <w:p w14:paraId="2F956916">
            <w:pPr>
              <w:adjustRightInd w:val="0"/>
              <w:snapToGrid w:val="0"/>
              <w:jc w:val="center"/>
              <w:rPr>
                <w:b/>
                <w:color w:val="FF0000"/>
                <w:sz w:val="18"/>
                <w:szCs w:val="18"/>
              </w:rPr>
            </w:pPr>
          </w:p>
        </w:tc>
        <w:tc>
          <w:tcPr>
            <w:tcW w:w="3291" w:type="dxa"/>
            <w:shd w:val="clear" w:color="auto" w:fill="auto"/>
            <w:vAlign w:val="center"/>
          </w:tcPr>
          <w:p w14:paraId="11ED49B6">
            <w:pPr>
              <w:rPr>
                <w:sz w:val="18"/>
                <w:szCs w:val="18"/>
              </w:rPr>
            </w:pPr>
            <w:r>
              <w:rPr>
                <w:rFonts w:hint="eastAsia"/>
                <w:sz w:val="18"/>
                <w:szCs w:val="18"/>
              </w:rPr>
              <w:t>医学导师论坛</w:t>
            </w:r>
          </w:p>
        </w:tc>
        <w:tc>
          <w:tcPr>
            <w:tcW w:w="1306" w:type="dxa"/>
            <w:shd w:val="clear" w:color="auto" w:fill="auto"/>
            <w:vAlign w:val="center"/>
          </w:tcPr>
          <w:p w14:paraId="573180FD">
            <w:pPr>
              <w:jc w:val="center"/>
              <w:rPr>
                <w:sz w:val="18"/>
                <w:szCs w:val="18"/>
              </w:rPr>
            </w:pPr>
            <w:r>
              <w:rPr>
                <w:rFonts w:hint="eastAsia"/>
                <w:sz w:val="18"/>
                <w:szCs w:val="18"/>
              </w:rPr>
              <w:t>XS2301110</w:t>
            </w:r>
          </w:p>
        </w:tc>
        <w:tc>
          <w:tcPr>
            <w:tcW w:w="709" w:type="dxa"/>
            <w:shd w:val="clear" w:color="auto" w:fill="auto"/>
            <w:vAlign w:val="center"/>
          </w:tcPr>
          <w:p w14:paraId="212E5AC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shd w:val="clear" w:color="auto" w:fill="auto"/>
            <w:vAlign w:val="center"/>
          </w:tcPr>
          <w:p w14:paraId="0A5C66B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continue"/>
            <w:vAlign w:val="center"/>
          </w:tcPr>
          <w:p w14:paraId="15DD7B0F">
            <w:pPr>
              <w:adjustRightInd w:val="0"/>
              <w:snapToGrid w:val="0"/>
              <w:jc w:val="center"/>
              <w:rPr>
                <w:color w:val="000000" w:themeColor="text1"/>
                <w:sz w:val="18"/>
                <w:szCs w:val="18"/>
                <w14:textFill>
                  <w14:solidFill>
                    <w14:schemeClr w14:val="tx1"/>
                  </w14:solidFill>
                </w14:textFill>
              </w:rPr>
            </w:pPr>
          </w:p>
        </w:tc>
      </w:tr>
      <w:tr w14:paraId="5AF6D0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restart"/>
            <w:vAlign w:val="center"/>
          </w:tcPr>
          <w:p w14:paraId="1F3E24B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2E13EA2F">
            <w:pPr>
              <w:jc w:val="center"/>
              <w:rPr>
                <w:b/>
                <w:color w:val="000000" w:themeColor="text1"/>
                <w:sz w:val="18"/>
                <w:szCs w:val="18"/>
                <w14:textFill>
                  <w14:solidFill>
                    <w14:schemeClr w14:val="tx1"/>
                  </w14:solidFill>
                </w14:textFill>
              </w:rPr>
            </w:pPr>
          </w:p>
        </w:tc>
        <w:tc>
          <w:tcPr>
            <w:tcW w:w="1226" w:type="dxa"/>
            <w:vMerge w:val="restart"/>
            <w:vAlign w:val="center"/>
          </w:tcPr>
          <w:p w14:paraId="4D0BD52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291" w:type="dxa"/>
            <w:vAlign w:val="center"/>
          </w:tcPr>
          <w:p w14:paraId="59FD2F54">
            <w:pPr>
              <w:rPr>
                <w:sz w:val="18"/>
                <w:szCs w:val="18"/>
              </w:rPr>
            </w:pPr>
            <w:r>
              <w:rPr>
                <w:rFonts w:hint="eastAsia"/>
                <w:sz w:val="18"/>
                <w:szCs w:val="18"/>
              </w:rPr>
              <w:t>入学教育</w:t>
            </w:r>
          </w:p>
        </w:tc>
        <w:tc>
          <w:tcPr>
            <w:tcW w:w="1306" w:type="dxa"/>
            <w:vAlign w:val="center"/>
          </w:tcPr>
          <w:p w14:paraId="610D9483">
            <w:pPr>
              <w:jc w:val="center"/>
              <w:rPr>
                <w:color w:val="000000" w:themeColor="text1"/>
                <w:sz w:val="18"/>
                <w:szCs w:val="18"/>
                <w14:textFill>
                  <w14:solidFill>
                    <w14:schemeClr w14:val="tx1"/>
                  </w14:solidFill>
                </w14:textFill>
              </w:rPr>
            </w:pPr>
          </w:p>
        </w:tc>
        <w:tc>
          <w:tcPr>
            <w:tcW w:w="709" w:type="dxa"/>
            <w:vAlign w:val="center"/>
          </w:tcPr>
          <w:p w14:paraId="61074E1D">
            <w:pPr>
              <w:jc w:val="center"/>
              <w:rPr>
                <w:color w:val="000000" w:themeColor="text1"/>
                <w:sz w:val="18"/>
                <w:szCs w:val="18"/>
                <w14:textFill>
                  <w14:solidFill>
                    <w14:schemeClr w14:val="tx1"/>
                  </w14:solidFill>
                </w14:textFill>
              </w:rPr>
            </w:pPr>
          </w:p>
        </w:tc>
        <w:tc>
          <w:tcPr>
            <w:tcW w:w="709" w:type="dxa"/>
            <w:vAlign w:val="center"/>
          </w:tcPr>
          <w:p w14:paraId="704C974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4554A2D0">
            <w:pPr>
              <w:rPr>
                <w:i/>
                <w:color w:val="FF0000"/>
                <w:sz w:val="18"/>
                <w:szCs w:val="18"/>
              </w:rPr>
            </w:pPr>
          </w:p>
        </w:tc>
      </w:tr>
      <w:tr w14:paraId="49031E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49AC1DB2">
            <w:pPr>
              <w:jc w:val="center"/>
              <w:rPr>
                <w:b/>
                <w:color w:val="000000" w:themeColor="text1"/>
                <w:sz w:val="18"/>
                <w:szCs w:val="18"/>
                <w14:textFill>
                  <w14:solidFill>
                    <w14:schemeClr w14:val="tx1"/>
                  </w14:solidFill>
                </w14:textFill>
              </w:rPr>
            </w:pPr>
          </w:p>
        </w:tc>
        <w:tc>
          <w:tcPr>
            <w:tcW w:w="1226" w:type="dxa"/>
            <w:vMerge w:val="continue"/>
            <w:vAlign w:val="center"/>
          </w:tcPr>
          <w:p w14:paraId="6AFC1964">
            <w:pPr>
              <w:jc w:val="center"/>
              <w:rPr>
                <w:b/>
                <w:color w:val="000000" w:themeColor="text1"/>
                <w:sz w:val="18"/>
                <w:szCs w:val="18"/>
                <w14:textFill>
                  <w14:solidFill>
                    <w14:schemeClr w14:val="tx1"/>
                  </w14:solidFill>
                </w14:textFill>
              </w:rPr>
            </w:pPr>
          </w:p>
        </w:tc>
        <w:tc>
          <w:tcPr>
            <w:tcW w:w="3291" w:type="dxa"/>
            <w:vAlign w:val="center"/>
          </w:tcPr>
          <w:p w14:paraId="64670876">
            <w:pPr>
              <w:rPr>
                <w:sz w:val="18"/>
                <w:szCs w:val="18"/>
              </w:rPr>
            </w:pPr>
            <w:r>
              <w:rPr>
                <w:rFonts w:hint="eastAsia"/>
                <w:sz w:val="18"/>
                <w:szCs w:val="18"/>
              </w:rPr>
              <w:t>学术活动</w:t>
            </w:r>
          </w:p>
        </w:tc>
        <w:tc>
          <w:tcPr>
            <w:tcW w:w="1306" w:type="dxa"/>
            <w:vAlign w:val="center"/>
          </w:tcPr>
          <w:p w14:paraId="5FBC8FE0">
            <w:pPr>
              <w:jc w:val="center"/>
              <w:rPr>
                <w:color w:val="000000" w:themeColor="text1"/>
                <w:sz w:val="18"/>
                <w:szCs w:val="18"/>
                <w14:textFill>
                  <w14:solidFill>
                    <w14:schemeClr w14:val="tx1"/>
                  </w14:solidFill>
                </w14:textFill>
              </w:rPr>
            </w:pPr>
          </w:p>
        </w:tc>
        <w:tc>
          <w:tcPr>
            <w:tcW w:w="709" w:type="dxa"/>
            <w:vAlign w:val="center"/>
          </w:tcPr>
          <w:p w14:paraId="5FE86BA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7275BE8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1045" w:type="dxa"/>
            <w:vMerge w:val="continue"/>
            <w:vAlign w:val="center"/>
          </w:tcPr>
          <w:p w14:paraId="2A1A2B7D">
            <w:pPr>
              <w:jc w:val="center"/>
              <w:rPr>
                <w:color w:val="000000" w:themeColor="text1"/>
                <w:sz w:val="18"/>
                <w:szCs w:val="18"/>
                <w14:textFill>
                  <w14:solidFill>
                    <w14:schemeClr w14:val="tx1"/>
                  </w14:solidFill>
                </w14:textFill>
              </w:rPr>
            </w:pPr>
          </w:p>
        </w:tc>
      </w:tr>
      <w:tr w14:paraId="7055B2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17C7F1A7">
            <w:pPr>
              <w:jc w:val="center"/>
              <w:rPr>
                <w:b/>
                <w:color w:val="000000" w:themeColor="text1"/>
                <w:sz w:val="18"/>
                <w:szCs w:val="18"/>
                <w14:textFill>
                  <w14:solidFill>
                    <w14:schemeClr w14:val="tx1"/>
                  </w14:solidFill>
                </w14:textFill>
              </w:rPr>
            </w:pPr>
          </w:p>
        </w:tc>
        <w:tc>
          <w:tcPr>
            <w:tcW w:w="1226" w:type="dxa"/>
            <w:vMerge w:val="continue"/>
            <w:vAlign w:val="center"/>
          </w:tcPr>
          <w:p w14:paraId="6C8E5A2C">
            <w:pPr>
              <w:jc w:val="center"/>
              <w:rPr>
                <w:b/>
                <w:color w:val="000000" w:themeColor="text1"/>
                <w:sz w:val="18"/>
                <w:szCs w:val="18"/>
                <w14:textFill>
                  <w14:solidFill>
                    <w14:schemeClr w14:val="tx1"/>
                  </w14:solidFill>
                </w14:textFill>
              </w:rPr>
            </w:pPr>
          </w:p>
        </w:tc>
        <w:tc>
          <w:tcPr>
            <w:tcW w:w="3291" w:type="dxa"/>
            <w:vAlign w:val="center"/>
          </w:tcPr>
          <w:p w14:paraId="2C264744">
            <w:pPr>
              <w:adjustRightInd w:val="0"/>
              <w:snapToGri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竞赛活动</w:t>
            </w:r>
          </w:p>
        </w:tc>
        <w:tc>
          <w:tcPr>
            <w:tcW w:w="1306" w:type="dxa"/>
            <w:vAlign w:val="center"/>
          </w:tcPr>
          <w:p w14:paraId="5388CA27">
            <w:pPr>
              <w:jc w:val="center"/>
              <w:rPr>
                <w:color w:val="000000" w:themeColor="text1"/>
                <w:sz w:val="18"/>
                <w:szCs w:val="18"/>
                <w14:textFill>
                  <w14:solidFill>
                    <w14:schemeClr w14:val="tx1"/>
                  </w14:solidFill>
                </w14:textFill>
              </w:rPr>
            </w:pPr>
          </w:p>
        </w:tc>
        <w:tc>
          <w:tcPr>
            <w:tcW w:w="709" w:type="dxa"/>
            <w:vAlign w:val="center"/>
          </w:tcPr>
          <w:p w14:paraId="41C01AD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01D1F6A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1045" w:type="dxa"/>
            <w:vMerge w:val="continue"/>
            <w:vAlign w:val="center"/>
          </w:tcPr>
          <w:p w14:paraId="6EEF607E">
            <w:pPr>
              <w:jc w:val="center"/>
              <w:rPr>
                <w:color w:val="000000" w:themeColor="text1"/>
                <w:sz w:val="18"/>
                <w:szCs w:val="18"/>
                <w14:textFill>
                  <w14:solidFill>
                    <w14:schemeClr w14:val="tx1"/>
                  </w14:solidFill>
                </w14:textFill>
              </w:rPr>
            </w:pPr>
          </w:p>
        </w:tc>
      </w:tr>
      <w:tr w14:paraId="3EDA67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229E17EA">
            <w:pPr>
              <w:rPr>
                <w:b/>
                <w:color w:val="000000" w:themeColor="text1"/>
                <w:sz w:val="18"/>
                <w:szCs w:val="18"/>
                <w14:textFill>
                  <w14:solidFill>
                    <w14:schemeClr w14:val="tx1"/>
                  </w14:solidFill>
                </w14:textFill>
              </w:rPr>
            </w:pPr>
          </w:p>
        </w:tc>
        <w:tc>
          <w:tcPr>
            <w:tcW w:w="1226" w:type="dxa"/>
            <w:vMerge w:val="restart"/>
            <w:vAlign w:val="center"/>
          </w:tcPr>
          <w:p w14:paraId="260833B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291" w:type="dxa"/>
            <w:vAlign w:val="center"/>
          </w:tcPr>
          <w:p w14:paraId="23B4C6C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306" w:type="dxa"/>
            <w:vAlign w:val="center"/>
          </w:tcPr>
          <w:p w14:paraId="693B7FB6">
            <w:pPr>
              <w:jc w:val="center"/>
              <w:rPr>
                <w:color w:val="000000" w:themeColor="text1"/>
                <w:sz w:val="18"/>
                <w:szCs w:val="18"/>
                <w14:textFill>
                  <w14:solidFill>
                    <w14:schemeClr w14:val="tx1"/>
                  </w14:solidFill>
                </w14:textFill>
              </w:rPr>
            </w:pPr>
          </w:p>
        </w:tc>
        <w:tc>
          <w:tcPr>
            <w:tcW w:w="709" w:type="dxa"/>
            <w:vAlign w:val="center"/>
          </w:tcPr>
          <w:p w14:paraId="2A9F4FC5">
            <w:pPr>
              <w:jc w:val="center"/>
              <w:rPr>
                <w:color w:val="000000" w:themeColor="text1"/>
                <w:sz w:val="18"/>
                <w:szCs w:val="18"/>
                <w14:textFill>
                  <w14:solidFill>
                    <w14:schemeClr w14:val="tx1"/>
                  </w14:solidFill>
                </w14:textFill>
              </w:rPr>
            </w:pPr>
          </w:p>
        </w:tc>
        <w:tc>
          <w:tcPr>
            <w:tcW w:w="709" w:type="dxa"/>
            <w:vAlign w:val="center"/>
          </w:tcPr>
          <w:p w14:paraId="3CC40C9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045" w:type="dxa"/>
            <w:vMerge w:val="restart"/>
            <w:vAlign w:val="center"/>
          </w:tcPr>
          <w:p w14:paraId="4822BB8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7781850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21969E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5BCD8EF9">
            <w:pPr>
              <w:rPr>
                <w:b/>
                <w:color w:val="000000" w:themeColor="text1"/>
                <w:sz w:val="18"/>
                <w:szCs w:val="18"/>
                <w14:textFill>
                  <w14:solidFill>
                    <w14:schemeClr w14:val="tx1"/>
                  </w14:solidFill>
                </w14:textFill>
              </w:rPr>
            </w:pPr>
          </w:p>
        </w:tc>
        <w:tc>
          <w:tcPr>
            <w:tcW w:w="1226" w:type="dxa"/>
            <w:vMerge w:val="continue"/>
            <w:vAlign w:val="center"/>
          </w:tcPr>
          <w:p w14:paraId="77F2BC52">
            <w:pPr>
              <w:jc w:val="center"/>
              <w:rPr>
                <w:b/>
                <w:color w:val="000000" w:themeColor="text1"/>
                <w:sz w:val="18"/>
                <w:szCs w:val="18"/>
                <w14:textFill>
                  <w14:solidFill>
                    <w14:schemeClr w14:val="tx1"/>
                  </w14:solidFill>
                </w14:textFill>
              </w:rPr>
            </w:pPr>
          </w:p>
        </w:tc>
        <w:tc>
          <w:tcPr>
            <w:tcW w:w="3291" w:type="dxa"/>
            <w:vAlign w:val="center"/>
          </w:tcPr>
          <w:p w14:paraId="362F9C2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306" w:type="dxa"/>
            <w:vAlign w:val="center"/>
          </w:tcPr>
          <w:p w14:paraId="5B85B86A">
            <w:pPr>
              <w:jc w:val="center"/>
              <w:rPr>
                <w:color w:val="000000" w:themeColor="text1"/>
                <w:sz w:val="18"/>
                <w:szCs w:val="18"/>
                <w14:textFill>
                  <w14:solidFill>
                    <w14:schemeClr w14:val="tx1"/>
                  </w14:solidFill>
                </w14:textFill>
              </w:rPr>
            </w:pPr>
          </w:p>
        </w:tc>
        <w:tc>
          <w:tcPr>
            <w:tcW w:w="709" w:type="dxa"/>
            <w:vAlign w:val="center"/>
          </w:tcPr>
          <w:p w14:paraId="3400A236">
            <w:pPr>
              <w:jc w:val="center"/>
              <w:rPr>
                <w:color w:val="000000" w:themeColor="text1"/>
                <w:sz w:val="18"/>
                <w:szCs w:val="18"/>
                <w14:textFill>
                  <w14:solidFill>
                    <w14:schemeClr w14:val="tx1"/>
                  </w14:solidFill>
                </w14:textFill>
              </w:rPr>
            </w:pPr>
          </w:p>
        </w:tc>
        <w:tc>
          <w:tcPr>
            <w:tcW w:w="709" w:type="dxa"/>
            <w:vAlign w:val="center"/>
          </w:tcPr>
          <w:p w14:paraId="175BB41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045" w:type="dxa"/>
            <w:vMerge w:val="continue"/>
            <w:vAlign w:val="center"/>
          </w:tcPr>
          <w:p w14:paraId="34184187">
            <w:pPr>
              <w:jc w:val="center"/>
              <w:rPr>
                <w:color w:val="000000" w:themeColor="text1"/>
                <w:sz w:val="18"/>
                <w:szCs w:val="18"/>
                <w14:textFill>
                  <w14:solidFill>
                    <w14:schemeClr w14:val="tx1"/>
                  </w14:solidFill>
                </w14:textFill>
              </w:rPr>
            </w:pPr>
          </w:p>
        </w:tc>
      </w:tr>
      <w:tr w14:paraId="3D4D52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2A58DDA0">
            <w:pPr>
              <w:rPr>
                <w:b/>
                <w:color w:val="000000" w:themeColor="text1"/>
                <w:sz w:val="18"/>
                <w:szCs w:val="18"/>
                <w14:textFill>
                  <w14:solidFill>
                    <w14:schemeClr w14:val="tx1"/>
                  </w14:solidFill>
                </w14:textFill>
              </w:rPr>
            </w:pPr>
          </w:p>
        </w:tc>
        <w:tc>
          <w:tcPr>
            <w:tcW w:w="1226" w:type="dxa"/>
            <w:vMerge w:val="continue"/>
            <w:vAlign w:val="center"/>
          </w:tcPr>
          <w:p w14:paraId="2E3B0118">
            <w:pPr>
              <w:jc w:val="center"/>
              <w:rPr>
                <w:b/>
                <w:color w:val="000000" w:themeColor="text1"/>
                <w:sz w:val="18"/>
                <w:szCs w:val="18"/>
                <w14:textFill>
                  <w14:solidFill>
                    <w14:schemeClr w14:val="tx1"/>
                  </w14:solidFill>
                </w14:textFill>
              </w:rPr>
            </w:pPr>
          </w:p>
        </w:tc>
        <w:tc>
          <w:tcPr>
            <w:tcW w:w="3291" w:type="dxa"/>
            <w:vAlign w:val="center"/>
          </w:tcPr>
          <w:p w14:paraId="28A5B183">
            <w:pPr>
              <w:rPr>
                <w:sz w:val="18"/>
                <w:szCs w:val="18"/>
              </w:rPr>
            </w:pPr>
            <w:r>
              <w:rPr>
                <w:sz w:val="18"/>
                <w:szCs w:val="18"/>
              </w:rPr>
              <w:t>论文中期进展报告</w:t>
            </w:r>
          </w:p>
        </w:tc>
        <w:tc>
          <w:tcPr>
            <w:tcW w:w="1306" w:type="dxa"/>
            <w:vAlign w:val="center"/>
          </w:tcPr>
          <w:p w14:paraId="7797C67A">
            <w:pPr>
              <w:jc w:val="center"/>
              <w:rPr>
                <w:color w:val="000000" w:themeColor="text1"/>
                <w:sz w:val="18"/>
                <w:szCs w:val="18"/>
                <w14:textFill>
                  <w14:solidFill>
                    <w14:schemeClr w14:val="tx1"/>
                  </w14:solidFill>
                </w14:textFill>
              </w:rPr>
            </w:pPr>
          </w:p>
        </w:tc>
        <w:tc>
          <w:tcPr>
            <w:tcW w:w="709" w:type="dxa"/>
            <w:vAlign w:val="center"/>
          </w:tcPr>
          <w:p w14:paraId="14A63900">
            <w:pPr>
              <w:jc w:val="center"/>
              <w:rPr>
                <w:color w:val="000000" w:themeColor="text1"/>
                <w:sz w:val="18"/>
                <w:szCs w:val="18"/>
                <w14:textFill>
                  <w14:solidFill>
                    <w14:schemeClr w14:val="tx1"/>
                  </w14:solidFill>
                </w14:textFill>
              </w:rPr>
            </w:pPr>
          </w:p>
        </w:tc>
        <w:tc>
          <w:tcPr>
            <w:tcW w:w="709" w:type="dxa"/>
            <w:vAlign w:val="center"/>
          </w:tcPr>
          <w:p w14:paraId="47E5601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045" w:type="dxa"/>
            <w:vMerge w:val="continue"/>
          </w:tcPr>
          <w:p w14:paraId="45A3F07A">
            <w:pPr>
              <w:jc w:val="center"/>
              <w:rPr>
                <w:color w:val="000000" w:themeColor="text1"/>
                <w:sz w:val="18"/>
                <w:szCs w:val="18"/>
                <w14:textFill>
                  <w14:solidFill>
                    <w14:schemeClr w14:val="tx1"/>
                  </w14:solidFill>
                </w14:textFill>
              </w:rPr>
            </w:pPr>
          </w:p>
        </w:tc>
      </w:tr>
      <w:tr w14:paraId="412490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5A727F46">
            <w:pPr>
              <w:rPr>
                <w:b/>
                <w:color w:val="000000" w:themeColor="text1"/>
                <w:sz w:val="18"/>
                <w:szCs w:val="18"/>
                <w14:textFill>
                  <w14:solidFill>
                    <w14:schemeClr w14:val="tx1"/>
                  </w14:solidFill>
                </w14:textFill>
              </w:rPr>
            </w:pPr>
          </w:p>
        </w:tc>
        <w:tc>
          <w:tcPr>
            <w:tcW w:w="1226" w:type="dxa"/>
            <w:vMerge w:val="continue"/>
            <w:vAlign w:val="center"/>
          </w:tcPr>
          <w:p w14:paraId="758976F8">
            <w:pPr>
              <w:jc w:val="center"/>
              <w:rPr>
                <w:b/>
                <w:color w:val="000000" w:themeColor="text1"/>
                <w:sz w:val="18"/>
                <w:szCs w:val="18"/>
                <w14:textFill>
                  <w14:solidFill>
                    <w14:schemeClr w14:val="tx1"/>
                  </w14:solidFill>
                </w14:textFill>
              </w:rPr>
            </w:pPr>
          </w:p>
        </w:tc>
        <w:tc>
          <w:tcPr>
            <w:tcW w:w="3291" w:type="dxa"/>
            <w:vAlign w:val="center"/>
          </w:tcPr>
          <w:p w14:paraId="35A6006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306" w:type="dxa"/>
            <w:vAlign w:val="center"/>
          </w:tcPr>
          <w:p w14:paraId="3C6B4B03">
            <w:pPr>
              <w:jc w:val="center"/>
              <w:rPr>
                <w:color w:val="000000" w:themeColor="text1"/>
                <w:sz w:val="18"/>
                <w:szCs w:val="18"/>
                <w14:textFill>
                  <w14:solidFill>
                    <w14:schemeClr w14:val="tx1"/>
                  </w14:solidFill>
                </w14:textFill>
              </w:rPr>
            </w:pPr>
          </w:p>
        </w:tc>
        <w:tc>
          <w:tcPr>
            <w:tcW w:w="709" w:type="dxa"/>
            <w:vAlign w:val="center"/>
          </w:tcPr>
          <w:p w14:paraId="7B297DC4">
            <w:pPr>
              <w:jc w:val="center"/>
              <w:rPr>
                <w:color w:val="000000" w:themeColor="text1"/>
                <w:sz w:val="18"/>
                <w:szCs w:val="18"/>
                <w14:textFill>
                  <w14:solidFill>
                    <w14:schemeClr w14:val="tx1"/>
                  </w14:solidFill>
                </w14:textFill>
              </w:rPr>
            </w:pPr>
          </w:p>
        </w:tc>
        <w:tc>
          <w:tcPr>
            <w:tcW w:w="709" w:type="dxa"/>
            <w:vAlign w:val="center"/>
          </w:tcPr>
          <w:p w14:paraId="01CAB39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5857F37B">
            <w:pPr>
              <w:jc w:val="center"/>
              <w:rPr>
                <w:color w:val="000000" w:themeColor="text1"/>
                <w:sz w:val="18"/>
                <w:szCs w:val="18"/>
                <w14:textFill>
                  <w14:solidFill>
                    <w14:schemeClr w14:val="tx1"/>
                  </w14:solidFill>
                </w14:textFill>
              </w:rPr>
            </w:pPr>
          </w:p>
        </w:tc>
      </w:tr>
      <w:tr w14:paraId="7533E7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32D3CE28">
            <w:pPr>
              <w:rPr>
                <w:color w:val="000000" w:themeColor="text1"/>
                <w:sz w:val="18"/>
                <w:szCs w:val="18"/>
                <w14:textFill>
                  <w14:solidFill>
                    <w14:schemeClr w14:val="tx1"/>
                  </w14:solidFill>
                </w14:textFill>
              </w:rPr>
            </w:pPr>
          </w:p>
        </w:tc>
        <w:tc>
          <w:tcPr>
            <w:tcW w:w="1226" w:type="dxa"/>
            <w:vMerge w:val="continue"/>
          </w:tcPr>
          <w:p w14:paraId="0298AB87">
            <w:pPr>
              <w:jc w:val="center"/>
              <w:rPr>
                <w:color w:val="000000" w:themeColor="text1"/>
                <w:sz w:val="18"/>
                <w:szCs w:val="18"/>
                <w14:textFill>
                  <w14:solidFill>
                    <w14:schemeClr w14:val="tx1"/>
                  </w14:solidFill>
                </w14:textFill>
              </w:rPr>
            </w:pPr>
          </w:p>
        </w:tc>
        <w:tc>
          <w:tcPr>
            <w:tcW w:w="3291" w:type="dxa"/>
            <w:vAlign w:val="center"/>
          </w:tcPr>
          <w:p w14:paraId="35F9091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306" w:type="dxa"/>
            <w:vAlign w:val="center"/>
          </w:tcPr>
          <w:p w14:paraId="2DDEE09F">
            <w:pPr>
              <w:jc w:val="center"/>
              <w:rPr>
                <w:color w:val="000000" w:themeColor="text1"/>
                <w:sz w:val="18"/>
                <w:szCs w:val="18"/>
                <w14:textFill>
                  <w14:solidFill>
                    <w14:schemeClr w14:val="tx1"/>
                  </w14:solidFill>
                </w14:textFill>
              </w:rPr>
            </w:pPr>
          </w:p>
        </w:tc>
        <w:tc>
          <w:tcPr>
            <w:tcW w:w="709" w:type="dxa"/>
            <w:vAlign w:val="center"/>
          </w:tcPr>
          <w:p w14:paraId="5A5C0AC1">
            <w:pPr>
              <w:jc w:val="center"/>
              <w:rPr>
                <w:color w:val="000000" w:themeColor="text1"/>
                <w:sz w:val="18"/>
                <w:szCs w:val="18"/>
                <w14:textFill>
                  <w14:solidFill>
                    <w14:schemeClr w14:val="tx1"/>
                  </w14:solidFill>
                </w14:textFill>
              </w:rPr>
            </w:pPr>
          </w:p>
        </w:tc>
        <w:tc>
          <w:tcPr>
            <w:tcW w:w="709" w:type="dxa"/>
            <w:vAlign w:val="center"/>
          </w:tcPr>
          <w:p w14:paraId="1815638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079834F2">
            <w:pPr>
              <w:jc w:val="center"/>
              <w:rPr>
                <w:color w:val="000000" w:themeColor="text1"/>
                <w:sz w:val="18"/>
                <w:szCs w:val="18"/>
                <w14:textFill>
                  <w14:solidFill>
                    <w14:schemeClr w14:val="tx1"/>
                  </w14:solidFill>
                </w14:textFill>
              </w:rPr>
            </w:pPr>
          </w:p>
        </w:tc>
      </w:tr>
      <w:tr w14:paraId="02C39A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3546767">
            <w:pPr>
              <w:rPr>
                <w:color w:val="000000" w:themeColor="text1"/>
                <w:sz w:val="18"/>
                <w:szCs w:val="18"/>
                <w14:textFill>
                  <w14:solidFill>
                    <w14:schemeClr w14:val="tx1"/>
                  </w14:solidFill>
                </w14:textFill>
              </w:rPr>
            </w:pPr>
          </w:p>
        </w:tc>
        <w:tc>
          <w:tcPr>
            <w:tcW w:w="1226" w:type="dxa"/>
            <w:vMerge w:val="continue"/>
          </w:tcPr>
          <w:p w14:paraId="380FB635">
            <w:pPr>
              <w:jc w:val="center"/>
              <w:rPr>
                <w:color w:val="000000" w:themeColor="text1"/>
                <w:sz w:val="18"/>
                <w:szCs w:val="18"/>
                <w14:textFill>
                  <w14:solidFill>
                    <w14:schemeClr w14:val="tx1"/>
                  </w14:solidFill>
                </w14:textFill>
              </w:rPr>
            </w:pPr>
          </w:p>
        </w:tc>
        <w:tc>
          <w:tcPr>
            <w:tcW w:w="3291" w:type="dxa"/>
            <w:vAlign w:val="center"/>
          </w:tcPr>
          <w:p w14:paraId="4DCDD64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306" w:type="dxa"/>
            <w:vAlign w:val="center"/>
          </w:tcPr>
          <w:p w14:paraId="6CA28FD9">
            <w:pPr>
              <w:jc w:val="center"/>
              <w:rPr>
                <w:color w:val="000000" w:themeColor="text1"/>
                <w:sz w:val="18"/>
                <w:szCs w:val="18"/>
                <w14:textFill>
                  <w14:solidFill>
                    <w14:schemeClr w14:val="tx1"/>
                  </w14:solidFill>
                </w14:textFill>
              </w:rPr>
            </w:pPr>
          </w:p>
        </w:tc>
        <w:tc>
          <w:tcPr>
            <w:tcW w:w="709" w:type="dxa"/>
            <w:vAlign w:val="center"/>
          </w:tcPr>
          <w:p w14:paraId="3375762A">
            <w:pPr>
              <w:jc w:val="center"/>
              <w:rPr>
                <w:color w:val="000000" w:themeColor="text1"/>
                <w:sz w:val="18"/>
                <w:szCs w:val="18"/>
                <w14:textFill>
                  <w14:solidFill>
                    <w14:schemeClr w14:val="tx1"/>
                  </w14:solidFill>
                </w14:textFill>
              </w:rPr>
            </w:pPr>
          </w:p>
        </w:tc>
        <w:tc>
          <w:tcPr>
            <w:tcW w:w="709" w:type="dxa"/>
            <w:vAlign w:val="center"/>
          </w:tcPr>
          <w:p w14:paraId="3C42E65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6D8AD96A">
            <w:pPr>
              <w:jc w:val="center"/>
              <w:rPr>
                <w:color w:val="000000" w:themeColor="text1"/>
                <w:sz w:val="18"/>
                <w:szCs w:val="18"/>
                <w14:textFill>
                  <w14:solidFill>
                    <w14:schemeClr w14:val="tx1"/>
                  </w14:solidFill>
                </w14:textFill>
              </w:rPr>
            </w:pPr>
          </w:p>
        </w:tc>
      </w:tr>
    </w:tbl>
    <w:p w14:paraId="250A854E">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1FA8B74A">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268C53F9">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707E32DF">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347296CA">
      <w:pPr>
        <w:spacing w:line="440" w:lineRule="exact"/>
        <w:ind w:firstLine="480" w:firstLineChars="200"/>
        <w:rPr>
          <w:rFonts w:eastAsiaTheme="minorEastAsia"/>
          <w:bCs/>
          <w:sz w:val="24"/>
        </w:rPr>
      </w:pPr>
      <w:r>
        <w:rPr>
          <w:rFonts w:hint="eastAsia" w:eastAsiaTheme="minorEastAsia"/>
          <w:bCs/>
          <w:sz w:val="24"/>
        </w:rPr>
        <w:t>3. 学术实践活动满10次计1学分。</w:t>
      </w:r>
    </w:p>
    <w:p w14:paraId="2B0F8DF0">
      <w:pPr>
        <w:spacing w:line="440" w:lineRule="exact"/>
        <w:ind w:firstLine="480" w:firstLineChars="200"/>
        <w:rPr>
          <w:rFonts w:eastAsiaTheme="minorEastAsia"/>
          <w:bCs/>
          <w:sz w:val="24"/>
        </w:rPr>
      </w:pPr>
      <w:r>
        <w:rPr>
          <w:rFonts w:hint="eastAsia" w:eastAsiaTheme="minorEastAsia"/>
          <w:bCs/>
          <w:sz w:val="24"/>
        </w:rPr>
        <w:t>4. 参加中国研究生创新实践系列大赛、中国国际大学生创新大赛、“挑战杯”全国大学生课外学术科技作品竞赛及本学科专业内有较大影响力的竞赛活动（如河北省医学研究生学科学术论坛），获国家级各级奖励第一完成人计1学分，省级各级奖励第一完成人计0.5学分。</w:t>
      </w:r>
    </w:p>
    <w:sectPr>
      <w:footerReference r:id="rId3" w:type="default"/>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华文行楷">
    <w:panose1 w:val="02010800040101010101"/>
    <w:charset w:val="86"/>
    <w:family w:val="auto"/>
    <w:pitch w:val="default"/>
    <w:sig w:usb0="00000001" w:usb1="080F0000" w:usb2="00000000" w:usb3="00000000" w:csb0="00040000" w:csb1="00000000"/>
  </w:font>
  <w:font w:name="Cambria">
    <w:altName w:val="ksdb"/>
    <w:panose1 w:val="02040503050406030204"/>
    <w:charset w:val="00"/>
    <w:family w:val="roman"/>
    <w:pitch w:val="default"/>
    <w:sig w:usb0="00000000" w:usb1="00000000" w:usb2="02000000" w:usb3="00000000" w:csb0="0000019F" w:csb1="00000000"/>
  </w:font>
  <w:font w:name="ksdb">
    <w:panose1 w:val="02000500000000000000"/>
    <w:charset w:val="00"/>
    <w:family w:val="auto"/>
    <w:pitch w:val="default"/>
    <w:sig w:usb0="00000001" w:usb1="00000000" w:usb2="00000000" w:usb3="00000000" w:csb0="00000001" w:csb1="00000000"/>
  </w:font>
  <w:font w:name="Georgia">
    <w:panose1 w:val="02040502050405020303"/>
    <w:charset w:val="00"/>
    <w:family w:val="roman"/>
    <w:pitch w:val="default"/>
    <w:sig w:usb0="00000287" w:usb1="00000000" w:usb2="00000000" w:usb3="00000000" w:csb0="2000009F" w:csb1="00000000"/>
  </w:font>
  <w:font w:name="Arial Rounded MT Bold">
    <w:panose1 w:val="020F0704030504030204"/>
    <w:charset w:val="00"/>
    <w:family w:val="auto"/>
    <w:pitch w:val="default"/>
    <w:sig w:usb0="00000003" w:usb1="00000000" w:usb2="00000000" w:usb3="00000000" w:csb0="2000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55AC6C">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A420D4">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35A420D4">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5FCAF2"/>
    <w:multiLevelType w:val="singleLevel"/>
    <w:tmpl w:val="405FCAF2"/>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5EF0"/>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1E13"/>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A"/>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3007"/>
    <w:rsid w:val="00AA4222"/>
    <w:rsid w:val="00AA4EDC"/>
    <w:rsid w:val="00AA5578"/>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24950B8"/>
    <w:rsid w:val="0432773A"/>
    <w:rsid w:val="06342273"/>
    <w:rsid w:val="0B497AFC"/>
    <w:rsid w:val="0C395F24"/>
    <w:rsid w:val="0C656D19"/>
    <w:rsid w:val="0F8123F4"/>
    <w:rsid w:val="12C2659D"/>
    <w:rsid w:val="1BB958E7"/>
    <w:rsid w:val="1DA63635"/>
    <w:rsid w:val="1E4C1AE7"/>
    <w:rsid w:val="1EF10342"/>
    <w:rsid w:val="1F323233"/>
    <w:rsid w:val="1FE96C05"/>
    <w:rsid w:val="21130D81"/>
    <w:rsid w:val="2241141A"/>
    <w:rsid w:val="258B72F4"/>
    <w:rsid w:val="26467763"/>
    <w:rsid w:val="2929446D"/>
    <w:rsid w:val="2D012636"/>
    <w:rsid w:val="2D95185A"/>
    <w:rsid w:val="2DC53663"/>
    <w:rsid w:val="2E9B24A6"/>
    <w:rsid w:val="39C5476F"/>
    <w:rsid w:val="3CA113F7"/>
    <w:rsid w:val="3E4B0C33"/>
    <w:rsid w:val="43A24383"/>
    <w:rsid w:val="44C9235B"/>
    <w:rsid w:val="48D31A5E"/>
    <w:rsid w:val="49D555BD"/>
    <w:rsid w:val="4D2E751A"/>
    <w:rsid w:val="4E5C1022"/>
    <w:rsid w:val="4F2C4CA3"/>
    <w:rsid w:val="500B3875"/>
    <w:rsid w:val="506765BF"/>
    <w:rsid w:val="523A78CD"/>
    <w:rsid w:val="5385202A"/>
    <w:rsid w:val="5418024C"/>
    <w:rsid w:val="545449A0"/>
    <w:rsid w:val="55955AAF"/>
    <w:rsid w:val="5CB42BA8"/>
    <w:rsid w:val="5F20199D"/>
    <w:rsid w:val="5F5D405D"/>
    <w:rsid w:val="60390A06"/>
    <w:rsid w:val="62475379"/>
    <w:rsid w:val="66884C53"/>
    <w:rsid w:val="68765A60"/>
    <w:rsid w:val="692B1020"/>
    <w:rsid w:val="6A687275"/>
    <w:rsid w:val="6AAF1314"/>
    <w:rsid w:val="6F18062F"/>
    <w:rsid w:val="78000BA2"/>
    <w:rsid w:val="7F7E4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 w:type="paragraph" w:customStyle="1" w:styleId="27">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8</Pages>
  <Words>4933</Words>
  <Characters>5193</Characters>
  <Lines>39</Lines>
  <Paragraphs>11</Paragraphs>
  <TotalTime>3</TotalTime>
  <ScaleCrop>false</ScaleCrop>
  <LinksUpToDate>false</LinksUpToDate>
  <CharactersWithSpaces>5217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2025-06-24T03:29:00Z</dcterms:created>
  <dc:creator>刘明旭</dc:creator>
  <cp:lastModifiedBy>鱼小愉</cp:lastModifiedBy>
  <cp:lastPrinted>2025-06-13T02:15:00Z</cp:lastPrinted>
  <dcterms:modified xsi:type="dcterms:W3CDTF">2025-06-26T12:30:47Z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eyJoZGlkIjoiMzhkMTM3ZWUyNjA1YTM2NGFiMTczYTVkMDQyNjVlOGYiLCJ1c2VySWQiOiIzMzA1NjM1MTAifQ==</vt:lpwstr>
  </property>
  <property fmtid="{D5CDD505-2E9C-101B-9397-08002B2CF9AE}" pid="4" name="ICV">
    <vt:lpwstr>F3F93FFF115548A1B29EB50DB75BC0ED_13</vt:lpwstr>
  </property>
</Properties>
</file>