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74CC0A">
      <w:pPr>
        <w:ind w:left="321" w:leftChars="153" w:right="227"/>
        <w:jc w:val="center"/>
        <w:rPr>
          <w:rFonts w:eastAsia="黑体"/>
          <w:b/>
          <w:bCs/>
          <w:sz w:val="36"/>
          <w:szCs w:val="36"/>
        </w:rPr>
      </w:pPr>
      <w:r>
        <w:rPr>
          <w:rFonts w:hint="eastAsia" w:eastAsia="黑体"/>
          <w:b/>
          <w:bCs/>
          <w:sz w:val="36"/>
          <w:szCs w:val="36"/>
          <w:lang w:val="en-US" w:eastAsia="zh-CN"/>
        </w:rPr>
        <w:t>转化医学</w:t>
      </w:r>
      <w:r>
        <w:rPr>
          <w:rFonts w:eastAsia="黑体"/>
          <w:b/>
          <w:bCs/>
          <w:sz w:val="36"/>
          <w:szCs w:val="36"/>
        </w:rPr>
        <w:t>专业学术学位博士研究生培养方案</w:t>
      </w:r>
    </w:p>
    <w:p w14:paraId="17D1A43F">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lang w:val="en-US" w:eastAsia="zh-CN"/>
        </w:rPr>
        <w:t>基础医学院</w:t>
      </w:r>
      <w:r>
        <w:rPr>
          <w:rFonts w:eastAsia="黑体"/>
          <w:b/>
          <w:bCs/>
          <w:color w:val="auto"/>
          <w:sz w:val="28"/>
          <w:szCs w:val="28"/>
        </w:rPr>
        <w:t>)</w:t>
      </w:r>
    </w:p>
    <w:p w14:paraId="067BE6AF">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eastAsia="黑体"/>
          <w:b/>
          <w:bCs w:val="0"/>
          <w:sz w:val="28"/>
          <w:szCs w:val="28"/>
        </w:rPr>
      </w:pPr>
      <w:r>
        <w:rPr>
          <w:rFonts w:eastAsia="黑体"/>
          <w:b/>
          <w:bCs w:val="0"/>
          <w:sz w:val="28"/>
          <w:szCs w:val="28"/>
        </w:rPr>
        <w:t>一、专业名称、代码</w:t>
      </w:r>
    </w:p>
    <w:p w14:paraId="17EF68B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val="en-US" w:eastAsia="zh-CN"/>
        </w:rPr>
        <w:t>转化医学</w:t>
      </w:r>
    </w:p>
    <w:p w14:paraId="217B087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color w:val="222222"/>
          <w:kern w:val="0"/>
          <w:sz w:val="24"/>
          <w:szCs w:val="18"/>
        </w:rPr>
      </w:pPr>
      <w:r>
        <w:rPr>
          <w:color w:val="222222"/>
          <w:kern w:val="0"/>
          <w:sz w:val="24"/>
        </w:rPr>
        <w:t>专业代码：</w:t>
      </w:r>
      <w:r>
        <w:rPr>
          <w:rFonts w:hint="eastAsia"/>
          <w:color w:val="222222"/>
          <w:kern w:val="0"/>
          <w:sz w:val="24"/>
        </w:rPr>
        <w:t>1002J7</w:t>
      </w:r>
    </w:p>
    <w:p w14:paraId="6C1C682D">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eastAsia="黑体"/>
          <w:b/>
          <w:bCs w:val="0"/>
          <w:i/>
          <w:color w:val="FF0000"/>
          <w:sz w:val="28"/>
          <w:szCs w:val="28"/>
        </w:rPr>
      </w:pPr>
      <w:r>
        <w:rPr>
          <w:rFonts w:eastAsia="黑体"/>
          <w:b/>
          <w:bCs w:val="0"/>
          <w:sz w:val="28"/>
          <w:szCs w:val="28"/>
        </w:rPr>
        <w:t>二、</w:t>
      </w:r>
      <w:r>
        <w:rPr>
          <w:rFonts w:eastAsia="黑体"/>
          <w:b/>
          <w:bCs w:val="0"/>
          <w:color w:val="000000" w:themeColor="text1"/>
          <w:sz w:val="28"/>
          <w:szCs w:val="28"/>
          <w14:textFill>
            <w14:solidFill>
              <w14:schemeClr w14:val="tx1"/>
            </w14:solidFill>
          </w14:textFill>
        </w:rPr>
        <w:t>专业简介</w:t>
      </w:r>
    </w:p>
    <w:p w14:paraId="15D1D6D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iCs/>
          <w:sz w:val="24"/>
        </w:rPr>
      </w:pPr>
      <w:r>
        <w:rPr>
          <w:iCs/>
          <w:sz w:val="24"/>
        </w:rPr>
        <w:t>河北大学医学教育始于1949年，2005年成立河北大学基础医学院，</w:t>
      </w:r>
      <w:r>
        <w:rPr>
          <w:rFonts w:hint="eastAsia"/>
          <w:iCs/>
          <w:sz w:val="24"/>
          <w:lang w:val="en-US" w:eastAsia="zh-CN"/>
        </w:rPr>
        <w:t>2022年获批转化医学交叉学科博士点</w:t>
      </w:r>
      <w:r>
        <w:rPr>
          <w:iCs/>
          <w:sz w:val="24"/>
        </w:rPr>
        <w:t>（学科代码</w:t>
      </w:r>
      <w:r>
        <w:rPr>
          <w:rFonts w:hint="eastAsia"/>
          <w:iCs/>
          <w:sz w:val="24"/>
        </w:rPr>
        <w:t>1002J7</w:t>
      </w:r>
      <w:r>
        <w:rPr>
          <w:iCs/>
          <w:sz w:val="24"/>
        </w:rPr>
        <w:t>）。</w:t>
      </w:r>
    </w:p>
    <w:p w14:paraId="1E5508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iCs/>
          <w:sz w:val="24"/>
        </w:rPr>
      </w:pPr>
      <w:r>
        <w:rPr>
          <w:rFonts w:hint="eastAsia"/>
          <w:iCs/>
          <w:sz w:val="24"/>
        </w:rPr>
        <w:t>转化医学（Translational Medical）是一门将医学生物学基础研究成果有效地应用转化成临床实践中的理论、临床诊疗技术以及新型药物的交叉学科。随着科学技术不断进步发展，基础医学研究取得了长足进步，但是实验室的研究成果很少能转化到临床实践中去。大多基础研究不是以临床应用为出发点，而许多临床问题又缺乏与之相关的基础研究，基础科研与临床诊疗之间严重脱节</w:t>
      </w:r>
      <w:r>
        <w:rPr>
          <w:rFonts w:hint="eastAsia"/>
          <w:iCs/>
          <w:sz w:val="24"/>
          <w:lang w:eastAsia="zh-CN"/>
        </w:rPr>
        <w:t>，</w:t>
      </w:r>
      <w:r>
        <w:rPr>
          <w:rFonts w:hint="eastAsia"/>
          <w:iCs/>
          <w:sz w:val="24"/>
        </w:rPr>
        <w:t>其成果的应用遭遇瓶颈。转化医学包括从实验台到病床（from bench to bedside，B to B），再从病床到实验台的连续反复应用和修正的过程（from bedside to bench，B to B），为基础研究和临床应用之间架起了一座便于迅速沟通和转化的桥梁，从而极大地推动基础研究成果的快速临床转化和反馈。因此，转化医学是医学领域的一个新兴的领域，它倡导多学科交叉合作，要求基础与临床科技工作者密切合作，整合基础研究和临床学科的优势资源，其实质是理论与实际相结合，是基础与临床的整合，为人类健康服务。</w:t>
      </w:r>
    </w:p>
    <w:p w14:paraId="1883D04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sz w:val="24"/>
        </w:rPr>
      </w:pPr>
      <w:r>
        <w:rPr>
          <w:rFonts w:hint="eastAsia"/>
          <w:iCs/>
          <w:sz w:val="24"/>
          <w:lang w:val="en-US" w:eastAsia="zh-CN"/>
        </w:rPr>
        <w:t>基础医学院</w:t>
      </w:r>
      <w:r>
        <w:rPr>
          <w:rFonts w:hint="eastAsia"/>
          <w:iCs/>
          <w:sz w:val="24"/>
        </w:rPr>
        <w:t>师资力量雄厚，拥有专任教师82人，包括“国家杰出青年基金”获得者1人，“河北省杰出青年基金”获得者1人，河北省青年拔尖人才1人，海外高层次人才1人、</w:t>
      </w:r>
      <w:r>
        <w:rPr>
          <w:rFonts w:hint="eastAsia"/>
          <w:iCs/>
          <w:sz w:val="24"/>
          <w:lang w:eastAsia="zh-CN"/>
        </w:rPr>
        <w:t>“</w:t>
      </w:r>
      <w:r>
        <w:rPr>
          <w:rFonts w:hint="eastAsia"/>
          <w:iCs/>
          <w:sz w:val="24"/>
        </w:rPr>
        <w:t>河北省三三三人才</w:t>
      </w:r>
      <w:r>
        <w:rPr>
          <w:rFonts w:hint="eastAsia"/>
          <w:iCs/>
          <w:sz w:val="24"/>
          <w:lang w:eastAsia="zh-CN"/>
        </w:rPr>
        <w:t>”</w:t>
      </w:r>
      <w:r>
        <w:rPr>
          <w:rFonts w:hint="eastAsia"/>
          <w:iCs/>
          <w:sz w:val="24"/>
        </w:rPr>
        <w:t>2人。</w:t>
      </w:r>
      <w:r>
        <w:rPr>
          <w:rFonts w:hint="eastAsia"/>
          <w:iCs/>
          <w:sz w:val="24"/>
          <w:lang w:val="en-US" w:eastAsia="zh-CN"/>
        </w:rPr>
        <w:t>本学位点拥有</w:t>
      </w:r>
      <w:r>
        <w:rPr>
          <w:rFonts w:hint="eastAsia"/>
          <w:iCs/>
          <w:sz w:val="24"/>
        </w:rPr>
        <w:t>博士研究生导师8人。建有河北省炎性自身免疫性疾病发病机制及防治重点实验室、河北省老龄化与健康重点实验室、河北省基础医学实验教学示范中心、河北省生命健康科普基地等多个省级教学科研平台。</w:t>
      </w:r>
      <w:r>
        <w:rPr>
          <w:iCs/>
          <w:sz w:val="24"/>
        </w:rPr>
        <w:t>已经形成了鲜明的学科特色，较为合理的学术梯队和良好的科研发展态势。</w:t>
      </w:r>
    </w:p>
    <w:p w14:paraId="0AE4337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iCs/>
          <w:sz w:val="24"/>
          <w:lang w:val="en-US" w:eastAsia="zh-CN"/>
        </w:rPr>
      </w:pPr>
      <w:r>
        <w:rPr>
          <w:iCs/>
          <w:sz w:val="24"/>
        </w:rPr>
        <w:t>本学科特色</w:t>
      </w:r>
      <w:r>
        <w:rPr>
          <w:rFonts w:hint="eastAsia"/>
          <w:iCs/>
          <w:sz w:val="24"/>
        </w:rPr>
        <w:t>优势</w:t>
      </w:r>
      <w:r>
        <w:rPr>
          <w:iCs/>
          <w:sz w:val="24"/>
        </w:rPr>
        <w:t>：</w:t>
      </w:r>
      <w:r>
        <w:rPr>
          <w:rFonts w:hint="eastAsia"/>
          <w:iCs/>
          <w:sz w:val="24"/>
        </w:rPr>
        <w:t>转化医学是“从实验台到临床”的一个连续、双向、开放的研究过程，其核心就是在基础研究和临床应用间建立有效的互动联系，其目的就是通过跨学科协同合作，打破基础医学与药物研发、临床及公共卫生之间的固有屏障，弥补基础实验研发与临床和公共卫生应用之间的鸿沟，把基础研究获得的知识成果快速转化为临床和公共卫生方面的防治新方法，加速由“发现”到“实现”的转变，为开发新药品、研究新的治疗方法开辟出了一条具有革命性意义的新途径，最终使患者受益。</w:t>
      </w:r>
    </w:p>
    <w:p w14:paraId="6EC3D74B">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eastAsia="黑体"/>
          <w:b/>
          <w:bCs w:val="0"/>
          <w:sz w:val="28"/>
          <w:szCs w:val="28"/>
        </w:rPr>
      </w:pPr>
      <w:r>
        <w:rPr>
          <w:rFonts w:eastAsia="黑体"/>
          <w:b/>
          <w:bCs w:val="0"/>
          <w:sz w:val="28"/>
          <w:szCs w:val="28"/>
        </w:rPr>
        <w:t>三、研究方向</w:t>
      </w:r>
    </w:p>
    <w:p w14:paraId="68AFF4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iCs/>
          <w:sz w:val="24"/>
        </w:rPr>
      </w:pPr>
      <w:bookmarkStart w:id="0" w:name="_Hlk86744530"/>
      <w:r>
        <w:rPr>
          <w:rFonts w:hint="eastAsia" w:eastAsiaTheme="minorEastAsia"/>
          <w:iCs/>
          <w:sz w:val="24"/>
        </w:rPr>
        <w:t>转化医学的核心内容是将基础医学研究和临床诊疗有效地连接起来，其研究方向是由基础研究到临床应用的往复循环式研究，并且逐步深入和完善的过程。</w:t>
      </w:r>
    </w:p>
    <w:p w14:paraId="327CD44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eastAsiaTheme="minorEastAsia"/>
          <w:iCs/>
          <w:color w:val="auto"/>
          <w:sz w:val="24"/>
          <w:lang w:val="en-US" w:eastAsia="zh-CN"/>
        </w:rPr>
      </w:pPr>
      <w:r>
        <w:rPr>
          <w:rFonts w:hint="eastAsia" w:eastAsiaTheme="minorEastAsia"/>
          <w:iCs/>
          <w:color w:val="auto"/>
          <w:sz w:val="24"/>
          <w:lang w:val="en-US" w:eastAsia="zh-CN"/>
        </w:rPr>
        <w:t>主要研究方向包括：</w:t>
      </w:r>
    </w:p>
    <w:p w14:paraId="562D031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Cs/>
          <w:color w:val="auto"/>
          <w:sz w:val="24"/>
        </w:rPr>
      </w:pPr>
      <w:r>
        <w:rPr>
          <w:rFonts w:hint="eastAsia" w:eastAsiaTheme="minorEastAsia"/>
          <w:iCs/>
          <w:color w:val="auto"/>
          <w:sz w:val="24"/>
        </w:rPr>
        <w:t>神经系统疾病的发生机制</w:t>
      </w:r>
      <w:r>
        <w:rPr>
          <w:rFonts w:hint="eastAsia" w:eastAsiaTheme="minorEastAsia"/>
          <w:iCs/>
          <w:color w:val="auto"/>
          <w:sz w:val="24"/>
          <w:lang w:eastAsia="zh-CN"/>
        </w:rPr>
        <w:t>、</w:t>
      </w:r>
      <w:r>
        <w:rPr>
          <w:rFonts w:hint="eastAsia" w:eastAsiaTheme="minorEastAsia"/>
          <w:iCs/>
          <w:color w:val="auto"/>
          <w:sz w:val="24"/>
        </w:rPr>
        <w:t>防治策略</w:t>
      </w:r>
      <w:r>
        <w:rPr>
          <w:rFonts w:hint="eastAsia" w:eastAsiaTheme="minorEastAsia"/>
          <w:iCs/>
          <w:color w:val="auto"/>
          <w:sz w:val="24"/>
          <w:lang w:val="en-US" w:eastAsia="zh-CN"/>
        </w:rPr>
        <w:t>与转化</w:t>
      </w:r>
    </w:p>
    <w:p w14:paraId="7597ED6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iCs/>
          <w:color w:val="auto"/>
          <w:sz w:val="24"/>
        </w:rPr>
      </w:pPr>
      <w:r>
        <w:rPr>
          <w:rFonts w:hint="eastAsia" w:eastAsiaTheme="minorEastAsia"/>
          <w:iCs/>
          <w:color w:val="auto"/>
          <w:sz w:val="24"/>
        </w:rPr>
        <w:t>神经科学是极具挑战性的前沿学科，</w:t>
      </w:r>
      <w:r>
        <w:rPr>
          <w:rFonts w:hint="eastAsia" w:eastAsiaTheme="minorEastAsia"/>
          <w:iCs/>
          <w:color w:val="auto"/>
          <w:sz w:val="24"/>
          <w:lang w:val="en-US" w:eastAsia="zh-CN"/>
        </w:rPr>
        <w:t>尽管过去二十年</w:t>
      </w:r>
      <w:r>
        <w:rPr>
          <w:rFonts w:hint="eastAsia" w:eastAsiaTheme="minorEastAsia"/>
          <w:iCs/>
          <w:color w:val="auto"/>
          <w:sz w:val="24"/>
        </w:rPr>
        <w:t>神经科学</w:t>
      </w:r>
      <w:r>
        <w:rPr>
          <w:rFonts w:hint="eastAsia" w:eastAsiaTheme="minorEastAsia"/>
          <w:iCs/>
          <w:color w:val="auto"/>
          <w:sz w:val="24"/>
          <w:lang w:val="en-US" w:eastAsia="zh-CN"/>
        </w:rPr>
        <w:t>的</w:t>
      </w:r>
      <w:r>
        <w:rPr>
          <w:rFonts w:hint="eastAsia" w:eastAsiaTheme="minorEastAsia"/>
          <w:iCs/>
          <w:color w:val="auto"/>
          <w:sz w:val="24"/>
        </w:rPr>
        <w:t>基础研究</w:t>
      </w:r>
      <w:r>
        <w:rPr>
          <w:rFonts w:hint="eastAsia" w:eastAsiaTheme="minorEastAsia"/>
          <w:iCs/>
          <w:color w:val="auto"/>
          <w:sz w:val="24"/>
          <w:lang w:val="en-US" w:eastAsia="zh-CN"/>
        </w:rPr>
        <w:t>得到了长足</w:t>
      </w:r>
      <w:r>
        <w:rPr>
          <w:rFonts w:hint="eastAsia" w:eastAsiaTheme="minorEastAsia"/>
          <w:iCs/>
          <w:color w:val="auto"/>
          <w:sz w:val="24"/>
        </w:rPr>
        <w:t>进展</w:t>
      </w:r>
      <w:r>
        <w:rPr>
          <w:rFonts w:hint="eastAsia" w:eastAsiaTheme="minorEastAsia"/>
          <w:iCs/>
          <w:color w:val="auto"/>
          <w:sz w:val="24"/>
          <w:lang w:eastAsia="zh-CN"/>
        </w:rPr>
        <w:t>，</w:t>
      </w:r>
      <w:r>
        <w:rPr>
          <w:rFonts w:hint="eastAsia" w:eastAsiaTheme="minorEastAsia"/>
          <w:iCs/>
          <w:color w:val="auto"/>
          <w:sz w:val="24"/>
          <w:lang w:val="en-US" w:eastAsia="zh-CN"/>
        </w:rPr>
        <w:t>其研究成果的临床转化应用却进展缓慢</w:t>
      </w:r>
      <w:r>
        <w:rPr>
          <w:rFonts w:hint="eastAsia" w:eastAsiaTheme="minorEastAsia"/>
          <w:iCs/>
          <w:color w:val="auto"/>
          <w:sz w:val="24"/>
        </w:rPr>
        <w:t>。本学科</w:t>
      </w:r>
      <w:r>
        <w:rPr>
          <w:rFonts w:hint="eastAsia" w:eastAsiaTheme="minorEastAsia"/>
          <w:iCs/>
          <w:color w:val="auto"/>
          <w:sz w:val="24"/>
          <w:lang w:val="en-US" w:eastAsia="zh-CN"/>
        </w:rPr>
        <w:t>以临床问题出发，针对重要的神经系统疾病，</w:t>
      </w:r>
      <w:r>
        <w:rPr>
          <w:rFonts w:hint="eastAsia" w:eastAsiaTheme="minorEastAsia"/>
          <w:iCs/>
          <w:color w:val="auto"/>
          <w:sz w:val="24"/>
        </w:rPr>
        <w:t>以人脑和动物模型为研究对象，探究神经系统疾病</w:t>
      </w:r>
      <w:r>
        <w:rPr>
          <w:rFonts w:hint="eastAsia" w:eastAsiaTheme="minorEastAsia"/>
          <w:iCs/>
          <w:color w:val="auto"/>
          <w:sz w:val="24"/>
          <w:lang w:val="en-US" w:eastAsia="zh-CN"/>
        </w:rPr>
        <w:t>发生发展</w:t>
      </w:r>
      <w:r>
        <w:rPr>
          <w:rFonts w:hint="eastAsia" w:eastAsiaTheme="minorEastAsia"/>
          <w:iCs/>
          <w:color w:val="auto"/>
          <w:sz w:val="24"/>
        </w:rPr>
        <w:t>的分子机制及防治策略。研究</w:t>
      </w:r>
      <w:r>
        <w:rPr>
          <w:rFonts w:hint="eastAsia" w:eastAsiaTheme="minorEastAsia"/>
          <w:iCs/>
          <w:color w:val="auto"/>
          <w:sz w:val="24"/>
          <w:lang w:val="en-US" w:eastAsia="zh-CN"/>
        </w:rPr>
        <w:t>内容</w:t>
      </w:r>
      <w:r>
        <w:rPr>
          <w:rFonts w:hint="eastAsia" w:eastAsiaTheme="minorEastAsia"/>
          <w:iCs/>
          <w:color w:val="auto"/>
          <w:sz w:val="24"/>
        </w:rPr>
        <w:t>聚焦自主神经系统疾病、感觉系统疾病、神经退行性疾病及抑郁症的发病机理及神经调控干预、</w:t>
      </w:r>
      <w:r>
        <w:rPr>
          <w:rFonts w:hint="eastAsia" w:eastAsiaTheme="minorEastAsia"/>
          <w:iCs/>
          <w:color w:val="auto"/>
          <w:sz w:val="24"/>
          <w:lang w:val="en-US" w:eastAsia="zh-CN"/>
        </w:rPr>
        <w:t>中西医</w:t>
      </w:r>
      <w:r>
        <w:rPr>
          <w:rFonts w:hint="eastAsia" w:eastAsiaTheme="minorEastAsia"/>
          <w:iCs/>
          <w:color w:val="auto"/>
          <w:sz w:val="24"/>
        </w:rPr>
        <w:t>药物</w:t>
      </w:r>
      <w:r>
        <w:rPr>
          <w:rFonts w:hint="eastAsia" w:eastAsiaTheme="minorEastAsia"/>
          <w:iCs/>
          <w:color w:val="auto"/>
          <w:sz w:val="24"/>
          <w:lang w:val="en-US" w:eastAsia="zh-CN"/>
        </w:rPr>
        <w:t>和</w:t>
      </w:r>
      <w:r>
        <w:rPr>
          <w:rFonts w:hint="eastAsia" w:eastAsiaTheme="minorEastAsia"/>
          <w:iCs/>
          <w:color w:val="auto"/>
          <w:sz w:val="24"/>
        </w:rPr>
        <w:t>运动干预策略。</w:t>
      </w:r>
      <w:r>
        <w:rPr>
          <w:rFonts w:hint="eastAsia" w:eastAsiaTheme="minorEastAsia"/>
          <w:iCs/>
          <w:color w:val="auto"/>
          <w:sz w:val="24"/>
          <w:lang w:val="en-US" w:eastAsia="zh-CN"/>
        </w:rPr>
        <w:t>综合使用动物行为学、电生理、临床样本、生物组学、药理学、生物化学、分子与细胞生物学等研究手段，目标</w:t>
      </w:r>
      <w:r>
        <w:rPr>
          <w:rFonts w:hint="eastAsia" w:eastAsiaTheme="minorEastAsia"/>
          <w:iCs/>
          <w:color w:val="auto"/>
          <w:sz w:val="24"/>
        </w:rPr>
        <w:t>推进</w:t>
      </w:r>
      <w:r>
        <w:rPr>
          <w:rFonts w:hint="eastAsia" w:eastAsiaTheme="minorEastAsia"/>
          <w:iCs/>
          <w:color w:val="auto"/>
          <w:sz w:val="24"/>
          <w:lang w:val="en-US" w:eastAsia="zh-CN"/>
        </w:rPr>
        <w:t>神经科学基础研究向临床</w:t>
      </w:r>
      <w:r>
        <w:rPr>
          <w:rFonts w:hint="eastAsia" w:eastAsiaTheme="minorEastAsia"/>
          <w:iCs/>
          <w:color w:val="auto"/>
          <w:sz w:val="24"/>
        </w:rPr>
        <w:t>疾病</w:t>
      </w:r>
      <w:r>
        <w:rPr>
          <w:rFonts w:hint="eastAsia" w:eastAsiaTheme="minorEastAsia"/>
          <w:iCs/>
          <w:color w:val="auto"/>
          <w:sz w:val="24"/>
          <w:lang w:val="en-US" w:eastAsia="zh-CN"/>
        </w:rPr>
        <w:t>防治、诊断</w:t>
      </w:r>
      <w:r>
        <w:rPr>
          <w:rFonts w:hint="eastAsia" w:eastAsiaTheme="minorEastAsia"/>
          <w:iCs/>
          <w:color w:val="auto"/>
          <w:sz w:val="24"/>
        </w:rPr>
        <w:t>等方面的转化应用。</w:t>
      </w:r>
    </w:p>
    <w:p w14:paraId="111E22FE">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480" w:firstLineChars="200"/>
        <w:textAlignment w:val="auto"/>
        <w:rPr>
          <w:rFonts w:hint="eastAsia" w:eastAsiaTheme="minorEastAsia"/>
          <w:iCs/>
          <w:sz w:val="24"/>
        </w:rPr>
      </w:pPr>
      <w:r>
        <w:rPr>
          <w:rFonts w:hint="eastAsia" w:eastAsiaTheme="minorEastAsia"/>
          <w:iCs/>
          <w:sz w:val="24"/>
        </w:rPr>
        <w:t>中医药延缓衰老的机制及转化</w:t>
      </w:r>
    </w:p>
    <w:p w14:paraId="3B26BF0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iCs/>
          <w:sz w:val="24"/>
        </w:rPr>
      </w:pPr>
      <w:r>
        <w:rPr>
          <w:rFonts w:hint="eastAsia" w:eastAsiaTheme="minorEastAsia"/>
          <w:iCs/>
          <w:sz w:val="24"/>
        </w:rPr>
        <w:t>主要基于当前我国人口老龄化严重的现状，研究并寻找与衰老密切相关老年性疾病的中医药干预靶标，明确老年疾病发生发展过程中的早期生物标记物和调控机制，并依据中医药多途径、多靶点的优势，在分子水平上解析相关的干预机制，探索可用于临床上防治老年性相关疾病的有效手段</w:t>
      </w:r>
      <w:r>
        <w:rPr>
          <w:rFonts w:hint="eastAsia" w:eastAsiaTheme="minorEastAsia"/>
          <w:iCs/>
          <w:sz w:val="24"/>
          <w:lang w:eastAsia="zh-CN"/>
        </w:rPr>
        <w:t>。</w:t>
      </w:r>
      <w:r>
        <w:rPr>
          <w:rFonts w:hint="eastAsia" w:eastAsiaTheme="minorEastAsia"/>
          <w:iCs/>
          <w:sz w:val="24"/>
        </w:rPr>
        <w:t>针对中药化学成分的多样性与复杂性的问题，探索并建立基于场流、色谱、光谱、能谱、质谱、波谱的中药成分的分离表征体系，构建中药关键成分数据库，为进一步扩大中医药在转化医学上的应用奠定物质基础。</w:t>
      </w:r>
    </w:p>
    <w:p w14:paraId="76CF84D1">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480" w:firstLineChars="200"/>
        <w:textAlignment w:val="auto"/>
        <w:rPr>
          <w:rFonts w:hint="eastAsia" w:eastAsiaTheme="minorEastAsia"/>
          <w:iCs/>
          <w:sz w:val="24"/>
        </w:rPr>
      </w:pPr>
      <w:r>
        <w:rPr>
          <w:rFonts w:hint="eastAsia" w:eastAsiaTheme="minorEastAsia"/>
          <w:iCs/>
          <w:sz w:val="24"/>
        </w:rPr>
        <w:t>肿瘤微生态研究及转化</w:t>
      </w:r>
    </w:p>
    <w:p w14:paraId="4B3AC62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iCs/>
          <w:sz w:val="24"/>
        </w:rPr>
      </w:pPr>
      <w:r>
        <w:rPr>
          <w:rFonts w:hint="eastAsia" w:eastAsiaTheme="minorEastAsia"/>
          <w:iCs/>
          <w:sz w:val="24"/>
        </w:rPr>
        <w:t>在肿瘤微生物组和肿瘤微环境研究方面，学科团队取得了系列突破性研究成果，鉴定了与结直肠癌发生发展密切相关的肠道微生物菌群，探讨了其影响肿瘤生长和血管新生的机制，验证了一系列相关抗肿瘤药物。立足于前期研究积累，针对肿瘤微生态代谢调控，验明肿瘤微环境微生物组特征及其在肿瘤进程中的作用及其细胞间交互调节机制，致力于发现新的肿瘤微生态调控方法，为临床个体化肿瘤诊治提供可参考依据。</w:t>
      </w:r>
    </w:p>
    <w:p w14:paraId="5B6A90FC">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480" w:firstLineChars="200"/>
        <w:textAlignment w:val="auto"/>
        <w:rPr>
          <w:rFonts w:hint="eastAsia" w:eastAsiaTheme="minorEastAsia"/>
          <w:iCs/>
          <w:sz w:val="24"/>
        </w:rPr>
      </w:pPr>
      <w:r>
        <w:rPr>
          <w:rFonts w:hint="eastAsia" w:eastAsiaTheme="minorEastAsia"/>
          <w:iCs/>
          <w:sz w:val="24"/>
        </w:rPr>
        <w:t xml:space="preserve">生物高分子材料的设计与医学转化    </w:t>
      </w:r>
    </w:p>
    <w:p w14:paraId="301E1A5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iCs/>
          <w:sz w:val="24"/>
        </w:rPr>
      </w:pPr>
      <w:r>
        <w:rPr>
          <w:rFonts w:hint="eastAsia" w:eastAsiaTheme="minorEastAsia"/>
          <w:iCs/>
          <w:sz w:val="24"/>
        </w:rPr>
        <w:t>生物医用高分子材料是现代医学领域应用最广泛的一类生物医用材料，用于疾病的诊断和治疗、病损组织或器官的修复或替换，是当代材料学科的重点分支。目前业内研究重点是保证安全性的前提下寻找组织相容性更好、耐腐蚀、多用途的生物医用高分子材料。</w:t>
      </w:r>
      <w:r>
        <w:rPr>
          <w:rFonts w:hint="eastAsia" w:eastAsiaTheme="minorEastAsia"/>
          <w:iCs/>
          <w:sz w:val="24"/>
          <w:lang w:val="en-US" w:eastAsia="zh-CN"/>
        </w:rPr>
        <w:t>该</w:t>
      </w:r>
      <w:r>
        <w:rPr>
          <w:rFonts w:hint="eastAsia" w:eastAsiaTheme="minorEastAsia"/>
          <w:iCs/>
          <w:sz w:val="24"/>
        </w:rPr>
        <w:t>团队立足前期研究，深入生物高分子吸附材料、深层组织自适应材料原位制备和表层多功能敷料、非金属生物成像和诊断材料、软硬组织原位修复材料等方面的研究。</w:t>
      </w:r>
    </w:p>
    <w:p w14:paraId="726DC6F0">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textAlignment w:val="auto"/>
        <w:rPr>
          <w:rFonts w:hint="eastAsia" w:eastAsiaTheme="minorEastAsia"/>
          <w:iCs/>
          <w:sz w:val="24"/>
        </w:rPr>
      </w:pPr>
      <w:r>
        <w:rPr>
          <w:rFonts w:hint="eastAsia" w:eastAsiaTheme="minorEastAsia"/>
          <w:iCs/>
          <w:sz w:val="24"/>
        </w:rPr>
        <w:t>自身免疫疾病发病机制研究与转化</w:t>
      </w:r>
    </w:p>
    <w:bookmarkEnd w:id="0"/>
    <w:p w14:paraId="71C856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iCs/>
          <w:sz w:val="24"/>
        </w:rPr>
      </w:pPr>
      <w:r>
        <w:rPr>
          <w:rFonts w:hint="eastAsia" w:eastAsiaTheme="minorEastAsia"/>
          <w:iCs/>
          <w:sz w:val="24"/>
        </w:rPr>
        <w:t xml:space="preserve">围绕炎性自身免疫性疾病，长期致力于免疫学和细胞分子生物学的基础研究，通过研究iNKT细胞在免疫网络调控中的功能与分子机制，明确免疫细胞在正常及炎性个体免疫网络调控中的关键作用；探索炎性自身免疫病RA、T1D等的iNKT细胞免疫治疗策略，揭示其相关治疗机制。 </w:t>
      </w:r>
    </w:p>
    <w:p w14:paraId="657AC51B">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eastAsia="黑体"/>
          <w:b/>
          <w:bCs w:val="0"/>
          <w:sz w:val="28"/>
          <w:szCs w:val="28"/>
        </w:rPr>
      </w:pPr>
      <w:r>
        <w:rPr>
          <w:rFonts w:eastAsia="黑体"/>
          <w:b/>
          <w:bCs w:val="0"/>
          <w:sz w:val="28"/>
          <w:szCs w:val="28"/>
        </w:rPr>
        <w:t>四、学制及学习年限</w:t>
      </w:r>
    </w:p>
    <w:p w14:paraId="03CDA2E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i/>
          <w:color w:val="FF0000"/>
          <w:sz w:val="24"/>
        </w:rPr>
      </w:pPr>
      <w:r>
        <w:rPr>
          <w:rFonts w:eastAsiaTheme="minorEastAsia"/>
          <w:color w:val="000000"/>
          <w:sz w:val="24"/>
        </w:rPr>
        <w:t>本专业学制为4年，在校最长学习年限（含休学）不超过8年。</w:t>
      </w:r>
    </w:p>
    <w:p w14:paraId="0E785FB1">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eastAsia="黑体"/>
          <w:b/>
          <w:bCs w:val="0"/>
          <w:sz w:val="28"/>
          <w:szCs w:val="28"/>
        </w:rPr>
      </w:pPr>
      <w:r>
        <w:rPr>
          <w:rFonts w:eastAsia="黑体"/>
          <w:b/>
          <w:bCs w:val="0"/>
          <w:sz w:val="28"/>
          <w:szCs w:val="28"/>
        </w:rPr>
        <w:t>五、培养目标</w:t>
      </w:r>
    </w:p>
    <w:p w14:paraId="1C2384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olor w:val="000000"/>
          <w:sz w:val="24"/>
        </w:rPr>
      </w:pPr>
      <w:r>
        <w:rPr>
          <w:rFonts w:hint="eastAsia" w:asciiTheme="minorEastAsia" w:hAnsiTheme="minorEastAsia" w:eastAsiaTheme="minorEastAsia"/>
          <w:color w:val="000000"/>
          <w:sz w:val="24"/>
        </w:rPr>
        <w:t>1</w:t>
      </w:r>
      <w:r>
        <w:rPr>
          <w:rFonts w:hint="eastAsia" w:asciiTheme="minorEastAsia" w:hAnsiTheme="minorEastAsia" w:eastAsiaTheme="minorEastAsia"/>
          <w:color w:val="000000"/>
          <w:sz w:val="24"/>
          <w:lang w:val="en-US" w:eastAsia="zh-CN"/>
        </w:rPr>
        <w:t xml:space="preserve">. </w:t>
      </w:r>
      <w:r>
        <w:rPr>
          <w:rFonts w:hint="eastAsia" w:asciiTheme="minorEastAsia" w:hAnsiTheme="minorEastAsia" w:eastAsiaTheme="minorEastAsia"/>
          <w:color w:val="000000"/>
          <w:sz w:val="24"/>
        </w:rPr>
        <w:t>树立正确的中国特色社会主义核心价值观，具有坚定的理想信念，高尚的道德情操，优良的学术作风，高度的社会责任感。</w:t>
      </w:r>
    </w:p>
    <w:p w14:paraId="704FB9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olor w:val="000000"/>
          <w:sz w:val="24"/>
        </w:rPr>
      </w:pPr>
      <w:r>
        <w:rPr>
          <w:rFonts w:hint="eastAsia" w:asciiTheme="minorEastAsia" w:hAnsiTheme="minorEastAsia" w:eastAsiaTheme="minorEastAsia"/>
          <w:color w:val="000000"/>
          <w:sz w:val="24"/>
        </w:rPr>
        <w:t>2</w:t>
      </w:r>
      <w:r>
        <w:rPr>
          <w:rFonts w:hint="eastAsia" w:asciiTheme="minorEastAsia" w:hAnsiTheme="minorEastAsia" w:eastAsiaTheme="minorEastAsia"/>
          <w:color w:val="000000"/>
          <w:sz w:val="24"/>
          <w:lang w:val="en-US" w:eastAsia="zh-CN"/>
        </w:rPr>
        <w:t xml:space="preserve">. </w:t>
      </w:r>
      <w:r>
        <w:rPr>
          <w:rFonts w:hint="eastAsia" w:asciiTheme="minorEastAsia" w:hAnsiTheme="minorEastAsia" w:eastAsiaTheme="minorEastAsia"/>
          <w:color w:val="000000"/>
          <w:sz w:val="24"/>
        </w:rPr>
        <w:t>系统掌握本学科和相关交叉学科的基础理论、专业知识，掌握本学科的科学研究方法及必要的现代实验方法和技能，熟悉本学科的前沿研究领域，具有独立从事科学研究和解决实际问题的能力；具有独立从事科学研究、医疗、教学工作的能力，能创造性地研究和解决本学科中的有关理论和实际问题；在科学或专门技术上做出创造性成果。</w:t>
      </w:r>
    </w:p>
    <w:p w14:paraId="1E30FDE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olor w:val="000000"/>
          <w:sz w:val="24"/>
        </w:rPr>
      </w:pPr>
      <w:r>
        <w:rPr>
          <w:rFonts w:hint="eastAsia" w:asciiTheme="minorEastAsia" w:hAnsiTheme="minorEastAsia" w:eastAsiaTheme="minorEastAsia"/>
          <w:color w:val="000000"/>
          <w:sz w:val="24"/>
        </w:rPr>
        <w:t>3</w:t>
      </w:r>
      <w:r>
        <w:rPr>
          <w:rFonts w:hint="eastAsia" w:asciiTheme="minorEastAsia" w:hAnsiTheme="minorEastAsia" w:eastAsiaTheme="minorEastAsia"/>
          <w:color w:val="000000"/>
          <w:sz w:val="24"/>
          <w:lang w:val="en-US" w:eastAsia="zh-CN"/>
        </w:rPr>
        <w:t xml:space="preserve">. </w:t>
      </w:r>
      <w:r>
        <w:rPr>
          <w:rFonts w:hint="eastAsia" w:asciiTheme="minorEastAsia" w:hAnsiTheme="minorEastAsia" w:eastAsiaTheme="minorEastAsia"/>
          <w:color w:val="000000"/>
          <w:sz w:val="24"/>
        </w:rPr>
        <w:t>热爱本专业，服从国家需要，努力为发展我国的转化医学事业贡献力量。</w:t>
      </w:r>
    </w:p>
    <w:p w14:paraId="4356F67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olor w:val="000000"/>
          <w:sz w:val="24"/>
        </w:rPr>
      </w:pPr>
      <w:r>
        <w:rPr>
          <w:rFonts w:hint="eastAsia" w:asciiTheme="minorEastAsia" w:hAnsiTheme="minorEastAsia" w:eastAsiaTheme="minorEastAsia"/>
          <w:color w:val="000000"/>
          <w:sz w:val="24"/>
        </w:rPr>
        <w:t>4</w:t>
      </w:r>
      <w:r>
        <w:rPr>
          <w:rFonts w:hint="eastAsia" w:asciiTheme="minorEastAsia" w:hAnsiTheme="minorEastAsia" w:eastAsiaTheme="minorEastAsia"/>
          <w:color w:val="000000"/>
          <w:sz w:val="24"/>
          <w:lang w:val="en-US" w:eastAsia="zh-CN"/>
        </w:rPr>
        <w:t xml:space="preserve">. </w:t>
      </w:r>
      <w:r>
        <w:rPr>
          <w:rFonts w:hint="eastAsia" w:asciiTheme="minorEastAsia" w:hAnsiTheme="minorEastAsia" w:eastAsiaTheme="minorEastAsia"/>
          <w:color w:val="000000"/>
          <w:sz w:val="24"/>
        </w:rPr>
        <w:t>至少掌握一门外国语，能熟练阅读本专业的外文资料，具有撰写学术论文和进行国际学术交流的能力。</w:t>
      </w:r>
    </w:p>
    <w:p w14:paraId="275229B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olor w:val="000000"/>
          <w:sz w:val="24"/>
        </w:rPr>
      </w:pPr>
      <w:r>
        <w:rPr>
          <w:rFonts w:hint="eastAsia" w:asciiTheme="minorEastAsia" w:hAnsiTheme="minorEastAsia" w:eastAsiaTheme="minorEastAsia"/>
          <w:color w:val="000000"/>
          <w:sz w:val="24"/>
        </w:rPr>
        <w:t>5</w:t>
      </w:r>
      <w:r>
        <w:rPr>
          <w:rFonts w:hint="eastAsia" w:asciiTheme="minorEastAsia" w:hAnsiTheme="minorEastAsia" w:eastAsiaTheme="minorEastAsia"/>
          <w:color w:val="000000"/>
          <w:sz w:val="24"/>
          <w:lang w:val="en-US" w:eastAsia="zh-CN"/>
        </w:rPr>
        <w:t xml:space="preserve">. </w:t>
      </w:r>
      <w:r>
        <w:rPr>
          <w:rFonts w:hint="eastAsia" w:asciiTheme="minorEastAsia" w:hAnsiTheme="minorEastAsia" w:eastAsiaTheme="minorEastAsia"/>
          <w:color w:val="000000"/>
          <w:sz w:val="24"/>
        </w:rPr>
        <w:t>具有良好的团队意识和团队合作精神。</w:t>
      </w:r>
    </w:p>
    <w:p w14:paraId="085D1D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olor w:val="000000"/>
          <w:sz w:val="24"/>
        </w:rPr>
      </w:pPr>
      <w:r>
        <w:rPr>
          <w:rFonts w:hint="eastAsia" w:asciiTheme="minorEastAsia" w:hAnsiTheme="minorEastAsia" w:eastAsiaTheme="minorEastAsia"/>
          <w:color w:val="000000"/>
          <w:sz w:val="24"/>
        </w:rPr>
        <w:t>6</w:t>
      </w:r>
      <w:r>
        <w:rPr>
          <w:rFonts w:hint="eastAsia" w:asciiTheme="minorEastAsia" w:hAnsiTheme="minorEastAsia" w:eastAsiaTheme="minorEastAsia"/>
          <w:color w:val="000000"/>
          <w:sz w:val="24"/>
          <w:lang w:val="en-US" w:eastAsia="zh-CN"/>
        </w:rPr>
        <w:t xml:space="preserve">. </w:t>
      </w:r>
      <w:r>
        <w:rPr>
          <w:rFonts w:hint="eastAsia" w:asciiTheme="minorEastAsia" w:hAnsiTheme="minorEastAsia" w:eastAsiaTheme="minorEastAsia"/>
          <w:color w:val="000000"/>
          <w:sz w:val="24"/>
        </w:rPr>
        <w:t>培养德智体美劳全面发展的转化医学高层次专业人才。</w:t>
      </w:r>
    </w:p>
    <w:p w14:paraId="252C1369">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eastAsia="黑体"/>
          <w:b/>
          <w:bCs w:val="0"/>
          <w:sz w:val="28"/>
          <w:szCs w:val="28"/>
        </w:rPr>
      </w:pPr>
      <w:r>
        <w:rPr>
          <w:rFonts w:hint="eastAsia" w:eastAsia="黑体"/>
          <w:b/>
          <w:bCs w:val="0"/>
          <w:sz w:val="28"/>
          <w:szCs w:val="28"/>
        </w:rPr>
        <w:t>六、培养方式</w:t>
      </w:r>
    </w:p>
    <w:p w14:paraId="289D6F9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Theme="minorEastAsia"/>
          <w:bCs/>
          <w:sz w:val="24"/>
          <w:lang w:val="en-US" w:eastAsia="zh-CN"/>
        </w:rPr>
      </w:pPr>
      <w:r>
        <w:rPr>
          <w:rFonts w:hint="eastAsia" w:eastAsiaTheme="minorEastAsia"/>
          <w:bCs/>
          <w:sz w:val="24"/>
          <w:lang w:val="en-US" w:eastAsia="zh-CN"/>
        </w:rPr>
        <w:t>1. 导师负责制。博士研究生培养采取导师负责和指导小组集体培养相结合的方式。导师可聘请具有博士学位或具有高级职称的专家3～5人组成指导小组。</w:t>
      </w:r>
    </w:p>
    <w:p w14:paraId="7E4BE1C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Theme="minorEastAsia"/>
          <w:bCs/>
          <w:sz w:val="24"/>
        </w:rPr>
      </w:pPr>
      <w:r>
        <w:rPr>
          <w:rFonts w:hint="eastAsia" w:eastAsiaTheme="minorEastAsia"/>
          <w:bCs/>
          <w:sz w:val="24"/>
          <w:lang w:val="en-US" w:eastAsia="zh-CN"/>
        </w:rPr>
        <w:t>2. 导师职责。导师应将研究生的思想教育、业务指导与学风建设有机结合，对培养质量全程把关，包括制定个人培养计划、选修课程、学术交流与研讨、社会实践、学位论文工作等环节。</w:t>
      </w:r>
    </w:p>
    <w:p w14:paraId="368A1C5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Theme="minorEastAsia"/>
          <w:bCs/>
          <w:sz w:val="24"/>
        </w:rPr>
      </w:pPr>
      <w:r>
        <w:rPr>
          <w:rFonts w:hint="eastAsia" w:eastAsiaTheme="minorEastAsia"/>
          <w:bCs/>
          <w:sz w:val="24"/>
          <w:lang w:val="en-US" w:eastAsia="zh-CN"/>
        </w:rPr>
        <w:t>3. 以临床科学研究为主。在课程学习和科研能力培养过程中贯彻“面向人民生命健康”的指导思想，以临床科学研究为主，探讨临床实践中的重要科学问题，培养研究生的独立科学研究能力、严谨科学作风和创新科学思维。</w:t>
      </w:r>
    </w:p>
    <w:p w14:paraId="2A98990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hint="eastAsia" w:eastAsia="黑体"/>
          <w:bCs/>
          <w:sz w:val="28"/>
          <w:szCs w:val="28"/>
        </w:rPr>
        <w:t>七</w:t>
      </w:r>
      <w:r>
        <w:rPr>
          <w:rFonts w:eastAsia="黑体"/>
          <w:bCs/>
          <w:sz w:val="28"/>
          <w:szCs w:val="28"/>
        </w:rPr>
        <w:t>、中期筛选</w:t>
      </w:r>
    </w:p>
    <w:p w14:paraId="10EF376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780FB6B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hint="eastAsia" w:eastAsia="黑体"/>
          <w:bCs/>
          <w:sz w:val="28"/>
          <w:szCs w:val="28"/>
        </w:rPr>
        <w:t>八</w:t>
      </w:r>
      <w:r>
        <w:rPr>
          <w:rFonts w:eastAsia="黑体"/>
          <w:bCs/>
          <w:sz w:val="28"/>
          <w:szCs w:val="28"/>
        </w:rPr>
        <w:t>、学位（毕业）论文</w:t>
      </w:r>
    </w:p>
    <w:p w14:paraId="4874329C">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i/>
          <w:color w:val="auto"/>
          <w:kern w:val="0"/>
          <w:sz w:val="18"/>
          <w:szCs w:val="18"/>
        </w:rPr>
      </w:pPr>
      <w:r>
        <w:rPr>
          <w:bCs/>
          <w:color w:val="auto"/>
          <w:kern w:val="0"/>
          <w:sz w:val="24"/>
        </w:rPr>
        <w:t>1.</w:t>
      </w:r>
      <w:r>
        <w:rPr>
          <w:rFonts w:hint="eastAsia"/>
          <w:bCs/>
          <w:color w:val="auto"/>
          <w:kern w:val="0"/>
          <w:sz w:val="24"/>
          <w:lang w:val="en-US" w:eastAsia="zh-CN"/>
        </w:rPr>
        <w:t xml:space="preserve"> </w:t>
      </w:r>
      <w:r>
        <w:rPr>
          <w:bCs/>
          <w:color w:val="auto"/>
          <w:kern w:val="0"/>
          <w:sz w:val="24"/>
        </w:rPr>
        <w:t>总体要求：</w:t>
      </w:r>
      <w:r>
        <w:rPr>
          <w:color w:val="auto"/>
          <w:kern w:val="0"/>
          <w:sz w:val="24"/>
        </w:rPr>
        <w:t>按照《河北大学关于开展2025版研究生培养方案修订工作的指导意见》（校政字</w:t>
      </w:r>
      <w:r>
        <w:rPr>
          <w:rFonts w:eastAsiaTheme="minorEastAsia"/>
          <w:bCs/>
          <w:color w:val="auto"/>
          <w:sz w:val="24"/>
        </w:rPr>
        <w:t>〔2025〕9号</w:t>
      </w:r>
      <w:r>
        <w:rPr>
          <w:color w:val="auto"/>
          <w:kern w:val="0"/>
          <w:sz w:val="24"/>
        </w:rPr>
        <w:t>）规定，博士研究生论文开题与答辩时间间隔原则上不少于18个月。</w:t>
      </w:r>
      <w:r>
        <w:rPr>
          <w:i w:val="0"/>
          <w:iCs/>
          <w:color w:val="auto"/>
          <w:kern w:val="0"/>
          <w:sz w:val="24"/>
        </w:rPr>
        <w:t>学位（毕业）论文应当表明作者</w:t>
      </w:r>
      <w:r>
        <w:rPr>
          <w:rFonts w:eastAsiaTheme="minorEastAsia"/>
          <w:i w:val="0"/>
          <w:iCs/>
          <w:color w:val="auto"/>
          <w:sz w:val="24"/>
        </w:rPr>
        <w:t>具有独立从事学术研究工作的能力，在学术研究领域做出创新性成果。</w:t>
      </w:r>
    </w:p>
    <w:p w14:paraId="5FC2310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i w:val="0"/>
          <w:iCs/>
          <w:color w:val="auto"/>
          <w:kern w:val="0"/>
          <w:sz w:val="24"/>
        </w:rPr>
      </w:pPr>
      <w:r>
        <w:rPr>
          <w:bCs/>
          <w:color w:val="auto"/>
          <w:kern w:val="0"/>
          <w:sz w:val="24"/>
        </w:rPr>
        <w:t>2.</w:t>
      </w:r>
      <w:r>
        <w:rPr>
          <w:rFonts w:hint="eastAsia"/>
          <w:bCs/>
          <w:color w:val="auto"/>
          <w:kern w:val="0"/>
          <w:sz w:val="24"/>
          <w:lang w:val="en-US" w:eastAsia="zh-CN"/>
        </w:rPr>
        <w:t xml:space="preserve"> </w:t>
      </w:r>
      <w:r>
        <w:rPr>
          <w:bCs/>
          <w:color w:val="auto"/>
          <w:kern w:val="0"/>
          <w:sz w:val="24"/>
        </w:rPr>
        <w:t>开题：</w:t>
      </w:r>
      <w:r>
        <w:rPr>
          <w:i w:val="0"/>
          <w:iCs/>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原则上在入学后第3学期完成开题。</w:t>
      </w:r>
      <w:r>
        <w:rPr>
          <w:rFonts w:hint="eastAsia" w:ascii="宋体" w:hAnsi="宋体" w:eastAsia="宋体" w:cs="宋体"/>
          <w:i w:val="0"/>
          <w:iCs w:val="0"/>
          <w:color w:val="auto"/>
          <w:sz w:val="24"/>
        </w:rPr>
        <w:t>开题的具体要求见《河北大学关于博士研究生学位论文开题报告的要求》。</w:t>
      </w:r>
      <w:r>
        <w:rPr>
          <w:i w:val="0"/>
          <w:iCs/>
          <w:color w:val="auto"/>
          <w:kern w:val="0"/>
          <w:sz w:val="24"/>
        </w:rPr>
        <w:t>开题由3-5名具有正高级专业技术</w:t>
      </w:r>
      <w:r>
        <w:rPr>
          <w:rFonts w:hint="eastAsia"/>
          <w:i w:val="0"/>
          <w:iCs/>
          <w:color w:val="auto"/>
          <w:kern w:val="0"/>
          <w:sz w:val="24"/>
          <w:lang w:val="en-US" w:eastAsia="zh-CN"/>
        </w:rPr>
        <w:t>职称</w:t>
      </w:r>
      <w:r>
        <w:rPr>
          <w:i w:val="0"/>
          <w:iCs/>
          <w:color w:val="auto"/>
          <w:kern w:val="0"/>
          <w:sz w:val="24"/>
        </w:rPr>
        <w:t>人员参加，以学术报告的方式进行。</w:t>
      </w:r>
    </w:p>
    <w:p w14:paraId="193C8B9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i/>
          <w:color w:val="auto"/>
          <w:kern w:val="0"/>
          <w:sz w:val="24"/>
        </w:rPr>
      </w:pPr>
      <w:r>
        <w:rPr>
          <w:bCs/>
          <w:color w:val="auto"/>
          <w:kern w:val="0"/>
          <w:sz w:val="24"/>
        </w:rPr>
        <w:t>3.</w:t>
      </w:r>
      <w:r>
        <w:rPr>
          <w:rFonts w:hint="eastAsia"/>
          <w:bCs/>
          <w:color w:val="auto"/>
          <w:kern w:val="0"/>
          <w:sz w:val="24"/>
          <w:lang w:val="en-US" w:eastAsia="zh-CN"/>
        </w:rPr>
        <w:t xml:space="preserve"> </w:t>
      </w:r>
      <w:r>
        <w:rPr>
          <w:bCs/>
          <w:color w:val="auto"/>
          <w:kern w:val="0"/>
          <w:sz w:val="24"/>
        </w:rPr>
        <w:t>中期进展报告：</w:t>
      </w:r>
      <w:r>
        <w:rPr>
          <w:i w:val="0"/>
          <w:iCs/>
          <w:color w:val="auto"/>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E54B00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i w:val="0"/>
          <w:iCs/>
          <w:color w:val="auto"/>
          <w:kern w:val="0"/>
          <w:sz w:val="24"/>
        </w:rPr>
      </w:pPr>
      <w:r>
        <w:rPr>
          <w:bCs/>
          <w:color w:val="auto"/>
          <w:kern w:val="0"/>
          <w:sz w:val="24"/>
        </w:rPr>
        <w:t>4.</w:t>
      </w:r>
      <w:r>
        <w:rPr>
          <w:rFonts w:hint="eastAsia"/>
          <w:bCs/>
          <w:color w:val="auto"/>
          <w:kern w:val="0"/>
          <w:sz w:val="24"/>
          <w:lang w:val="en-US" w:eastAsia="zh-CN"/>
        </w:rPr>
        <w:t xml:space="preserve"> </w:t>
      </w:r>
      <w:r>
        <w:rPr>
          <w:bCs/>
          <w:color w:val="auto"/>
          <w:kern w:val="0"/>
          <w:sz w:val="24"/>
        </w:rPr>
        <w:t>学位申请：</w:t>
      </w:r>
      <w:r>
        <w:rPr>
          <w:i w:val="0"/>
          <w:iCs/>
          <w:color w:val="auto"/>
          <w:kern w:val="0"/>
          <w:sz w:val="24"/>
        </w:rPr>
        <w:t>达到学位授予条件的申请人，经导师同意后，应于答辩前</w:t>
      </w:r>
      <w:r>
        <w:rPr>
          <w:rFonts w:hint="eastAsia"/>
          <w:i w:val="0"/>
          <w:iCs/>
          <w:color w:val="auto"/>
          <w:kern w:val="0"/>
          <w:sz w:val="24"/>
          <w:lang w:val="en-US" w:eastAsia="zh-CN"/>
        </w:rPr>
        <w:t>3</w:t>
      </w:r>
      <w:r>
        <w:rPr>
          <w:i w:val="0"/>
          <w:iCs/>
          <w:color w:val="auto"/>
          <w:kern w:val="0"/>
          <w:sz w:val="24"/>
        </w:rPr>
        <w:t>个月，向所属学位评定分委员会提出学位申请，提交学位申请材料。</w:t>
      </w:r>
    </w:p>
    <w:p w14:paraId="779D6C2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i/>
          <w:color w:val="auto"/>
          <w:kern w:val="0"/>
          <w:sz w:val="24"/>
        </w:rPr>
      </w:pPr>
      <w:r>
        <w:rPr>
          <w:bCs/>
          <w:color w:val="auto"/>
          <w:kern w:val="0"/>
          <w:sz w:val="24"/>
        </w:rPr>
        <w:t>5.</w:t>
      </w:r>
      <w:r>
        <w:rPr>
          <w:rFonts w:hint="eastAsia"/>
          <w:bCs/>
          <w:color w:val="auto"/>
          <w:kern w:val="0"/>
          <w:sz w:val="24"/>
          <w:lang w:val="en-US" w:eastAsia="zh-CN"/>
        </w:rPr>
        <w:t xml:space="preserve"> </w:t>
      </w:r>
      <w:r>
        <w:rPr>
          <w:bCs/>
          <w:color w:val="auto"/>
          <w:kern w:val="0"/>
          <w:sz w:val="24"/>
        </w:rPr>
        <w:t>预答辩：</w:t>
      </w:r>
      <w:r>
        <w:rPr>
          <w:i w:val="0"/>
          <w:iCs/>
          <w:color w:val="auto"/>
          <w:kern w:val="0"/>
          <w:sz w:val="24"/>
        </w:rPr>
        <w:t>学位申请人须进行学位论文预答辩。预答辩通过者，方可进入学位论文评阅、学位论文答辩等环节。学位（毕业）论文预答辩在正式答辩前3个月进行。</w:t>
      </w:r>
    </w:p>
    <w:p w14:paraId="52B4A2F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color w:val="auto"/>
          <w:kern w:val="0"/>
          <w:sz w:val="24"/>
        </w:rPr>
      </w:pPr>
      <w:r>
        <w:rPr>
          <w:bCs/>
          <w:color w:val="auto"/>
          <w:kern w:val="0"/>
          <w:sz w:val="24"/>
        </w:rPr>
        <w:t>6.</w:t>
      </w:r>
      <w:r>
        <w:rPr>
          <w:rFonts w:hint="eastAsia"/>
          <w:bCs/>
          <w:color w:val="auto"/>
          <w:kern w:val="0"/>
          <w:sz w:val="24"/>
          <w:lang w:val="en-US" w:eastAsia="zh-CN"/>
        </w:rPr>
        <w:t xml:space="preserve"> </w:t>
      </w:r>
      <w:r>
        <w:rPr>
          <w:bCs/>
          <w:color w:val="auto"/>
          <w:kern w:val="0"/>
          <w:sz w:val="24"/>
        </w:rPr>
        <w:t>论文评阅：</w:t>
      </w:r>
      <w:r>
        <w:rPr>
          <w:i w:val="0"/>
          <w:iCs/>
          <w:color w:val="auto"/>
          <w:kern w:val="0"/>
          <w:sz w:val="24"/>
        </w:rPr>
        <w:t>学位（毕业）论文在获得导师组认可，经培养单位形式审查合格，并通过预答辩，方可提出进入评阅程序的申请。论文评阅在正式答辩前40天由研究生提出，</w:t>
      </w:r>
      <w:r>
        <w:rPr>
          <w:rFonts w:hint="eastAsia"/>
          <w:i w:val="0"/>
          <w:iCs/>
          <w:color w:val="auto"/>
          <w:kern w:val="0"/>
          <w:sz w:val="24"/>
          <w:lang w:val="en-US" w:eastAsia="zh-CN"/>
        </w:rPr>
        <w:t>并</w:t>
      </w:r>
      <w:r>
        <w:rPr>
          <w:i w:val="0"/>
          <w:iCs/>
          <w:color w:val="auto"/>
          <w:kern w:val="0"/>
          <w:sz w:val="24"/>
        </w:rPr>
        <w:t>依据相关规定进行匿名评审。</w:t>
      </w:r>
      <w:r>
        <w:rPr>
          <w:color w:val="auto"/>
          <w:kern w:val="0"/>
          <w:sz w:val="24"/>
        </w:rPr>
        <w:t>评阅结果及异议处理按照《河北大学研究生学位论文或者实践成果评审管理办法》（校政字〔2025〕8号）执行。</w:t>
      </w:r>
    </w:p>
    <w:p w14:paraId="15029F70">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eastAsiaTheme="minorEastAsia"/>
          <w:i/>
          <w:color w:val="auto"/>
          <w:sz w:val="24"/>
        </w:rPr>
      </w:pPr>
      <w:r>
        <w:rPr>
          <w:bCs/>
          <w:color w:val="auto"/>
          <w:kern w:val="0"/>
          <w:sz w:val="24"/>
        </w:rPr>
        <w:t>7.</w:t>
      </w:r>
      <w:r>
        <w:rPr>
          <w:rFonts w:hint="eastAsia"/>
          <w:bCs/>
          <w:color w:val="auto"/>
          <w:kern w:val="0"/>
          <w:sz w:val="24"/>
          <w:lang w:val="en-US" w:eastAsia="zh-CN"/>
        </w:rPr>
        <w:t xml:space="preserve"> </w:t>
      </w:r>
      <w:r>
        <w:rPr>
          <w:bCs/>
          <w:color w:val="auto"/>
          <w:kern w:val="0"/>
          <w:sz w:val="24"/>
        </w:rPr>
        <w:t>答辩：学位（毕业）论文答辩按照</w:t>
      </w:r>
      <w:r>
        <w:rPr>
          <w:color w:val="auto"/>
          <w:kern w:val="0"/>
          <w:sz w:val="24"/>
        </w:rPr>
        <w:t>《河北大学博士、硕士学位授予工作实施细则》（校政字〔2025〕7号）执行。</w:t>
      </w:r>
    </w:p>
    <w:p w14:paraId="45559C3B">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color w:val="auto"/>
          <w:sz w:val="28"/>
          <w:szCs w:val="28"/>
        </w:rPr>
      </w:pPr>
      <w:r>
        <w:rPr>
          <w:rFonts w:hint="eastAsia" w:eastAsia="黑体"/>
          <w:bCs/>
          <w:color w:val="auto"/>
          <w:sz w:val="28"/>
          <w:szCs w:val="28"/>
        </w:rPr>
        <w:t>九</w:t>
      </w:r>
      <w:r>
        <w:rPr>
          <w:rFonts w:eastAsia="黑体"/>
          <w:bCs/>
          <w:color w:val="auto"/>
          <w:sz w:val="28"/>
          <w:szCs w:val="28"/>
        </w:rPr>
        <w:t>、毕业条件</w:t>
      </w:r>
    </w:p>
    <w:p w14:paraId="0A9520C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color w:val="auto"/>
          <w:sz w:val="24"/>
        </w:rPr>
      </w:pPr>
      <w:r>
        <w:rPr>
          <w:rFonts w:eastAsiaTheme="minorEastAsia"/>
          <w:bCs/>
          <w:color w:val="auto"/>
          <w:sz w:val="24"/>
        </w:rPr>
        <w:t>1. 课程学习。研究生在规定修业年限内完成培养方案规定的课程学习，考核成绩合格，获得规定的学分。</w:t>
      </w:r>
    </w:p>
    <w:p w14:paraId="45FFD97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color w:val="auto"/>
          <w:sz w:val="24"/>
        </w:rPr>
      </w:pPr>
      <w:r>
        <w:rPr>
          <w:rFonts w:eastAsiaTheme="minorEastAsia"/>
          <w:bCs/>
          <w:color w:val="auto"/>
          <w:sz w:val="24"/>
        </w:rPr>
        <w:t>2. 学术活动。研究生</w:t>
      </w:r>
      <w:r>
        <w:rPr>
          <w:rFonts w:eastAsiaTheme="minorEastAsia"/>
          <w:color w:val="auto"/>
          <w:sz w:val="24"/>
        </w:rPr>
        <w:t>在读期间参加</w:t>
      </w:r>
      <w:r>
        <w:rPr>
          <w:rFonts w:eastAsiaTheme="minorEastAsia"/>
          <w:i w:val="0"/>
          <w:iCs w:val="0"/>
          <w:color w:val="auto"/>
          <w:sz w:val="24"/>
        </w:rPr>
        <w:t>不少于15次学术活动，并撰写学术报告小结；以主讲人或宣讲人身份，参加在校内外举行的学术报告或学术讲座不少于2次。</w:t>
      </w:r>
    </w:p>
    <w:p w14:paraId="4C65B23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color w:val="auto"/>
          <w:sz w:val="24"/>
        </w:rPr>
      </w:pPr>
      <w:r>
        <w:rPr>
          <w:rFonts w:eastAsiaTheme="minorEastAsia"/>
          <w:color w:val="auto"/>
          <w:sz w:val="24"/>
        </w:rPr>
        <w:t>3. 符合提前毕业条件的研究生，可按照学校相关规定</w:t>
      </w:r>
      <w:r>
        <w:rPr>
          <w:rFonts w:eastAsiaTheme="minorEastAsia"/>
          <w:bCs/>
          <w:color w:val="auto"/>
          <w:sz w:val="24"/>
        </w:rPr>
        <w:t>申请</w:t>
      </w:r>
      <w:r>
        <w:rPr>
          <w:rFonts w:eastAsiaTheme="minorEastAsia"/>
          <w:color w:val="auto"/>
          <w:sz w:val="24"/>
        </w:rPr>
        <w:t>提前毕业。</w:t>
      </w:r>
    </w:p>
    <w:p w14:paraId="18AF142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color w:val="auto"/>
          <w:sz w:val="24"/>
        </w:rPr>
      </w:pPr>
      <w:r>
        <w:rPr>
          <w:rFonts w:eastAsiaTheme="minorEastAsia"/>
          <w:bCs/>
          <w:color w:val="auto"/>
          <w:sz w:val="24"/>
        </w:rPr>
        <w:t>4. 论文答辩。学位（毕业）论文经专家评审合格、通过学位（毕业）答辩，符合毕业资格审查后，准予毕业。</w:t>
      </w:r>
    </w:p>
    <w:p w14:paraId="2E6CCBA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color w:val="auto"/>
          <w:sz w:val="28"/>
          <w:szCs w:val="28"/>
        </w:rPr>
      </w:pPr>
      <w:r>
        <w:rPr>
          <w:rFonts w:hint="eastAsia" w:eastAsia="黑体"/>
          <w:bCs/>
          <w:color w:val="auto"/>
          <w:sz w:val="28"/>
          <w:szCs w:val="28"/>
        </w:rPr>
        <w:t>十</w:t>
      </w:r>
      <w:r>
        <w:rPr>
          <w:rFonts w:eastAsia="黑体"/>
          <w:bCs/>
          <w:color w:val="auto"/>
          <w:sz w:val="28"/>
          <w:szCs w:val="28"/>
        </w:rPr>
        <w:t>、创新性成果</w:t>
      </w:r>
    </w:p>
    <w:p w14:paraId="45AE74B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Theme="minorEastAsia"/>
          <w:bCs/>
          <w:color w:val="auto"/>
          <w:sz w:val="24"/>
          <w:lang w:val="en-US" w:eastAsia="zh-CN"/>
        </w:rPr>
      </w:pPr>
      <w:r>
        <w:rPr>
          <w:rFonts w:hint="eastAsia" w:eastAsiaTheme="minorEastAsia"/>
          <w:bCs/>
          <w:color w:val="auto"/>
          <w:sz w:val="24"/>
          <w:lang w:val="en-US" w:eastAsia="zh-CN"/>
        </w:rPr>
        <w:t>创新性成果依照《</w:t>
      </w:r>
      <w:r>
        <w:rPr>
          <w:rFonts w:hint="default" w:eastAsiaTheme="minorEastAsia"/>
          <w:bCs/>
          <w:color w:val="auto"/>
          <w:sz w:val="24"/>
        </w:rPr>
        <w:t>河北大学基础医学院关于研究生申请学位取得创新性成果的规定</w:t>
      </w:r>
      <w:r>
        <w:rPr>
          <w:rFonts w:hint="eastAsia" w:eastAsiaTheme="minorEastAsia"/>
          <w:bCs/>
          <w:color w:val="auto"/>
          <w:sz w:val="24"/>
          <w:lang w:val="en-US" w:eastAsia="zh-CN"/>
        </w:rPr>
        <w:t>》（院科字〔2023〕3号）执行。</w:t>
      </w:r>
    </w:p>
    <w:p w14:paraId="32B95DC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eastAsiaTheme="minorEastAsia"/>
          <w:bCs/>
          <w:color w:val="auto"/>
          <w:sz w:val="24"/>
          <w:lang w:val="en-US" w:eastAsia="zh-CN"/>
        </w:rPr>
      </w:pPr>
      <w:r>
        <w:rPr>
          <w:rFonts w:hint="eastAsia" w:eastAsiaTheme="minorEastAsia"/>
          <w:bCs/>
          <w:color w:val="auto"/>
          <w:sz w:val="24"/>
          <w:lang w:val="en-US" w:eastAsia="zh-CN"/>
        </w:rPr>
        <w:t>申请博士学位的创新性成果应符合以下条件之一，取得的创新成果第一署名单位或通讯作者单位为河北大学基础医学院。</w:t>
      </w:r>
    </w:p>
    <w:p w14:paraId="07F141BE">
      <w:pPr>
        <w:keepNext w:val="0"/>
        <w:keepLines w:val="0"/>
        <w:pageBreakBefore w:val="0"/>
        <w:numPr>
          <w:ilvl w:val="0"/>
          <w:numId w:val="6"/>
        </w:numPr>
        <w:kinsoku/>
        <w:wordWrap/>
        <w:overflowPunct/>
        <w:topLinePunct w:val="0"/>
        <w:autoSpaceDE/>
        <w:autoSpaceDN/>
        <w:bidi w:val="0"/>
        <w:adjustRightInd/>
        <w:snapToGrid/>
        <w:spacing w:line="360" w:lineRule="auto"/>
        <w:ind w:firstLine="480" w:firstLineChars="200"/>
        <w:textAlignment w:val="auto"/>
        <w:rPr>
          <w:rFonts w:hint="eastAsia" w:eastAsiaTheme="minorEastAsia"/>
          <w:bCs/>
          <w:color w:val="auto"/>
          <w:sz w:val="24"/>
          <w:lang w:val="en-US" w:eastAsia="zh-CN"/>
        </w:rPr>
      </w:pPr>
      <w:r>
        <w:rPr>
          <w:rFonts w:hint="eastAsia" w:eastAsiaTheme="minorEastAsia"/>
          <w:bCs/>
          <w:color w:val="auto"/>
          <w:sz w:val="24"/>
          <w:lang w:val="en-US" w:eastAsia="zh-CN"/>
        </w:rPr>
        <w:t>博士研究生(含来华留学博士研究生)在攻读博士学位期间，原则上应在本学科领域完成1篇SCI期刊（JCR分区Q1或Q2）收录论文发表，或2篇SCI期刊（JCR分区Q3）收录论文发表。不包含学术会议报道、会议综述、译文、随笔等。本人为第一作者，或导师为第一作者，本人为第二作者。</w:t>
      </w:r>
    </w:p>
    <w:p w14:paraId="5F4EC634">
      <w:pPr>
        <w:keepNext w:val="0"/>
        <w:keepLines w:val="0"/>
        <w:pageBreakBefore w:val="0"/>
        <w:numPr>
          <w:ilvl w:val="0"/>
          <w:numId w:val="6"/>
        </w:numPr>
        <w:kinsoku/>
        <w:wordWrap/>
        <w:overflowPunct/>
        <w:topLinePunct w:val="0"/>
        <w:autoSpaceDE/>
        <w:autoSpaceDN/>
        <w:bidi w:val="0"/>
        <w:adjustRightInd/>
        <w:snapToGrid/>
        <w:spacing w:line="360" w:lineRule="auto"/>
        <w:ind w:left="0" w:leftChars="0" w:firstLine="480" w:firstLineChars="200"/>
        <w:textAlignment w:val="auto"/>
        <w:rPr>
          <w:rFonts w:hint="eastAsia" w:eastAsiaTheme="minorEastAsia"/>
          <w:bCs/>
          <w:color w:val="auto"/>
          <w:sz w:val="24"/>
          <w:lang w:val="en-US" w:eastAsia="zh-CN"/>
        </w:rPr>
      </w:pPr>
      <w:r>
        <w:rPr>
          <w:rFonts w:hint="eastAsia" w:eastAsiaTheme="minorEastAsia"/>
          <w:bCs/>
          <w:color w:val="auto"/>
          <w:sz w:val="24"/>
          <w:lang w:val="en-US" w:eastAsia="zh-CN"/>
        </w:rPr>
        <w:t>在校定一类出版社出版学术专著；本人为第一作者，或导师为第一作者，本人为第二作者。</w:t>
      </w:r>
    </w:p>
    <w:p w14:paraId="498E9F36">
      <w:pPr>
        <w:keepNext w:val="0"/>
        <w:keepLines w:val="0"/>
        <w:pageBreakBefore w:val="0"/>
        <w:numPr>
          <w:ilvl w:val="0"/>
          <w:numId w:val="6"/>
        </w:numPr>
        <w:kinsoku/>
        <w:wordWrap/>
        <w:overflowPunct/>
        <w:topLinePunct w:val="0"/>
        <w:autoSpaceDE/>
        <w:autoSpaceDN/>
        <w:bidi w:val="0"/>
        <w:adjustRightInd/>
        <w:snapToGrid/>
        <w:spacing w:line="360" w:lineRule="auto"/>
        <w:ind w:left="0" w:leftChars="0" w:firstLine="480" w:firstLineChars="200"/>
        <w:textAlignment w:val="auto"/>
        <w:rPr>
          <w:rFonts w:hint="eastAsia" w:eastAsiaTheme="minorEastAsia"/>
          <w:bCs/>
          <w:color w:val="auto"/>
          <w:sz w:val="24"/>
          <w:lang w:val="en-US" w:eastAsia="zh-CN"/>
        </w:rPr>
      </w:pPr>
      <w:r>
        <w:rPr>
          <w:rFonts w:hint="eastAsia" w:eastAsiaTheme="minorEastAsia"/>
          <w:bCs/>
          <w:color w:val="auto"/>
          <w:sz w:val="24"/>
          <w:lang w:val="en-US" w:eastAsia="zh-CN"/>
        </w:rPr>
        <w:t>获得知识产权“专利一类”，本人为第一发明人，或导师为第一发明人，本人为第二发明人，或获得知识产权“专利二类”，本人为第一发明人。</w:t>
      </w:r>
    </w:p>
    <w:p w14:paraId="46FC4A0F">
      <w:pPr>
        <w:keepNext w:val="0"/>
        <w:keepLines w:val="0"/>
        <w:pageBreakBefore w:val="0"/>
        <w:numPr>
          <w:ilvl w:val="0"/>
          <w:numId w:val="6"/>
        </w:numPr>
        <w:kinsoku/>
        <w:wordWrap/>
        <w:overflowPunct/>
        <w:topLinePunct w:val="0"/>
        <w:autoSpaceDE/>
        <w:autoSpaceDN/>
        <w:bidi w:val="0"/>
        <w:adjustRightInd/>
        <w:snapToGrid/>
        <w:spacing w:line="360" w:lineRule="auto"/>
        <w:ind w:left="0" w:leftChars="0" w:firstLine="480" w:firstLineChars="200"/>
        <w:textAlignment w:val="auto"/>
        <w:rPr>
          <w:rFonts w:hint="eastAsia" w:eastAsiaTheme="minorEastAsia"/>
          <w:bCs/>
          <w:color w:val="auto"/>
          <w:sz w:val="24"/>
          <w:lang w:val="en-US" w:eastAsia="zh-CN"/>
        </w:rPr>
      </w:pPr>
      <w:r>
        <w:rPr>
          <w:rFonts w:hint="eastAsia" w:eastAsiaTheme="minorEastAsia"/>
          <w:bCs/>
          <w:color w:val="auto"/>
          <w:sz w:val="24"/>
          <w:lang w:val="en-US" w:eastAsia="zh-CN"/>
        </w:rPr>
        <w:t>获得国家级或省部级科研成果奖。获得国家级科研成果奖，一等奖排名前10，或二等奖排名前5；获得省部级科研成果奖，一等奖排名前5，或二等奖排名前3，或三等奖排名第1。</w:t>
      </w:r>
    </w:p>
    <w:p w14:paraId="03D7455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color w:val="auto"/>
          <w:sz w:val="28"/>
          <w:szCs w:val="28"/>
        </w:rPr>
      </w:pPr>
      <w:r>
        <w:rPr>
          <w:rFonts w:eastAsia="黑体"/>
          <w:bCs/>
          <w:color w:val="auto"/>
          <w:sz w:val="28"/>
          <w:szCs w:val="28"/>
        </w:rPr>
        <w:t>十一、学位授予</w:t>
      </w:r>
    </w:p>
    <w:p w14:paraId="1DCD88A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color w:val="auto"/>
          <w:sz w:val="24"/>
        </w:rPr>
      </w:pPr>
      <w:r>
        <w:rPr>
          <w:rFonts w:eastAsiaTheme="minorEastAsia"/>
          <w:bCs/>
          <w:color w:val="auto"/>
          <w:sz w:val="24"/>
        </w:rPr>
        <w:t>研究生通过毕业资格审查，</w:t>
      </w:r>
      <w:r>
        <w:rPr>
          <w:color w:val="auto"/>
          <w:kern w:val="0"/>
          <w:sz w:val="24"/>
        </w:rPr>
        <w:t>满</w:t>
      </w:r>
      <w:r>
        <w:rPr>
          <w:i w:val="0"/>
          <w:iCs w:val="0"/>
          <w:color w:val="auto"/>
          <w:kern w:val="0"/>
          <w:sz w:val="24"/>
          <w:u w:val="none"/>
        </w:rPr>
        <w:t>足学院制</w:t>
      </w:r>
      <w:r>
        <w:rPr>
          <w:color w:val="auto"/>
          <w:kern w:val="0"/>
          <w:sz w:val="24"/>
        </w:rPr>
        <w:t>定的创新性成果要求，</w:t>
      </w:r>
      <w:r>
        <w:rPr>
          <w:rFonts w:eastAsiaTheme="minorEastAsia"/>
          <w:bCs/>
          <w:color w:val="auto"/>
          <w:sz w:val="24"/>
        </w:rPr>
        <w:t>符合</w:t>
      </w:r>
      <w:r>
        <w:rPr>
          <w:color w:val="auto"/>
          <w:kern w:val="0"/>
          <w:sz w:val="24"/>
        </w:rPr>
        <w:t>《河北大学博士、硕士学位授予工作实施细则》（校政字〔2025〕7号）</w:t>
      </w:r>
      <w:r>
        <w:rPr>
          <w:rFonts w:eastAsiaTheme="minorEastAsia"/>
          <w:bCs/>
          <w:color w:val="auto"/>
          <w:sz w:val="24"/>
        </w:rPr>
        <w:t>的有关规定，达到学校学位授予标准，经学校学位评定委员会审议，授予博士学位。</w:t>
      </w:r>
    </w:p>
    <w:p w14:paraId="28B2C009">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color w:val="auto"/>
          <w:sz w:val="28"/>
          <w:szCs w:val="28"/>
        </w:rPr>
      </w:pPr>
      <w:r>
        <w:rPr>
          <w:rFonts w:eastAsia="黑体"/>
          <w:bCs/>
          <w:color w:val="auto"/>
          <w:sz w:val="28"/>
          <w:szCs w:val="28"/>
        </w:rPr>
        <w:t>十</w:t>
      </w:r>
      <w:r>
        <w:rPr>
          <w:rFonts w:hint="eastAsia" w:eastAsia="黑体"/>
          <w:bCs/>
          <w:color w:val="auto"/>
          <w:sz w:val="28"/>
          <w:szCs w:val="28"/>
        </w:rPr>
        <w:t>二</w:t>
      </w:r>
      <w:r>
        <w:rPr>
          <w:rFonts w:eastAsia="黑体"/>
          <w:bCs/>
          <w:color w:val="auto"/>
          <w:sz w:val="28"/>
          <w:szCs w:val="28"/>
        </w:rPr>
        <w:t>、学分及课程设置</w:t>
      </w:r>
    </w:p>
    <w:p w14:paraId="6353C58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color w:val="auto"/>
          <w:sz w:val="24"/>
        </w:rPr>
      </w:pPr>
      <w:r>
        <w:rPr>
          <w:rFonts w:eastAsiaTheme="minorEastAsia"/>
          <w:color w:val="auto"/>
          <w:sz w:val="24"/>
        </w:rPr>
        <w:t>本专业最低毕业学分为</w:t>
      </w:r>
      <w:r>
        <w:rPr>
          <w:rFonts w:hint="eastAsia" w:eastAsiaTheme="minorEastAsia"/>
          <w:color w:val="auto"/>
          <w:sz w:val="24"/>
          <w:lang w:val="en-US" w:eastAsia="zh-CN"/>
        </w:rPr>
        <w:t>18</w:t>
      </w:r>
      <w:r>
        <w:rPr>
          <w:rFonts w:eastAsiaTheme="minorEastAsia"/>
          <w:color w:val="auto"/>
          <w:sz w:val="24"/>
        </w:rPr>
        <w:t>分，其中学位课</w:t>
      </w:r>
      <w:r>
        <w:rPr>
          <w:rFonts w:hint="eastAsia" w:eastAsiaTheme="minorEastAsia"/>
          <w:color w:val="auto"/>
          <w:sz w:val="24"/>
          <w:lang w:val="en-US" w:eastAsia="zh-CN"/>
        </w:rPr>
        <w:t>11</w:t>
      </w:r>
      <w:r>
        <w:rPr>
          <w:rFonts w:eastAsiaTheme="minorEastAsia"/>
          <w:color w:val="auto"/>
          <w:sz w:val="24"/>
        </w:rPr>
        <w:t>学分，非学位课</w:t>
      </w:r>
      <w:r>
        <w:rPr>
          <w:rFonts w:hint="eastAsia" w:eastAsiaTheme="minorEastAsia"/>
          <w:color w:val="auto"/>
          <w:sz w:val="24"/>
          <w:lang w:val="en-US" w:eastAsia="zh-CN"/>
        </w:rPr>
        <w:t>6</w:t>
      </w:r>
      <w:r>
        <w:rPr>
          <w:rFonts w:eastAsiaTheme="minorEastAsia"/>
          <w:color w:val="auto"/>
          <w:sz w:val="24"/>
        </w:rPr>
        <w:t>学分，必修环节</w:t>
      </w:r>
      <w:r>
        <w:rPr>
          <w:rFonts w:hint="eastAsia" w:eastAsiaTheme="minorEastAsia"/>
          <w:color w:val="auto"/>
          <w:sz w:val="24"/>
          <w:lang w:val="en-US" w:eastAsia="zh-CN"/>
        </w:rPr>
        <w:t>1-2</w:t>
      </w:r>
      <w:r>
        <w:rPr>
          <w:rFonts w:eastAsiaTheme="minorEastAsia"/>
          <w:color w:val="auto"/>
          <w:sz w:val="24"/>
        </w:rPr>
        <w:t>分。</w:t>
      </w:r>
    </w:p>
    <w:p w14:paraId="3387A2E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color w:val="auto"/>
          <w:sz w:val="24"/>
        </w:rPr>
      </w:pPr>
      <w:r>
        <w:rPr>
          <w:rFonts w:eastAsiaTheme="minorEastAsia"/>
          <w:color w:val="auto"/>
          <w:sz w:val="24"/>
        </w:rPr>
        <w:t>课程考试不设补考环节，</w:t>
      </w:r>
      <w:r>
        <w:rPr>
          <w:color w:val="auto"/>
          <w:sz w:val="24"/>
        </w:rPr>
        <w:t>考试成绩低于60分的需重修。</w:t>
      </w:r>
    </w:p>
    <w:p w14:paraId="1C90EF5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iCs/>
          <w:color w:val="auto"/>
          <w:sz w:val="24"/>
        </w:rPr>
      </w:pPr>
      <w:r>
        <w:rPr>
          <w:rFonts w:hint="eastAsia" w:eastAsiaTheme="minorEastAsia"/>
          <w:iCs/>
          <w:color w:val="auto"/>
          <w:sz w:val="24"/>
        </w:rPr>
        <w:t>课程考核方式包括考试和考查，可以采用口试、笔试或写读书报告、论文的形式，应有</w:t>
      </w:r>
      <w:r>
        <w:rPr>
          <w:rFonts w:hint="eastAsia" w:eastAsiaTheme="minorEastAsia"/>
          <w:iCs/>
          <w:color w:val="auto"/>
          <w:sz w:val="24"/>
          <w:lang w:val="en-US" w:eastAsia="zh-CN"/>
        </w:rPr>
        <w:t>一</w:t>
      </w:r>
      <w:r>
        <w:rPr>
          <w:rFonts w:hint="eastAsia" w:eastAsiaTheme="minorEastAsia"/>
          <w:iCs/>
          <w:color w:val="auto"/>
          <w:sz w:val="24"/>
        </w:rPr>
        <w:t>定数量的笔试。考核方式需均能真实反映学生对所学课程掌握的程度及运用知识的能力，成绩均按百分制成绩评定。</w:t>
      </w:r>
    </w:p>
    <w:p w14:paraId="30F34500">
      <w:pPr>
        <w:spacing w:after="156" w:afterLines="50" w:line="440" w:lineRule="exact"/>
        <w:ind w:firstLine="482" w:firstLineChars="200"/>
        <w:jc w:val="center"/>
        <w:rPr>
          <w:rFonts w:hint="eastAsia" w:eastAsiaTheme="minorEastAsia"/>
          <w:b/>
          <w:bCs/>
          <w:color w:val="FF0000"/>
          <w:sz w:val="24"/>
          <w:lang w:val="en-US" w:eastAsia="zh-CN"/>
        </w:rPr>
      </w:pPr>
    </w:p>
    <w:p w14:paraId="40EF422E">
      <w:pPr>
        <w:spacing w:after="156" w:afterLines="50" w:line="440" w:lineRule="exact"/>
        <w:ind w:firstLine="482" w:firstLineChars="200"/>
        <w:jc w:val="center"/>
        <w:rPr>
          <w:rFonts w:hint="eastAsia" w:eastAsiaTheme="minorEastAsia"/>
          <w:b/>
          <w:bCs/>
          <w:color w:val="auto"/>
          <w:sz w:val="24"/>
          <w:lang w:val="en-US" w:eastAsia="zh-CN"/>
        </w:rPr>
      </w:pPr>
    </w:p>
    <w:p w14:paraId="6C8A1CD2">
      <w:pPr>
        <w:spacing w:after="156" w:afterLines="50" w:line="440" w:lineRule="exact"/>
        <w:ind w:firstLine="482" w:firstLineChars="200"/>
        <w:jc w:val="center"/>
        <w:rPr>
          <w:rFonts w:hint="eastAsia" w:eastAsiaTheme="minorEastAsia"/>
          <w:b/>
          <w:bCs/>
          <w:color w:val="auto"/>
          <w:sz w:val="24"/>
          <w:lang w:val="en-US" w:eastAsia="zh-CN"/>
        </w:rPr>
      </w:pPr>
    </w:p>
    <w:p w14:paraId="12E74F1C">
      <w:pPr>
        <w:spacing w:after="156" w:afterLines="50" w:line="440" w:lineRule="exact"/>
        <w:ind w:firstLine="482" w:firstLineChars="200"/>
        <w:jc w:val="center"/>
        <w:rPr>
          <w:rFonts w:hint="eastAsia" w:eastAsiaTheme="minorEastAsia"/>
          <w:b/>
          <w:bCs/>
          <w:color w:val="auto"/>
          <w:sz w:val="24"/>
          <w:lang w:val="en-US" w:eastAsia="zh-CN"/>
        </w:rPr>
      </w:pPr>
    </w:p>
    <w:p w14:paraId="6E7507F0">
      <w:pPr>
        <w:spacing w:after="156" w:afterLines="50" w:line="440" w:lineRule="exact"/>
        <w:ind w:firstLine="482" w:firstLineChars="200"/>
        <w:jc w:val="center"/>
        <w:rPr>
          <w:rFonts w:hint="eastAsia" w:eastAsiaTheme="minorEastAsia"/>
          <w:b/>
          <w:bCs/>
          <w:color w:val="auto"/>
          <w:sz w:val="24"/>
          <w:lang w:val="en-US" w:eastAsia="zh-CN"/>
        </w:rPr>
      </w:pPr>
    </w:p>
    <w:p w14:paraId="7E13C617">
      <w:pPr>
        <w:spacing w:after="156" w:afterLines="50" w:line="440" w:lineRule="exact"/>
        <w:ind w:firstLine="482" w:firstLineChars="200"/>
        <w:jc w:val="center"/>
        <w:rPr>
          <w:rFonts w:hint="eastAsia" w:eastAsiaTheme="minorEastAsia"/>
          <w:b/>
          <w:bCs/>
          <w:color w:val="auto"/>
          <w:sz w:val="24"/>
          <w:lang w:val="en-US" w:eastAsia="zh-CN"/>
        </w:rPr>
      </w:pPr>
    </w:p>
    <w:p w14:paraId="0418828B">
      <w:pPr>
        <w:spacing w:after="156" w:afterLines="50" w:line="440" w:lineRule="exact"/>
        <w:ind w:firstLine="482" w:firstLineChars="200"/>
        <w:jc w:val="center"/>
        <w:rPr>
          <w:rFonts w:hint="eastAsia" w:eastAsiaTheme="minorEastAsia"/>
          <w:b/>
          <w:bCs/>
          <w:color w:val="auto"/>
          <w:sz w:val="24"/>
          <w:lang w:val="en-US" w:eastAsia="zh-CN"/>
        </w:rPr>
      </w:pPr>
    </w:p>
    <w:p w14:paraId="0932EDEC">
      <w:pPr>
        <w:spacing w:after="156" w:afterLines="50" w:line="440" w:lineRule="exact"/>
        <w:ind w:firstLine="482" w:firstLineChars="200"/>
        <w:jc w:val="center"/>
        <w:rPr>
          <w:rFonts w:hint="eastAsia" w:eastAsiaTheme="minorEastAsia"/>
          <w:b/>
          <w:bCs/>
          <w:color w:val="auto"/>
          <w:sz w:val="24"/>
          <w:lang w:val="en-US" w:eastAsia="zh-CN"/>
        </w:rPr>
      </w:pPr>
    </w:p>
    <w:p w14:paraId="30F17D2B">
      <w:pPr>
        <w:spacing w:after="156" w:afterLines="50" w:line="440" w:lineRule="exact"/>
        <w:ind w:firstLine="482" w:firstLineChars="200"/>
        <w:jc w:val="center"/>
        <w:rPr>
          <w:rFonts w:hint="eastAsia" w:eastAsiaTheme="minorEastAsia"/>
          <w:b/>
          <w:bCs/>
          <w:color w:val="auto"/>
          <w:sz w:val="24"/>
          <w:lang w:val="en-US" w:eastAsia="zh-CN"/>
        </w:rPr>
      </w:pPr>
    </w:p>
    <w:p w14:paraId="48973F26">
      <w:pPr>
        <w:spacing w:after="156" w:afterLines="50" w:line="440" w:lineRule="exact"/>
        <w:ind w:firstLine="482" w:firstLineChars="200"/>
        <w:jc w:val="center"/>
        <w:rPr>
          <w:rFonts w:hint="eastAsia" w:eastAsiaTheme="minorEastAsia"/>
          <w:b/>
          <w:bCs/>
          <w:color w:val="auto"/>
          <w:sz w:val="24"/>
          <w:lang w:val="en-US" w:eastAsia="zh-CN"/>
        </w:rPr>
      </w:pPr>
    </w:p>
    <w:p w14:paraId="69F9E5C8">
      <w:pPr>
        <w:spacing w:after="156" w:afterLines="50" w:line="440" w:lineRule="exact"/>
        <w:ind w:firstLine="482" w:firstLineChars="200"/>
        <w:jc w:val="center"/>
        <w:rPr>
          <w:rFonts w:hint="eastAsia" w:eastAsiaTheme="minorEastAsia"/>
          <w:b/>
          <w:bCs/>
          <w:color w:val="auto"/>
          <w:sz w:val="24"/>
          <w:lang w:val="en-US" w:eastAsia="zh-CN"/>
        </w:rPr>
      </w:pPr>
    </w:p>
    <w:p w14:paraId="0D065303">
      <w:pPr>
        <w:spacing w:after="156" w:afterLines="50" w:line="440" w:lineRule="exact"/>
        <w:ind w:firstLine="482" w:firstLineChars="200"/>
        <w:jc w:val="center"/>
        <w:rPr>
          <w:rFonts w:hint="eastAsia" w:eastAsiaTheme="minorEastAsia"/>
          <w:b/>
          <w:bCs/>
          <w:color w:val="auto"/>
          <w:sz w:val="24"/>
          <w:lang w:val="en-US" w:eastAsia="zh-CN"/>
        </w:rPr>
      </w:pPr>
    </w:p>
    <w:p w14:paraId="5E576745">
      <w:pPr>
        <w:spacing w:after="156" w:afterLines="50" w:line="440" w:lineRule="exact"/>
        <w:ind w:firstLine="482" w:firstLineChars="200"/>
        <w:jc w:val="center"/>
        <w:rPr>
          <w:rFonts w:hint="eastAsia" w:eastAsiaTheme="minorEastAsia"/>
          <w:b/>
          <w:bCs/>
          <w:color w:val="auto"/>
          <w:sz w:val="24"/>
          <w:lang w:val="en-US" w:eastAsia="zh-CN"/>
        </w:rPr>
      </w:pPr>
    </w:p>
    <w:p w14:paraId="3607C2D5">
      <w:pPr>
        <w:spacing w:after="156" w:afterLines="50" w:line="440" w:lineRule="exact"/>
        <w:ind w:firstLine="482" w:firstLineChars="200"/>
        <w:jc w:val="center"/>
        <w:rPr>
          <w:rFonts w:hint="eastAsia" w:eastAsiaTheme="minorEastAsia"/>
          <w:b/>
          <w:bCs/>
          <w:color w:val="auto"/>
          <w:sz w:val="24"/>
          <w:lang w:val="en-US" w:eastAsia="zh-CN"/>
        </w:rPr>
      </w:pPr>
    </w:p>
    <w:p w14:paraId="1461D53A">
      <w:pPr>
        <w:spacing w:after="156" w:afterLines="50" w:line="440" w:lineRule="exact"/>
        <w:ind w:firstLine="482" w:firstLineChars="200"/>
        <w:jc w:val="center"/>
        <w:rPr>
          <w:rFonts w:hint="eastAsia" w:eastAsiaTheme="minorEastAsia"/>
          <w:b/>
          <w:bCs/>
          <w:color w:val="auto"/>
          <w:sz w:val="24"/>
          <w:lang w:val="en-US" w:eastAsia="zh-CN"/>
        </w:rPr>
      </w:pPr>
    </w:p>
    <w:p w14:paraId="35E24AB5">
      <w:pPr>
        <w:spacing w:after="156" w:afterLines="50" w:line="440" w:lineRule="exact"/>
        <w:ind w:firstLine="482" w:firstLineChars="200"/>
        <w:jc w:val="center"/>
        <w:rPr>
          <w:rFonts w:hint="eastAsia" w:eastAsiaTheme="minorEastAsia"/>
          <w:b/>
          <w:bCs/>
          <w:color w:val="auto"/>
          <w:sz w:val="24"/>
          <w:lang w:val="en-US" w:eastAsia="zh-CN"/>
        </w:rPr>
      </w:pPr>
    </w:p>
    <w:p w14:paraId="2960943A">
      <w:pPr>
        <w:spacing w:after="156" w:afterLines="50" w:line="440" w:lineRule="exact"/>
        <w:ind w:firstLine="482" w:firstLineChars="200"/>
        <w:jc w:val="center"/>
        <w:rPr>
          <w:rFonts w:hint="eastAsia" w:eastAsiaTheme="minorEastAsia"/>
          <w:b/>
          <w:bCs/>
          <w:color w:val="auto"/>
          <w:sz w:val="24"/>
          <w:lang w:val="en-US" w:eastAsia="zh-CN"/>
        </w:rPr>
      </w:pPr>
    </w:p>
    <w:p w14:paraId="32AE4E95">
      <w:pPr>
        <w:spacing w:after="156" w:afterLines="50" w:line="440" w:lineRule="exact"/>
        <w:ind w:firstLine="482" w:firstLineChars="200"/>
        <w:jc w:val="center"/>
        <w:rPr>
          <w:rFonts w:hint="eastAsia" w:eastAsiaTheme="minorEastAsia"/>
          <w:b/>
          <w:bCs/>
          <w:color w:val="auto"/>
          <w:sz w:val="24"/>
          <w:lang w:val="en-US" w:eastAsia="zh-CN"/>
        </w:rPr>
      </w:pPr>
    </w:p>
    <w:p w14:paraId="69A9E740">
      <w:pPr>
        <w:spacing w:after="156" w:afterLines="50" w:line="440" w:lineRule="exact"/>
        <w:ind w:firstLine="482" w:firstLineChars="200"/>
        <w:jc w:val="center"/>
        <w:rPr>
          <w:rFonts w:hint="eastAsia" w:eastAsiaTheme="minorEastAsia"/>
          <w:b/>
          <w:bCs/>
          <w:color w:val="auto"/>
          <w:sz w:val="24"/>
          <w:lang w:val="en-US" w:eastAsia="zh-CN"/>
        </w:rPr>
      </w:pPr>
    </w:p>
    <w:p w14:paraId="4766FFE6">
      <w:pPr>
        <w:spacing w:after="156" w:afterLines="50" w:line="440" w:lineRule="exact"/>
        <w:ind w:firstLine="482" w:firstLineChars="200"/>
        <w:jc w:val="center"/>
        <w:rPr>
          <w:rFonts w:eastAsiaTheme="minorEastAsia"/>
          <w:b/>
          <w:bCs/>
          <w:color w:val="auto"/>
          <w:sz w:val="24"/>
        </w:rPr>
      </w:pPr>
      <w:r>
        <w:rPr>
          <w:rFonts w:hint="eastAsia" w:eastAsiaTheme="minorEastAsia"/>
          <w:b/>
          <w:bCs/>
          <w:color w:val="auto"/>
          <w:sz w:val="24"/>
          <w:lang w:val="en-US" w:eastAsia="zh-CN"/>
        </w:rPr>
        <w:t>转化医学</w:t>
      </w:r>
      <w:r>
        <w:rPr>
          <w:rFonts w:eastAsiaTheme="minorEastAsia"/>
          <w:b/>
          <w:bCs/>
          <w:color w:val="auto"/>
          <w:sz w:val="24"/>
        </w:rPr>
        <w:t>专业学术学位博士研究生课程及培养环节设置一览表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364"/>
        <w:gridCol w:w="1233"/>
        <w:gridCol w:w="709"/>
        <w:gridCol w:w="709"/>
        <w:gridCol w:w="1045"/>
      </w:tblGrid>
      <w:tr w14:paraId="42B39D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7432D8B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364" w:type="dxa"/>
            <w:vAlign w:val="center"/>
          </w:tcPr>
          <w:p w14:paraId="4703F9A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233" w:type="dxa"/>
            <w:vAlign w:val="center"/>
          </w:tcPr>
          <w:p w14:paraId="45A869D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1EB1718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78DDD93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4FC3090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0EDD71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restart"/>
            <w:vAlign w:val="center"/>
          </w:tcPr>
          <w:p w14:paraId="495460B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7F1C671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5C382D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364" w:type="dxa"/>
            <w:vAlign w:val="center"/>
          </w:tcPr>
          <w:p w14:paraId="69612A18">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233" w:type="dxa"/>
            <w:vAlign w:val="center"/>
          </w:tcPr>
          <w:p w14:paraId="4199D26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709" w:type="dxa"/>
            <w:vAlign w:val="center"/>
          </w:tcPr>
          <w:p w14:paraId="6FF3DE3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030DB08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C663A6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9D7CC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7B328EE3">
            <w:pPr>
              <w:jc w:val="center"/>
              <w:rPr>
                <w:b/>
                <w:color w:val="000000" w:themeColor="text1"/>
                <w:sz w:val="18"/>
                <w:szCs w:val="18"/>
                <w14:textFill>
                  <w14:solidFill>
                    <w14:schemeClr w14:val="tx1"/>
                  </w14:solidFill>
                </w14:textFill>
              </w:rPr>
            </w:pPr>
          </w:p>
        </w:tc>
        <w:tc>
          <w:tcPr>
            <w:tcW w:w="1226" w:type="dxa"/>
            <w:vMerge w:val="continue"/>
            <w:vAlign w:val="center"/>
          </w:tcPr>
          <w:p w14:paraId="118A950F">
            <w:pPr>
              <w:jc w:val="center"/>
              <w:rPr>
                <w:b/>
                <w:color w:val="000000" w:themeColor="text1"/>
                <w:sz w:val="18"/>
                <w:szCs w:val="18"/>
                <w14:textFill>
                  <w14:solidFill>
                    <w14:schemeClr w14:val="tx1"/>
                  </w14:solidFill>
                </w14:textFill>
              </w:rPr>
            </w:pPr>
          </w:p>
        </w:tc>
        <w:tc>
          <w:tcPr>
            <w:tcW w:w="3364" w:type="dxa"/>
            <w:vAlign w:val="center"/>
          </w:tcPr>
          <w:p w14:paraId="12F9E001">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233" w:type="dxa"/>
            <w:vAlign w:val="center"/>
          </w:tcPr>
          <w:p w14:paraId="4ED203F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709" w:type="dxa"/>
            <w:vAlign w:val="center"/>
          </w:tcPr>
          <w:p w14:paraId="412375E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202393A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6550F66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06A8A2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42006D49">
            <w:pPr>
              <w:jc w:val="center"/>
              <w:rPr>
                <w:b/>
                <w:color w:val="000000" w:themeColor="text1"/>
                <w:sz w:val="18"/>
                <w:szCs w:val="18"/>
                <w14:textFill>
                  <w14:solidFill>
                    <w14:schemeClr w14:val="tx1"/>
                  </w14:solidFill>
                </w14:textFill>
              </w:rPr>
            </w:pPr>
          </w:p>
        </w:tc>
        <w:tc>
          <w:tcPr>
            <w:tcW w:w="1226" w:type="dxa"/>
            <w:vMerge w:val="restart"/>
            <w:vAlign w:val="center"/>
          </w:tcPr>
          <w:p w14:paraId="1E60C6F9">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11C758BC">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3</w:t>
            </w:r>
            <w:r>
              <w:rPr>
                <w:b/>
                <w:color w:val="000000" w:themeColor="text1"/>
                <w:sz w:val="18"/>
                <w:szCs w:val="18"/>
                <w:highlight w:val="none"/>
                <w14:textFill>
                  <w14:solidFill>
                    <w14:schemeClr w14:val="tx1"/>
                  </w14:solidFill>
                </w14:textFill>
              </w:rPr>
              <w:t>学分）</w:t>
            </w:r>
          </w:p>
        </w:tc>
        <w:tc>
          <w:tcPr>
            <w:tcW w:w="3364" w:type="dxa"/>
            <w:vAlign w:val="center"/>
          </w:tcPr>
          <w:p w14:paraId="15A0C68A">
            <w:pPr>
              <w:rPr>
                <w:color w:val="000000" w:themeColor="text1"/>
                <w:sz w:val="18"/>
                <w:szCs w:val="18"/>
                <w14:textFill>
                  <w14:solidFill>
                    <w14:schemeClr w14:val="tx1"/>
                  </w14:solidFill>
                </w14:textFill>
              </w:rPr>
            </w:pPr>
            <w:r>
              <w:rPr>
                <w:rFonts w:hint="eastAsia"/>
                <w:sz w:val="18"/>
                <w:szCs w:val="18"/>
                <w:lang w:val="en-US" w:eastAsia="zh-CN"/>
              </w:rPr>
              <w:t>科学道德与学术论文写作</w:t>
            </w:r>
          </w:p>
        </w:tc>
        <w:tc>
          <w:tcPr>
            <w:tcW w:w="1233" w:type="dxa"/>
            <w:vAlign w:val="center"/>
          </w:tcPr>
          <w:p w14:paraId="56C1B2C6">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XB2302001</w:t>
            </w:r>
          </w:p>
        </w:tc>
        <w:tc>
          <w:tcPr>
            <w:tcW w:w="709" w:type="dxa"/>
            <w:vAlign w:val="center"/>
          </w:tcPr>
          <w:p w14:paraId="7536093B">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709" w:type="dxa"/>
            <w:vAlign w:val="center"/>
          </w:tcPr>
          <w:p w14:paraId="24CDB410">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631693F5">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考试</w:t>
            </w:r>
          </w:p>
        </w:tc>
      </w:tr>
      <w:tr w14:paraId="3068DC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19EE5915">
            <w:pPr>
              <w:jc w:val="center"/>
              <w:rPr>
                <w:b/>
                <w:color w:val="000000" w:themeColor="text1"/>
                <w:sz w:val="18"/>
                <w:szCs w:val="18"/>
                <w14:textFill>
                  <w14:solidFill>
                    <w14:schemeClr w14:val="tx1"/>
                  </w14:solidFill>
                </w14:textFill>
              </w:rPr>
            </w:pPr>
          </w:p>
        </w:tc>
        <w:tc>
          <w:tcPr>
            <w:tcW w:w="1226" w:type="dxa"/>
            <w:vMerge w:val="continue"/>
            <w:vAlign w:val="center"/>
          </w:tcPr>
          <w:p w14:paraId="3ADB32EC">
            <w:pPr>
              <w:jc w:val="center"/>
              <w:rPr>
                <w:b/>
                <w:color w:val="000000" w:themeColor="text1"/>
                <w:sz w:val="18"/>
                <w:szCs w:val="18"/>
                <w14:textFill>
                  <w14:solidFill>
                    <w14:schemeClr w14:val="tx1"/>
                  </w14:solidFill>
                </w14:textFill>
              </w:rPr>
            </w:pPr>
          </w:p>
        </w:tc>
        <w:tc>
          <w:tcPr>
            <w:tcW w:w="3364" w:type="dxa"/>
            <w:shd w:val="clear" w:color="auto" w:fill="auto"/>
            <w:vAlign w:val="center"/>
          </w:tcPr>
          <w:p w14:paraId="29E766CF">
            <w:pPr>
              <w:rPr>
                <w:rFonts w:hint="default" w:ascii="Times New Roman" w:hAnsi="Times New Roman" w:eastAsia="宋体" w:cs="Times New Roman"/>
                <w:color w:val="000000" w:themeColor="text1"/>
                <w:kern w:val="2"/>
                <w:sz w:val="18"/>
                <w:szCs w:val="18"/>
                <w:highlight w:val="yellow"/>
                <w:lang w:val="en-US" w:eastAsia="zh-CN" w:bidi="ar-SA"/>
                <w14:textFill>
                  <w14:solidFill>
                    <w14:schemeClr w14:val="tx1"/>
                  </w14:solidFill>
                </w14:textFill>
              </w:rPr>
            </w:pPr>
            <w:r>
              <w:rPr>
                <w:rFonts w:hint="eastAsia"/>
                <w:sz w:val="18"/>
                <w:szCs w:val="18"/>
                <w:lang w:val="en-US" w:eastAsia="zh-CN"/>
              </w:rPr>
              <w:t>医学统计学</w:t>
            </w:r>
          </w:p>
        </w:tc>
        <w:tc>
          <w:tcPr>
            <w:tcW w:w="1233" w:type="dxa"/>
            <w:vAlign w:val="center"/>
          </w:tcPr>
          <w:p w14:paraId="7EC98D69">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XB2302002</w:t>
            </w:r>
          </w:p>
        </w:tc>
        <w:tc>
          <w:tcPr>
            <w:tcW w:w="709" w:type="dxa"/>
            <w:vAlign w:val="center"/>
          </w:tcPr>
          <w:p w14:paraId="65327B69">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7ADA7502">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730130E1">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考试</w:t>
            </w:r>
          </w:p>
        </w:tc>
      </w:tr>
      <w:tr w14:paraId="15A1E0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722C81BE">
            <w:pPr>
              <w:jc w:val="center"/>
              <w:rPr>
                <w:b/>
                <w:color w:val="000000" w:themeColor="text1"/>
                <w:sz w:val="18"/>
                <w:szCs w:val="18"/>
                <w14:textFill>
                  <w14:solidFill>
                    <w14:schemeClr w14:val="tx1"/>
                  </w14:solidFill>
                </w14:textFill>
              </w:rPr>
            </w:pPr>
          </w:p>
        </w:tc>
        <w:tc>
          <w:tcPr>
            <w:tcW w:w="1226" w:type="dxa"/>
            <w:vMerge w:val="restart"/>
            <w:vAlign w:val="center"/>
          </w:tcPr>
          <w:p w14:paraId="26D4B290">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专业必修课</w:t>
            </w:r>
          </w:p>
          <w:p w14:paraId="57C5136A">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4</w:t>
            </w:r>
            <w:r>
              <w:rPr>
                <w:b/>
                <w:color w:val="000000" w:themeColor="text1"/>
                <w:sz w:val="18"/>
                <w:szCs w:val="18"/>
                <w:highlight w:val="none"/>
                <w14:textFill>
                  <w14:solidFill>
                    <w14:schemeClr w14:val="tx1"/>
                  </w14:solidFill>
                </w14:textFill>
              </w:rPr>
              <w:t>学分）</w:t>
            </w:r>
          </w:p>
        </w:tc>
        <w:tc>
          <w:tcPr>
            <w:tcW w:w="3364" w:type="dxa"/>
          </w:tcPr>
          <w:p w14:paraId="2E2A0C42">
            <w:pPr>
              <w:rPr>
                <w:rFonts w:hint="default"/>
                <w:color w:val="000000" w:themeColor="text1"/>
                <w:sz w:val="18"/>
                <w:szCs w:val="18"/>
                <w:highlight w:val="yellow"/>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医学博士英语</w:t>
            </w:r>
          </w:p>
        </w:tc>
        <w:tc>
          <w:tcPr>
            <w:tcW w:w="1233" w:type="dxa"/>
            <w:vAlign w:val="center"/>
          </w:tcPr>
          <w:p w14:paraId="49C5712A">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XB2302003</w:t>
            </w:r>
          </w:p>
        </w:tc>
        <w:tc>
          <w:tcPr>
            <w:tcW w:w="709" w:type="dxa"/>
            <w:vAlign w:val="center"/>
          </w:tcPr>
          <w:p w14:paraId="2B1D80ED">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0868C7A5">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7CB8663D">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考试</w:t>
            </w:r>
          </w:p>
        </w:tc>
      </w:tr>
      <w:tr w14:paraId="32C3F8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6A9536DC">
            <w:pPr>
              <w:jc w:val="center"/>
              <w:rPr>
                <w:b/>
                <w:color w:val="000000" w:themeColor="text1"/>
                <w:sz w:val="18"/>
                <w:szCs w:val="18"/>
                <w14:textFill>
                  <w14:solidFill>
                    <w14:schemeClr w14:val="tx1"/>
                  </w14:solidFill>
                </w14:textFill>
              </w:rPr>
            </w:pPr>
          </w:p>
        </w:tc>
        <w:tc>
          <w:tcPr>
            <w:tcW w:w="1226" w:type="dxa"/>
            <w:vMerge w:val="continue"/>
            <w:vAlign w:val="center"/>
          </w:tcPr>
          <w:p w14:paraId="1455EBA7">
            <w:pPr>
              <w:jc w:val="center"/>
              <w:rPr>
                <w:b/>
                <w:color w:val="000000" w:themeColor="text1"/>
                <w:sz w:val="18"/>
                <w:szCs w:val="18"/>
                <w:highlight w:val="yellow"/>
                <w14:textFill>
                  <w14:solidFill>
                    <w14:schemeClr w14:val="tx1"/>
                  </w14:solidFill>
                </w14:textFill>
              </w:rPr>
            </w:pPr>
          </w:p>
        </w:tc>
        <w:tc>
          <w:tcPr>
            <w:tcW w:w="3364" w:type="dxa"/>
          </w:tcPr>
          <w:p w14:paraId="53FD9A9C">
            <w:pP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医学实验动物学</w:t>
            </w:r>
          </w:p>
        </w:tc>
        <w:tc>
          <w:tcPr>
            <w:tcW w:w="1233" w:type="dxa"/>
            <w:vAlign w:val="center"/>
          </w:tcPr>
          <w:p w14:paraId="13D1EE5F">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XB2302004</w:t>
            </w:r>
          </w:p>
        </w:tc>
        <w:tc>
          <w:tcPr>
            <w:tcW w:w="709" w:type="dxa"/>
            <w:vAlign w:val="center"/>
          </w:tcPr>
          <w:p w14:paraId="6EBEA21D">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1774118D">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246FF2DB">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考试</w:t>
            </w:r>
          </w:p>
        </w:tc>
      </w:tr>
      <w:tr w14:paraId="569E67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restart"/>
            <w:vAlign w:val="center"/>
          </w:tcPr>
          <w:p w14:paraId="69EBFFD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149114F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4315883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364" w:type="dxa"/>
            <w:vAlign w:val="center"/>
          </w:tcPr>
          <w:p w14:paraId="37F8B42C">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233" w:type="dxa"/>
            <w:vAlign w:val="center"/>
          </w:tcPr>
          <w:p w14:paraId="34CCE7A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7A5DA23D">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5C5C8C20">
            <w:pPr>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7907DD7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0CF180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2646E2BA">
            <w:pPr>
              <w:jc w:val="center"/>
              <w:rPr>
                <w:b/>
                <w:color w:val="000000" w:themeColor="text1"/>
                <w:sz w:val="18"/>
                <w:szCs w:val="18"/>
                <w14:textFill>
                  <w14:solidFill>
                    <w14:schemeClr w14:val="tx1"/>
                  </w14:solidFill>
                </w14:textFill>
              </w:rPr>
            </w:pPr>
          </w:p>
        </w:tc>
        <w:tc>
          <w:tcPr>
            <w:tcW w:w="1226" w:type="dxa"/>
            <w:vMerge w:val="continue"/>
            <w:vAlign w:val="center"/>
          </w:tcPr>
          <w:p w14:paraId="05961C31">
            <w:pPr>
              <w:jc w:val="center"/>
              <w:rPr>
                <w:b/>
                <w:color w:val="000000" w:themeColor="text1"/>
                <w:sz w:val="18"/>
                <w:szCs w:val="18"/>
                <w14:textFill>
                  <w14:solidFill>
                    <w14:schemeClr w14:val="tx1"/>
                  </w14:solidFill>
                </w14:textFill>
              </w:rPr>
            </w:pPr>
          </w:p>
        </w:tc>
        <w:tc>
          <w:tcPr>
            <w:tcW w:w="3364" w:type="dxa"/>
            <w:vAlign w:val="center"/>
          </w:tcPr>
          <w:p w14:paraId="4DA4FE5F">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233" w:type="dxa"/>
            <w:vAlign w:val="center"/>
          </w:tcPr>
          <w:p w14:paraId="1B479CB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TB000010</w:t>
            </w:r>
            <w:r>
              <w:rPr>
                <w:rFonts w:hint="eastAsia"/>
                <w:color w:val="000000" w:themeColor="text1"/>
                <w:sz w:val="18"/>
                <w:szCs w:val="18"/>
                <w14:textFill>
                  <w14:solidFill>
                    <w14:schemeClr w14:val="tx1"/>
                  </w14:solidFill>
                </w14:textFill>
              </w:rPr>
              <w:t>3</w:t>
            </w:r>
          </w:p>
        </w:tc>
        <w:tc>
          <w:tcPr>
            <w:tcW w:w="709" w:type="dxa"/>
            <w:vAlign w:val="center"/>
          </w:tcPr>
          <w:p w14:paraId="25719E5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479761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D5EBB1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3C414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43F65957">
            <w:pPr>
              <w:rPr>
                <w:b/>
                <w:color w:val="000000" w:themeColor="text1"/>
                <w:sz w:val="18"/>
                <w:szCs w:val="18"/>
                <w14:textFill>
                  <w14:solidFill>
                    <w14:schemeClr w14:val="tx1"/>
                  </w14:solidFill>
                </w14:textFill>
              </w:rPr>
            </w:pPr>
          </w:p>
        </w:tc>
        <w:tc>
          <w:tcPr>
            <w:tcW w:w="1226" w:type="dxa"/>
            <w:vMerge w:val="restart"/>
            <w:vAlign w:val="center"/>
          </w:tcPr>
          <w:p w14:paraId="7E11C2A5">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364" w:type="dxa"/>
            <w:vAlign w:val="center"/>
          </w:tcPr>
          <w:p w14:paraId="38E8958D">
            <w:pPr>
              <w:jc w:val="left"/>
              <w:rPr>
                <w:i/>
                <w:color w:val="FF0000"/>
                <w:sz w:val="18"/>
                <w:szCs w:val="18"/>
              </w:rPr>
            </w:pPr>
            <w:r>
              <w:rPr>
                <w:rFonts w:hint="eastAsia"/>
                <w:color w:val="000000" w:themeColor="text1"/>
                <w:sz w:val="18"/>
                <w:szCs w:val="18"/>
                <w:lang w:val="en-US" w:eastAsia="zh-CN"/>
                <w14:textFill>
                  <w14:solidFill>
                    <w14:schemeClr w14:val="tx1"/>
                  </w14:solidFill>
                </w14:textFill>
              </w:rPr>
              <w:t>衰老生理病理机制前沿</w:t>
            </w:r>
          </w:p>
        </w:tc>
        <w:tc>
          <w:tcPr>
            <w:tcW w:w="1233" w:type="dxa"/>
            <w:vAlign w:val="center"/>
          </w:tcPr>
          <w:p w14:paraId="4C81A8DC">
            <w:pPr>
              <w:jc w:val="center"/>
              <w:rPr>
                <w:rFonts w:hint="eastAsia"/>
                <w:i w:val="0"/>
                <w:iCs/>
                <w:color w:val="auto"/>
                <w:sz w:val="13"/>
                <w:szCs w:val="13"/>
                <w:lang w:val="en-US" w:eastAsia="zh-CN"/>
              </w:rPr>
            </w:pPr>
            <w:r>
              <w:rPr>
                <w:rFonts w:hint="eastAsia"/>
                <w:color w:val="000000" w:themeColor="text1"/>
                <w:sz w:val="18"/>
                <w:szCs w:val="18"/>
                <w:lang w:val="en-US" w:eastAsia="zh-CN"/>
                <w14:textFill>
                  <w14:solidFill>
                    <w14:schemeClr w14:val="tx1"/>
                  </w14:solidFill>
                </w14:textFill>
              </w:rPr>
              <w:t>XB2302101</w:t>
            </w:r>
          </w:p>
        </w:tc>
        <w:tc>
          <w:tcPr>
            <w:tcW w:w="709" w:type="dxa"/>
            <w:vAlign w:val="center"/>
          </w:tcPr>
          <w:p w14:paraId="400AF5A8">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421DE097">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Merge w:val="restart"/>
            <w:vAlign w:val="center"/>
          </w:tcPr>
          <w:p w14:paraId="6A679463">
            <w:pPr>
              <w:adjustRightInd w:val="0"/>
              <w:snapToGrid w:val="0"/>
              <w:jc w:val="center"/>
              <w:rPr>
                <w:color w:val="auto"/>
                <w:sz w:val="18"/>
                <w:szCs w:val="18"/>
              </w:rPr>
            </w:pPr>
            <w:r>
              <w:rPr>
                <w:color w:val="auto"/>
                <w:sz w:val="18"/>
                <w:szCs w:val="18"/>
              </w:rPr>
              <w:t>本方向研究生至少选修</w:t>
            </w:r>
          </w:p>
          <w:p w14:paraId="1010D658">
            <w:pPr>
              <w:adjustRightInd w:val="0"/>
              <w:snapToGrid w:val="0"/>
              <w:jc w:val="center"/>
              <w:rPr>
                <w:color w:val="000000" w:themeColor="text1"/>
                <w:sz w:val="18"/>
                <w:szCs w:val="18"/>
                <w14:textFill>
                  <w14:solidFill>
                    <w14:schemeClr w14:val="tx1"/>
                  </w14:solidFill>
                </w14:textFill>
              </w:rPr>
            </w:pPr>
            <w:r>
              <w:rPr>
                <w:rFonts w:hint="eastAsia"/>
                <w:color w:val="auto"/>
                <w:sz w:val="18"/>
                <w:szCs w:val="18"/>
                <w:lang w:val="en-US" w:eastAsia="zh-CN"/>
              </w:rPr>
              <w:t>4</w:t>
            </w:r>
            <w:r>
              <w:rPr>
                <w:color w:val="auto"/>
                <w:sz w:val="18"/>
                <w:szCs w:val="18"/>
              </w:rPr>
              <w:t>学</w:t>
            </w:r>
            <w:r>
              <w:rPr>
                <w:color w:val="000000" w:themeColor="text1"/>
                <w:sz w:val="18"/>
                <w:szCs w:val="18"/>
                <w14:textFill>
                  <w14:solidFill>
                    <w14:schemeClr w14:val="tx1"/>
                  </w14:solidFill>
                </w14:textFill>
              </w:rPr>
              <w:t>分</w:t>
            </w:r>
          </w:p>
        </w:tc>
      </w:tr>
      <w:tr w14:paraId="3BF07A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0C653D97">
            <w:pPr>
              <w:rPr>
                <w:b/>
                <w:color w:val="000000" w:themeColor="text1"/>
                <w:sz w:val="18"/>
                <w:szCs w:val="18"/>
                <w14:textFill>
                  <w14:solidFill>
                    <w14:schemeClr w14:val="tx1"/>
                  </w14:solidFill>
                </w14:textFill>
              </w:rPr>
            </w:pPr>
          </w:p>
        </w:tc>
        <w:tc>
          <w:tcPr>
            <w:tcW w:w="1226" w:type="dxa"/>
            <w:vMerge w:val="continue"/>
            <w:vAlign w:val="center"/>
          </w:tcPr>
          <w:p w14:paraId="3705F372">
            <w:pPr>
              <w:adjustRightInd w:val="0"/>
              <w:snapToGrid w:val="0"/>
              <w:jc w:val="center"/>
              <w:rPr>
                <w:b/>
                <w:color w:val="000000" w:themeColor="text1"/>
                <w:sz w:val="18"/>
                <w:szCs w:val="18"/>
                <w14:textFill>
                  <w14:solidFill>
                    <w14:schemeClr w14:val="tx1"/>
                  </w14:solidFill>
                </w14:textFill>
              </w:rPr>
            </w:pPr>
          </w:p>
        </w:tc>
        <w:tc>
          <w:tcPr>
            <w:tcW w:w="3364" w:type="dxa"/>
            <w:vAlign w:val="center"/>
          </w:tcPr>
          <w:p w14:paraId="7D84D641">
            <w:pPr>
              <w:jc w:val="left"/>
              <w:rPr>
                <w:i/>
                <w:color w:val="FF0000"/>
                <w:sz w:val="18"/>
                <w:szCs w:val="18"/>
              </w:rPr>
            </w:pPr>
            <w:r>
              <w:rPr>
                <w:rFonts w:hint="eastAsia"/>
                <w:color w:val="000000" w:themeColor="text1"/>
                <w:sz w:val="18"/>
                <w:szCs w:val="18"/>
                <w:lang w:val="en-US" w:eastAsia="zh-CN"/>
                <w14:textFill>
                  <w14:solidFill>
                    <w14:schemeClr w14:val="tx1"/>
                  </w14:solidFill>
                </w14:textFill>
              </w:rPr>
              <w:t>慢性疼痛研究进展</w:t>
            </w:r>
          </w:p>
        </w:tc>
        <w:tc>
          <w:tcPr>
            <w:tcW w:w="1233" w:type="dxa"/>
            <w:vAlign w:val="center"/>
          </w:tcPr>
          <w:p w14:paraId="461AEF6E">
            <w:pPr>
              <w:jc w:val="center"/>
              <w:rPr>
                <w:rFonts w:hint="eastAsia"/>
                <w:i w:val="0"/>
                <w:iCs/>
                <w:color w:val="auto"/>
                <w:sz w:val="13"/>
                <w:szCs w:val="13"/>
                <w:lang w:val="en-US" w:eastAsia="zh-CN"/>
              </w:rPr>
            </w:pPr>
            <w:r>
              <w:rPr>
                <w:rFonts w:hint="eastAsia"/>
                <w:color w:val="000000" w:themeColor="text1"/>
                <w:sz w:val="18"/>
                <w:szCs w:val="18"/>
                <w:lang w:val="en-US" w:eastAsia="zh-CN"/>
                <w14:textFill>
                  <w14:solidFill>
                    <w14:schemeClr w14:val="tx1"/>
                  </w14:solidFill>
                </w14:textFill>
              </w:rPr>
              <w:t>XB2302102</w:t>
            </w:r>
          </w:p>
        </w:tc>
        <w:tc>
          <w:tcPr>
            <w:tcW w:w="709" w:type="dxa"/>
            <w:vAlign w:val="center"/>
          </w:tcPr>
          <w:p w14:paraId="3C846366">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3681C3DD">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Merge w:val="continue"/>
            <w:vAlign w:val="center"/>
          </w:tcPr>
          <w:p w14:paraId="2275227D">
            <w:pPr>
              <w:adjustRightInd w:val="0"/>
              <w:snapToGrid w:val="0"/>
              <w:jc w:val="center"/>
              <w:rPr>
                <w:color w:val="FF0000"/>
                <w:sz w:val="18"/>
                <w:szCs w:val="18"/>
              </w:rPr>
            </w:pPr>
          </w:p>
        </w:tc>
      </w:tr>
      <w:tr w14:paraId="34EA6C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F57A752">
            <w:pPr>
              <w:rPr>
                <w:b/>
                <w:color w:val="000000" w:themeColor="text1"/>
                <w:sz w:val="18"/>
                <w:szCs w:val="18"/>
                <w14:textFill>
                  <w14:solidFill>
                    <w14:schemeClr w14:val="tx1"/>
                  </w14:solidFill>
                </w14:textFill>
              </w:rPr>
            </w:pPr>
          </w:p>
        </w:tc>
        <w:tc>
          <w:tcPr>
            <w:tcW w:w="1226" w:type="dxa"/>
            <w:vMerge w:val="continue"/>
            <w:vAlign w:val="center"/>
          </w:tcPr>
          <w:p w14:paraId="31C79D92">
            <w:pPr>
              <w:adjustRightInd w:val="0"/>
              <w:snapToGrid w:val="0"/>
              <w:jc w:val="center"/>
              <w:rPr>
                <w:b/>
                <w:color w:val="000000" w:themeColor="text1"/>
                <w:sz w:val="18"/>
                <w:szCs w:val="18"/>
                <w14:textFill>
                  <w14:solidFill>
                    <w14:schemeClr w14:val="tx1"/>
                  </w14:solidFill>
                </w14:textFill>
              </w:rPr>
            </w:pPr>
          </w:p>
        </w:tc>
        <w:tc>
          <w:tcPr>
            <w:tcW w:w="3364" w:type="dxa"/>
            <w:shd w:val="clear" w:color="auto" w:fill="auto"/>
            <w:vAlign w:val="center"/>
          </w:tcPr>
          <w:p w14:paraId="20BD3135">
            <w:pPr>
              <w:jc w:val="left"/>
              <w:rPr>
                <w:rFonts w:hint="eastAsia" w:ascii="Times New Roman" w:hAnsi="Times New Roman" w:eastAsia="宋体" w:cs="Times New Roman"/>
                <w:i/>
                <w:color w:val="FF0000"/>
                <w:kern w:val="2"/>
                <w:sz w:val="18"/>
                <w:szCs w:val="18"/>
                <w:highlight w:val="none"/>
                <w:lang w:val="en-US" w:eastAsia="zh-CN" w:bidi="ar-SA"/>
              </w:rPr>
            </w:pPr>
            <w:r>
              <w:rPr>
                <w:rFonts w:hint="eastAsia"/>
                <w:color w:val="000000" w:themeColor="text1"/>
                <w:sz w:val="18"/>
                <w:szCs w:val="18"/>
                <w:highlight w:val="none"/>
                <w:lang w:val="en-US" w:eastAsia="zh-CN"/>
                <w14:textFill>
                  <w14:solidFill>
                    <w14:schemeClr w14:val="tx1"/>
                  </w14:solidFill>
                </w14:textFill>
              </w:rPr>
              <w:t>麻醉与器官保护研究进展</w:t>
            </w:r>
          </w:p>
        </w:tc>
        <w:tc>
          <w:tcPr>
            <w:tcW w:w="1233" w:type="dxa"/>
            <w:shd w:val="clear" w:color="auto" w:fill="auto"/>
            <w:vAlign w:val="center"/>
          </w:tcPr>
          <w:p w14:paraId="78FA5163">
            <w:pPr>
              <w:jc w:val="center"/>
              <w:rPr>
                <w:rFonts w:hint="eastAsia"/>
                <w:i w:val="0"/>
                <w:iCs/>
                <w:color w:val="auto"/>
                <w:sz w:val="13"/>
                <w:szCs w:val="13"/>
                <w:lang w:val="en-US" w:eastAsia="zh-CN"/>
              </w:rPr>
            </w:pPr>
            <w:r>
              <w:rPr>
                <w:rFonts w:hint="eastAsia"/>
                <w:color w:val="000000" w:themeColor="text1"/>
                <w:sz w:val="18"/>
                <w:szCs w:val="18"/>
                <w:lang w:val="en-US" w:eastAsia="zh-CN"/>
                <w14:textFill>
                  <w14:solidFill>
                    <w14:schemeClr w14:val="tx1"/>
                  </w14:solidFill>
                </w14:textFill>
              </w:rPr>
              <w:t>XB2302103</w:t>
            </w:r>
          </w:p>
        </w:tc>
        <w:tc>
          <w:tcPr>
            <w:tcW w:w="709" w:type="dxa"/>
            <w:shd w:val="clear" w:color="auto" w:fill="auto"/>
            <w:vAlign w:val="center"/>
          </w:tcPr>
          <w:p w14:paraId="7C4E761D">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113B9FC0">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Merge w:val="continue"/>
            <w:vAlign w:val="center"/>
          </w:tcPr>
          <w:p w14:paraId="5B28766D">
            <w:pPr>
              <w:adjustRightInd w:val="0"/>
              <w:snapToGrid w:val="0"/>
              <w:jc w:val="center"/>
              <w:rPr>
                <w:color w:val="FF0000"/>
                <w:sz w:val="18"/>
                <w:szCs w:val="18"/>
              </w:rPr>
            </w:pPr>
          </w:p>
        </w:tc>
      </w:tr>
      <w:tr w14:paraId="3653A3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A4F552E">
            <w:pPr>
              <w:rPr>
                <w:b/>
                <w:color w:val="000000" w:themeColor="text1"/>
                <w:sz w:val="18"/>
                <w:szCs w:val="18"/>
                <w14:textFill>
                  <w14:solidFill>
                    <w14:schemeClr w14:val="tx1"/>
                  </w14:solidFill>
                </w14:textFill>
              </w:rPr>
            </w:pPr>
          </w:p>
        </w:tc>
        <w:tc>
          <w:tcPr>
            <w:tcW w:w="1226" w:type="dxa"/>
            <w:vMerge w:val="continue"/>
            <w:vAlign w:val="center"/>
          </w:tcPr>
          <w:p w14:paraId="17E430E3">
            <w:pPr>
              <w:adjustRightInd w:val="0"/>
              <w:snapToGrid w:val="0"/>
              <w:jc w:val="center"/>
              <w:rPr>
                <w:b/>
                <w:color w:val="000000" w:themeColor="text1"/>
                <w:sz w:val="18"/>
                <w:szCs w:val="18"/>
                <w14:textFill>
                  <w14:solidFill>
                    <w14:schemeClr w14:val="tx1"/>
                  </w14:solidFill>
                </w14:textFill>
              </w:rPr>
            </w:pPr>
          </w:p>
        </w:tc>
        <w:tc>
          <w:tcPr>
            <w:tcW w:w="3364" w:type="dxa"/>
            <w:shd w:val="clear" w:color="auto" w:fill="auto"/>
            <w:vAlign w:val="center"/>
          </w:tcPr>
          <w:p w14:paraId="673659DD">
            <w:pPr>
              <w:jc w:val="left"/>
              <w:rPr>
                <w:rFonts w:hint="eastAsia" w:ascii="Times New Roman" w:hAnsi="Times New Roman" w:eastAsia="宋体" w:cs="Times New Roman"/>
                <w:i/>
                <w:color w:val="FF0000"/>
                <w:kern w:val="2"/>
                <w:sz w:val="18"/>
                <w:szCs w:val="18"/>
                <w:highlight w:val="none"/>
                <w:lang w:val="en-US" w:eastAsia="zh-CN" w:bidi="ar-SA"/>
              </w:rPr>
            </w:pPr>
            <w:r>
              <w:rPr>
                <w:rFonts w:hint="eastAsia"/>
                <w:color w:val="000000" w:themeColor="text1"/>
                <w:sz w:val="18"/>
                <w:szCs w:val="18"/>
                <w:highlight w:val="none"/>
                <w:lang w:val="en-US" w:eastAsia="zh-CN"/>
                <w14:textFill>
                  <w14:solidFill>
                    <w14:schemeClr w14:val="tx1"/>
                  </w14:solidFill>
                </w14:textFill>
              </w:rPr>
              <w:t>医用生物材料研究进展</w:t>
            </w:r>
          </w:p>
        </w:tc>
        <w:tc>
          <w:tcPr>
            <w:tcW w:w="1233" w:type="dxa"/>
            <w:shd w:val="clear" w:color="auto" w:fill="auto"/>
            <w:vAlign w:val="center"/>
          </w:tcPr>
          <w:p w14:paraId="35DAD68C">
            <w:pPr>
              <w:jc w:val="center"/>
              <w:rPr>
                <w:rFonts w:hint="eastAsia"/>
                <w:i w:val="0"/>
                <w:iCs/>
                <w:color w:val="auto"/>
                <w:sz w:val="13"/>
                <w:szCs w:val="13"/>
                <w:lang w:val="en-US" w:eastAsia="zh-CN"/>
              </w:rPr>
            </w:pPr>
            <w:r>
              <w:rPr>
                <w:rFonts w:hint="eastAsia"/>
                <w:color w:val="000000" w:themeColor="text1"/>
                <w:sz w:val="18"/>
                <w:szCs w:val="18"/>
                <w:lang w:val="en-US" w:eastAsia="zh-CN"/>
                <w14:textFill>
                  <w14:solidFill>
                    <w14:schemeClr w14:val="tx1"/>
                  </w14:solidFill>
                </w14:textFill>
              </w:rPr>
              <w:t>XB2302104</w:t>
            </w:r>
          </w:p>
        </w:tc>
        <w:tc>
          <w:tcPr>
            <w:tcW w:w="709" w:type="dxa"/>
            <w:shd w:val="clear" w:color="auto" w:fill="auto"/>
            <w:vAlign w:val="center"/>
          </w:tcPr>
          <w:p w14:paraId="5110F1B2">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604586B0">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Merge w:val="continue"/>
            <w:vAlign w:val="center"/>
          </w:tcPr>
          <w:p w14:paraId="74FB3A93">
            <w:pPr>
              <w:adjustRightInd w:val="0"/>
              <w:snapToGrid w:val="0"/>
              <w:jc w:val="center"/>
              <w:rPr>
                <w:color w:val="FF0000"/>
                <w:sz w:val="18"/>
                <w:szCs w:val="18"/>
              </w:rPr>
            </w:pPr>
          </w:p>
        </w:tc>
      </w:tr>
      <w:tr w14:paraId="1A5E37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1EF8FB4D">
            <w:pPr>
              <w:rPr>
                <w:b/>
                <w:color w:val="000000" w:themeColor="text1"/>
                <w:sz w:val="18"/>
                <w:szCs w:val="18"/>
                <w14:textFill>
                  <w14:solidFill>
                    <w14:schemeClr w14:val="tx1"/>
                  </w14:solidFill>
                </w14:textFill>
              </w:rPr>
            </w:pPr>
          </w:p>
        </w:tc>
        <w:tc>
          <w:tcPr>
            <w:tcW w:w="1226" w:type="dxa"/>
            <w:vMerge w:val="continue"/>
            <w:vAlign w:val="center"/>
          </w:tcPr>
          <w:p w14:paraId="01CB27F0">
            <w:pPr>
              <w:adjustRightInd w:val="0"/>
              <w:snapToGrid w:val="0"/>
              <w:jc w:val="center"/>
              <w:rPr>
                <w:b/>
                <w:color w:val="000000" w:themeColor="text1"/>
                <w:sz w:val="18"/>
                <w:szCs w:val="18"/>
                <w14:textFill>
                  <w14:solidFill>
                    <w14:schemeClr w14:val="tx1"/>
                  </w14:solidFill>
                </w14:textFill>
              </w:rPr>
            </w:pPr>
          </w:p>
        </w:tc>
        <w:tc>
          <w:tcPr>
            <w:tcW w:w="3364" w:type="dxa"/>
            <w:shd w:val="clear" w:color="auto" w:fill="auto"/>
            <w:vAlign w:val="center"/>
          </w:tcPr>
          <w:p w14:paraId="4E779151">
            <w:pPr>
              <w:jc w:val="left"/>
              <w:rPr>
                <w:rFonts w:hint="eastAsia" w:ascii="Times New Roman" w:hAnsi="Times New Roman" w:eastAsia="宋体" w:cs="Times New Roman"/>
                <w:i/>
                <w:color w:val="FF0000"/>
                <w:kern w:val="2"/>
                <w:sz w:val="18"/>
                <w:szCs w:val="18"/>
                <w:highlight w:val="none"/>
                <w:lang w:val="en-US" w:eastAsia="zh-CN" w:bidi="ar-SA"/>
              </w:rPr>
            </w:pPr>
            <w:r>
              <w:rPr>
                <w:rFonts w:hint="eastAsia"/>
                <w:color w:val="000000" w:themeColor="text1"/>
                <w:sz w:val="18"/>
                <w:szCs w:val="18"/>
                <w:highlight w:val="none"/>
                <w:lang w:val="en-US" w:eastAsia="zh-CN"/>
                <w14:textFill>
                  <w14:solidFill>
                    <w14:schemeClr w14:val="tx1"/>
                  </w14:solidFill>
                </w14:textFill>
              </w:rPr>
              <w:t>肿瘤生物学进展</w:t>
            </w:r>
          </w:p>
        </w:tc>
        <w:tc>
          <w:tcPr>
            <w:tcW w:w="1233" w:type="dxa"/>
            <w:shd w:val="clear" w:color="auto" w:fill="auto"/>
            <w:vAlign w:val="center"/>
          </w:tcPr>
          <w:p w14:paraId="31D9473D">
            <w:pPr>
              <w:jc w:val="center"/>
              <w:rPr>
                <w:rFonts w:hint="eastAsia"/>
                <w:i w:val="0"/>
                <w:iCs/>
                <w:color w:val="auto"/>
                <w:sz w:val="13"/>
                <w:szCs w:val="13"/>
                <w:lang w:val="en-US" w:eastAsia="zh-CN"/>
              </w:rPr>
            </w:pPr>
            <w:r>
              <w:rPr>
                <w:rFonts w:hint="eastAsia"/>
                <w:color w:val="000000" w:themeColor="text1"/>
                <w:sz w:val="18"/>
                <w:szCs w:val="18"/>
                <w:lang w:val="en-US" w:eastAsia="zh-CN"/>
                <w14:textFill>
                  <w14:solidFill>
                    <w14:schemeClr w14:val="tx1"/>
                  </w14:solidFill>
                </w14:textFill>
              </w:rPr>
              <w:t>XB2302105</w:t>
            </w:r>
          </w:p>
        </w:tc>
        <w:tc>
          <w:tcPr>
            <w:tcW w:w="709" w:type="dxa"/>
            <w:shd w:val="clear" w:color="auto" w:fill="auto"/>
            <w:vAlign w:val="center"/>
          </w:tcPr>
          <w:p w14:paraId="15970CBC">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778742E1">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Merge w:val="continue"/>
            <w:vAlign w:val="center"/>
          </w:tcPr>
          <w:p w14:paraId="6C7C3842">
            <w:pPr>
              <w:adjustRightInd w:val="0"/>
              <w:snapToGrid w:val="0"/>
              <w:jc w:val="center"/>
              <w:rPr>
                <w:color w:val="FF0000"/>
                <w:sz w:val="18"/>
                <w:szCs w:val="18"/>
              </w:rPr>
            </w:pPr>
          </w:p>
        </w:tc>
      </w:tr>
      <w:tr w14:paraId="06DA86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715D78F7">
            <w:pPr>
              <w:rPr>
                <w:b/>
                <w:color w:val="000000" w:themeColor="text1"/>
                <w:sz w:val="18"/>
                <w:szCs w:val="18"/>
                <w14:textFill>
                  <w14:solidFill>
                    <w14:schemeClr w14:val="tx1"/>
                  </w14:solidFill>
                </w14:textFill>
              </w:rPr>
            </w:pPr>
          </w:p>
        </w:tc>
        <w:tc>
          <w:tcPr>
            <w:tcW w:w="1226" w:type="dxa"/>
            <w:vMerge w:val="continue"/>
            <w:vAlign w:val="center"/>
          </w:tcPr>
          <w:p w14:paraId="49F33666">
            <w:pPr>
              <w:adjustRightInd w:val="0"/>
              <w:snapToGrid w:val="0"/>
              <w:jc w:val="center"/>
              <w:rPr>
                <w:b/>
                <w:color w:val="000000" w:themeColor="text1"/>
                <w:sz w:val="18"/>
                <w:szCs w:val="18"/>
                <w14:textFill>
                  <w14:solidFill>
                    <w14:schemeClr w14:val="tx1"/>
                  </w14:solidFill>
                </w14:textFill>
              </w:rPr>
            </w:pPr>
          </w:p>
        </w:tc>
        <w:tc>
          <w:tcPr>
            <w:tcW w:w="3364" w:type="dxa"/>
            <w:shd w:val="clear" w:color="auto" w:fill="auto"/>
            <w:vAlign w:val="center"/>
          </w:tcPr>
          <w:p w14:paraId="1E895951">
            <w:pPr>
              <w:jc w:val="left"/>
              <w:rPr>
                <w:rFonts w:hint="eastAsia" w:ascii="Times New Roman" w:hAnsi="Times New Roman" w:eastAsia="宋体" w:cs="Times New Roman"/>
                <w:i/>
                <w:color w:val="FF0000"/>
                <w:kern w:val="2"/>
                <w:sz w:val="18"/>
                <w:szCs w:val="18"/>
                <w:highlight w:val="none"/>
                <w:lang w:val="en-US" w:eastAsia="zh-CN" w:bidi="ar-SA"/>
              </w:rPr>
            </w:pPr>
            <w:r>
              <w:rPr>
                <w:rFonts w:hint="eastAsia"/>
                <w:color w:val="000000" w:themeColor="text1"/>
                <w:sz w:val="18"/>
                <w:szCs w:val="18"/>
                <w:highlight w:val="none"/>
                <w:lang w:val="en-US" w:eastAsia="zh-CN"/>
                <w14:textFill>
                  <w14:solidFill>
                    <w14:schemeClr w14:val="tx1"/>
                  </w14:solidFill>
                </w14:textFill>
              </w:rPr>
              <w:t>医学导师论坛</w:t>
            </w:r>
          </w:p>
        </w:tc>
        <w:tc>
          <w:tcPr>
            <w:tcW w:w="1233" w:type="dxa"/>
            <w:shd w:val="clear" w:color="auto" w:fill="auto"/>
            <w:vAlign w:val="center"/>
          </w:tcPr>
          <w:p w14:paraId="5C5F2615">
            <w:pPr>
              <w:jc w:val="center"/>
              <w:rPr>
                <w:rFonts w:hint="eastAsia" w:ascii="Times New Roman" w:hAnsi="Times New Roman" w:eastAsia="宋体" w:cs="Times New Roman"/>
                <w:color w:val="FF0000"/>
                <w:kern w:val="2"/>
                <w:sz w:val="18"/>
                <w:szCs w:val="18"/>
                <w:lang w:val="en-US" w:eastAsia="zh-CN" w:bidi="ar-SA"/>
              </w:rPr>
            </w:pPr>
            <w:r>
              <w:rPr>
                <w:rFonts w:hint="eastAsia"/>
                <w:color w:val="000000" w:themeColor="text1"/>
                <w:sz w:val="18"/>
                <w:szCs w:val="18"/>
                <w:lang w:val="en-US" w:eastAsia="zh-CN"/>
                <w14:textFill>
                  <w14:solidFill>
                    <w14:schemeClr w14:val="tx1"/>
                  </w14:solidFill>
                </w14:textFill>
              </w:rPr>
              <w:t>XB2302106</w:t>
            </w:r>
          </w:p>
        </w:tc>
        <w:tc>
          <w:tcPr>
            <w:tcW w:w="709" w:type="dxa"/>
            <w:shd w:val="clear" w:color="auto" w:fill="auto"/>
            <w:vAlign w:val="center"/>
          </w:tcPr>
          <w:p w14:paraId="25B699C5">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581BC22D">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Merge w:val="continue"/>
            <w:vAlign w:val="center"/>
          </w:tcPr>
          <w:p w14:paraId="407EB65D">
            <w:pPr>
              <w:adjustRightInd w:val="0"/>
              <w:snapToGrid w:val="0"/>
              <w:jc w:val="center"/>
              <w:rPr>
                <w:color w:val="FF0000"/>
                <w:sz w:val="18"/>
                <w:szCs w:val="18"/>
              </w:rPr>
            </w:pPr>
          </w:p>
        </w:tc>
      </w:tr>
      <w:tr w14:paraId="7C4672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67248EDF">
            <w:pPr>
              <w:rPr>
                <w:b/>
                <w:color w:val="000000" w:themeColor="text1"/>
                <w:sz w:val="18"/>
                <w:szCs w:val="18"/>
                <w14:textFill>
                  <w14:solidFill>
                    <w14:schemeClr w14:val="tx1"/>
                  </w14:solidFill>
                </w14:textFill>
              </w:rPr>
            </w:pPr>
          </w:p>
        </w:tc>
        <w:tc>
          <w:tcPr>
            <w:tcW w:w="1226" w:type="dxa"/>
            <w:vMerge w:val="continue"/>
            <w:vAlign w:val="center"/>
          </w:tcPr>
          <w:p w14:paraId="3E907A87">
            <w:pPr>
              <w:adjustRightInd w:val="0"/>
              <w:snapToGrid w:val="0"/>
              <w:jc w:val="center"/>
              <w:rPr>
                <w:b/>
                <w:color w:val="FF0000"/>
                <w:sz w:val="18"/>
                <w:szCs w:val="18"/>
              </w:rPr>
            </w:pPr>
          </w:p>
        </w:tc>
        <w:tc>
          <w:tcPr>
            <w:tcW w:w="3364" w:type="dxa"/>
            <w:shd w:val="clear" w:color="auto" w:fill="auto"/>
            <w:vAlign w:val="center"/>
          </w:tcPr>
          <w:p w14:paraId="5127EFD7">
            <w:pPr>
              <w:jc w:val="left"/>
              <w:rPr>
                <w:rFonts w:hint="eastAsia" w:ascii="Times New Roman" w:hAnsi="Times New Roman" w:eastAsia="宋体" w:cs="Times New Roman"/>
                <w:i/>
                <w:color w:val="FF0000"/>
                <w:kern w:val="2"/>
                <w:sz w:val="18"/>
                <w:szCs w:val="18"/>
                <w:lang w:val="en-US" w:eastAsia="zh-CN" w:bidi="ar-SA"/>
              </w:rPr>
            </w:pPr>
            <w:r>
              <w:rPr>
                <w:rFonts w:hint="default"/>
                <w:color w:val="000000" w:themeColor="text1"/>
                <w:sz w:val="18"/>
                <w:szCs w:val="18"/>
                <w:lang w:val="en-US" w:eastAsia="zh-CN"/>
                <w14:textFill>
                  <w14:solidFill>
                    <w14:schemeClr w14:val="tx1"/>
                  </w14:solidFill>
                </w14:textFill>
              </w:rPr>
              <w:t>医用纳米材料的制备和表征</w:t>
            </w:r>
          </w:p>
        </w:tc>
        <w:tc>
          <w:tcPr>
            <w:tcW w:w="1233" w:type="dxa"/>
            <w:vAlign w:val="center"/>
          </w:tcPr>
          <w:p w14:paraId="5BC67206">
            <w:pPr>
              <w:jc w:val="center"/>
              <w:rPr>
                <w:color w:val="FF0000"/>
                <w:sz w:val="18"/>
                <w:szCs w:val="18"/>
              </w:rPr>
            </w:pPr>
            <w:r>
              <w:rPr>
                <w:rFonts w:hint="eastAsia"/>
                <w:color w:val="000000" w:themeColor="text1"/>
                <w:sz w:val="18"/>
                <w:szCs w:val="18"/>
                <w:lang w:val="en-US" w:eastAsia="zh-CN"/>
                <w14:textFill>
                  <w14:solidFill>
                    <w14:schemeClr w14:val="tx1"/>
                  </w14:solidFill>
                </w14:textFill>
              </w:rPr>
              <w:t>XB2302107</w:t>
            </w:r>
          </w:p>
        </w:tc>
        <w:tc>
          <w:tcPr>
            <w:tcW w:w="709" w:type="dxa"/>
            <w:shd w:val="clear" w:color="auto" w:fill="auto"/>
            <w:vAlign w:val="center"/>
          </w:tcPr>
          <w:p w14:paraId="171DF2F4">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65EEC0FB">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Merge w:val="continue"/>
            <w:vAlign w:val="center"/>
          </w:tcPr>
          <w:p w14:paraId="535E6D0E">
            <w:pPr>
              <w:adjustRightInd w:val="0"/>
              <w:snapToGrid w:val="0"/>
              <w:jc w:val="center"/>
              <w:rPr>
                <w:color w:val="000000" w:themeColor="text1"/>
                <w:sz w:val="18"/>
                <w:szCs w:val="18"/>
                <w14:textFill>
                  <w14:solidFill>
                    <w14:schemeClr w14:val="tx1"/>
                  </w14:solidFill>
                </w14:textFill>
              </w:rPr>
            </w:pPr>
          </w:p>
        </w:tc>
      </w:tr>
      <w:tr w14:paraId="445913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45127BA">
            <w:pPr>
              <w:rPr>
                <w:b/>
                <w:color w:val="000000" w:themeColor="text1"/>
                <w:sz w:val="18"/>
                <w:szCs w:val="18"/>
                <w14:textFill>
                  <w14:solidFill>
                    <w14:schemeClr w14:val="tx1"/>
                  </w14:solidFill>
                </w14:textFill>
              </w:rPr>
            </w:pPr>
          </w:p>
        </w:tc>
        <w:tc>
          <w:tcPr>
            <w:tcW w:w="1226" w:type="dxa"/>
            <w:vMerge w:val="continue"/>
            <w:vAlign w:val="center"/>
          </w:tcPr>
          <w:p w14:paraId="59013A4F">
            <w:pPr>
              <w:adjustRightInd w:val="0"/>
              <w:snapToGrid w:val="0"/>
              <w:jc w:val="center"/>
              <w:rPr>
                <w:b/>
                <w:color w:val="FF0000"/>
                <w:sz w:val="18"/>
                <w:szCs w:val="18"/>
              </w:rPr>
            </w:pPr>
          </w:p>
        </w:tc>
        <w:tc>
          <w:tcPr>
            <w:tcW w:w="3364" w:type="dxa"/>
            <w:shd w:val="clear" w:color="auto" w:fill="auto"/>
            <w:vAlign w:val="center"/>
          </w:tcPr>
          <w:p w14:paraId="35D75340">
            <w:pPr>
              <w:jc w:val="left"/>
              <w:rPr>
                <w:rFonts w:hint="eastAsia"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临床大数据与生物信息学</w:t>
            </w:r>
          </w:p>
        </w:tc>
        <w:tc>
          <w:tcPr>
            <w:tcW w:w="1233" w:type="dxa"/>
            <w:vAlign w:val="center"/>
          </w:tcPr>
          <w:p w14:paraId="115BF304">
            <w:pPr>
              <w:jc w:val="center"/>
              <w:rPr>
                <w:color w:val="FF0000"/>
                <w:sz w:val="18"/>
                <w:szCs w:val="18"/>
              </w:rPr>
            </w:pPr>
            <w:r>
              <w:rPr>
                <w:rFonts w:hint="eastAsia"/>
                <w:color w:val="000000" w:themeColor="text1"/>
                <w:sz w:val="18"/>
                <w:szCs w:val="18"/>
                <w:lang w:val="en-US" w:eastAsia="zh-CN"/>
                <w14:textFill>
                  <w14:solidFill>
                    <w14:schemeClr w14:val="tx1"/>
                  </w14:solidFill>
                </w14:textFill>
              </w:rPr>
              <w:t>XB2302108</w:t>
            </w:r>
          </w:p>
        </w:tc>
        <w:tc>
          <w:tcPr>
            <w:tcW w:w="709" w:type="dxa"/>
            <w:shd w:val="clear" w:color="auto" w:fill="auto"/>
            <w:vAlign w:val="center"/>
          </w:tcPr>
          <w:p w14:paraId="795698B8">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6D9A1285">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Merge w:val="continue"/>
            <w:vAlign w:val="center"/>
          </w:tcPr>
          <w:p w14:paraId="375FDBFC">
            <w:pPr>
              <w:adjustRightInd w:val="0"/>
              <w:snapToGrid w:val="0"/>
              <w:jc w:val="center"/>
              <w:rPr>
                <w:color w:val="000000" w:themeColor="text1"/>
                <w:sz w:val="18"/>
                <w:szCs w:val="18"/>
                <w14:textFill>
                  <w14:solidFill>
                    <w14:schemeClr w14:val="tx1"/>
                  </w14:solidFill>
                </w14:textFill>
              </w:rPr>
            </w:pPr>
          </w:p>
        </w:tc>
      </w:tr>
      <w:tr w14:paraId="0D9D13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restart"/>
            <w:vAlign w:val="center"/>
          </w:tcPr>
          <w:p w14:paraId="0EF24A7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48BC1A41">
            <w:pPr>
              <w:jc w:val="center"/>
              <w:rPr>
                <w:b/>
                <w:color w:val="000000" w:themeColor="text1"/>
                <w:sz w:val="18"/>
                <w:szCs w:val="18"/>
                <w14:textFill>
                  <w14:solidFill>
                    <w14:schemeClr w14:val="tx1"/>
                  </w14:solidFill>
                </w14:textFill>
              </w:rPr>
            </w:pPr>
          </w:p>
        </w:tc>
        <w:tc>
          <w:tcPr>
            <w:tcW w:w="1226" w:type="dxa"/>
            <w:vMerge w:val="restart"/>
            <w:vAlign w:val="center"/>
          </w:tcPr>
          <w:p w14:paraId="363728F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364" w:type="dxa"/>
            <w:vAlign w:val="center"/>
          </w:tcPr>
          <w:p w14:paraId="0B69389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233" w:type="dxa"/>
            <w:vAlign w:val="center"/>
          </w:tcPr>
          <w:p w14:paraId="4155BCF0">
            <w:pPr>
              <w:jc w:val="center"/>
              <w:rPr>
                <w:color w:val="000000" w:themeColor="text1"/>
                <w:sz w:val="18"/>
                <w:szCs w:val="18"/>
                <w14:textFill>
                  <w14:solidFill>
                    <w14:schemeClr w14:val="tx1"/>
                  </w14:solidFill>
                </w14:textFill>
              </w:rPr>
            </w:pPr>
          </w:p>
        </w:tc>
        <w:tc>
          <w:tcPr>
            <w:tcW w:w="709" w:type="dxa"/>
            <w:vAlign w:val="center"/>
          </w:tcPr>
          <w:p w14:paraId="1667B32E">
            <w:pPr>
              <w:jc w:val="center"/>
              <w:rPr>
                <w:color w:val="auto"/>
                <w:sz w:val="18"/>
                <w:szCs w:val="18"/>
              </w:rPr>
            </w:pPr>
          </w:p>
        </w:tc>
        <w:tc>
          <w:tcPr>
            <w:tcW w:w="709" w:type="dxa"/>
            <w:vAlign w:val="center"/>
          </w:tcPr>
          <w:p w14:paraId="2EAA226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2974ADBB">
            <w:pPr>
              <w:jc w:val="center"/>
              <w:rPr>
                <w:i/>
                <w:color w:val="FF0000"/>
                <w:sz w:val="18"/>
                <w:szCs w:val="18"/>
              </w:rPr>
            </w:pPr>
          </w:p>
        </w:tc>
      </w:tr>
      <w:tr w14:paraId="0E0FA2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68A15984">
            <w:pPr>
              <w:jc w:val="center"/>
              <w:rPr>
                <w:b/>
                <w:color w:val="000000" w:themeColor="text1"/>
                <w:sz w:val="18"/>
                <w:szCs w:val="18"/>
                <w14:textFill>
                  <w14:solidFill>
                    <w14:schemeClr w14:val="tx1"/>
                  </w14:solidFill>
                </w14:textFill>
              </w:rPr>
            </w:pPr>
          </w:p>
        </w:tc>
        <w:tc>
          <w:tcPr>
            <w:tcW w:w="1226" w:type="dxa"/>
            <w:vMerge w:val="continue"/>
            <w:vAlign w:val="center"/>
          </w:tcPr>
          <w:p w14:paraId="41ABAC56">
            <w:pPr>
              <w:jc w:val="center"/>
              <w:rPr>
                <w:b/>
                <w:color w:val="000000" w:themeColor="text1"/>
                <w:sz w:val="18"/>
                <w:szCs w:val="18"/>
                <w14:textFill>
                  <w14:solidFill>
                    <w14:schemeClr w14:val="tx1"/>
                  </w14:solidFill>
                </w14:textFill>
              </w:rPr>
            </w:pPr>
          </w:p>
        </w:tc>
        <w:tc>
          <w:tcPr>
            <w:tcW w:w="3364" w:type="dxa"/>
            <w:vAlign w:val="center"/>
          </w:tcPr>
          <w:p w14:paraId="4E7FBCD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233" w:type="dxa"/>
            <w:vAlign w:val="center"/>
          </w:tcPr>
          <w:p w14:paraId="6E74554A">
            <w:pPr>
              <w:jc w:val="center"/>
              <w:rPr>
                <w:color w:val="000000" w:themeColor="text1"/>
                <w:sz w:val="18"/>
                <w:szCs w:val="18"/>
                <w14:textFill>
                  <w14:solidFill>
                    <w14:schemeClr w14:val="tx1"/>
                  </w14:solidFill>
                </w14:textFill>
              </w:rPr>
            </w:pPr>
          </w:p>
        </w:tc>
        <w:tc>
          <w:tcPr>
            <w:tcW w:w="709" w:type="dxa"/>
            <w:vAlign w:val="center"/>
          </w:tcPr>
          <w:p w14:paraId="478E464F">
            <w:pPr>
              <w:jc w:val="center"/>
              <w:rPr>
                <w:color w:val="auto"/>
                <w:sz w:val="18"/>
                <w:szCs w:val="18"/>
              </w:rPr>
            </w:pPr>
            <w:r>
              <w:rPr>
                <w:color w:val="auto"/>
                <w:sz w:val="18"/>
                <w:szCs w:val="18"/>
              </w:rPr>
              <w:t>1</w:t>
            </w:r>
          </w:p>
        </w:tc>
        <w:tc>
          <w:tcPr>
            <w:tcW w:w="709" w:type="dxa"/>
            <w:vAlign w:val="center"/>
          </w:tcPr>
          <w:p w14:paraId="563A486B">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1-6</w:t>
            </w:r>
          </w:p>
        </w:tc>
        <w:tc>
          <w:tcPr>
            <w:tcW w:w="1045" w:type="dxa"/>
            <w:vMerge w:val="continue"/>
            <w:vAlign w:val="center"/>
          </w:tcPr>
          <w:p w14:paraId="2940C5D3">
            <w:pPr>
              <w:jc w:val="center"/>
              <w:rPr>
                <w:color w:val="000000" w:themeColor="text1"/>
                <w:sz w:val="18"/>
                <w:szCs w:val="18"/>
                <w14:textFill>
                  <w14:solidFill>
                    <w14:schemeClr w14:val="tx1"/>
                  </w14:solidFill>
                </w14:textFill>
              </w:rPr>
            </w:pPr>
          </w:p>
        </w:tc>
      </w:tr>
      <w:tr w14:paraId="5B9E06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vAlign w:val="center"/>
          </w:tcPr>
          <w:p w14:paraId="36C75455">
            <w:pPr>
              <w:jc w:val="center"/>
              <w:rPr>
                <w:b/>
                <w:color w:val="000000" w:themeColor="text1"/>
                <w:sz w:val="18"/>
                <w:szCs w:val="18"/>
                <w14:textFill>
                  <w14:solidFill>
                    <w14:schemeClr w14:val="tx1"/>
                  </w14:solidFill>
                </w14:textFill>
              </w:rPr>
            </w:pPr>
          </w:p>
        </w:tc>
        <w:tc>
          <w:tcPr>
            <w:tcW w:w="1226" w:type="dxa"/>
            <w:vMerge w:val="continue"/>
            <w:vAlign w:val="center"/>
          </w:tcPr>
          <w:p w14:paraId="6D54638A">
            <w:pPr>
              <w:jc w:val="center"/>
              <w:rPr>
                <w:b/>
                <w:color w:val="000000" w:themeColor="text1"/>
                <w:sz w:val="18"/>
                <w:szCs w:val="18"/>
                <w14:textFill>
                  <w14:solidFill>
                    <w14:schemeClr w14:val="tx1"/>
                  </w14:solidFill>
                </w14:textFill>
              </w:rPr>
            </w:pPr>
          </w:p>
        </w:tc>
        <w:tc>
          <w:tcPr>
            <w:tcW w:w="3364" w:type="dxa"/>
            <w:vAlign w:val="center"/>
          </w:tcPr>
          <w:p w14:paraId="36A77E83">
            <w:pPr>
              <w:adjustRightInd w:val="0"/>
              <w:snapToGri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竞赛活动</w:t>
            </w:r>
          </w:p>
        </w:tc>
        <w:tc>
          <w:tcPr>
            <w:tcW w:w="1233" w:type="dxa"/>
            <w:vAlign w:val="center"/>
          </w:tcPr>
          <w:p w14:paraId="0FB258DF">
            <w:pPr>
              <w:jc w:val="center"/>
              <w:rPr>
                <w:color w:val="000000" w:themeColor="text1"/>
                <w:sz w:val="18"/>
                <w:szCs w:val="18"/>
                <w14:textFill>
                  <w14:solidFill>
                    <w14:schemeClr w14:val="tx1"/>
                  </w14:solidFill>
                </w14:textFill>
              </w:rPr>
            </w:pPr>
          </w:p>
        </w:tc>
        <w:tc>
          <w:tcPr>
            <w:tcW w:w="709" w:type="dxa"/>
            <w:vAlign w:val="center"/>
          </w:tcPr>
          <w:p w14:paraId="52EDC1A1">
            <w:pPr>
              <w:jc w:val="center"/>
              <w:rPr>
                <w:rFonts w:hint="eastAsia" w:eastAsia="宋体"/>
                <w:color w:val="auto"/>
                <w:sz w:val="18"/>
                <w:szCs w:val="18"/>
                <w:lang w:val="en-US" w:eastAsia="zh-CN"/>
              </w:rPr>
            </w:pPr>
            <w:r>
              <w:rPr>
                <w:rFonts w:hint="eastAsia"/>
                <w:color w:val="auto"/>
                <w:sz w:val="18"/>
                <w:szCs w:val="18"/>
                <w:lang w:val="en-US" w:eastAsia="zh-CN"/>
              </w:rPr>
              <w:t>1</w:t>
            </w:r>
          </w:p>
        </w:tc>
        <w:tc>
          <w:tcPr>
            <w:tcW w:w="709" w:type="dxa"/>
            <w:vAlign w:val="center"/>
          </w:tcPr>
          <w:p w14:paraId="0956F775">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1-6</w:t>
            </w:r>
          </w:p>
        </w:tc>
        <w:tc>
          <w:tcPr>
            <w:tcW w:w="1045" w:type="dxa"/>
            <w:vMerge w:val="continue"/>
            <w:vAlign w:val="center"/>
          </w:tcPr>
          <w:p w14:paraId="2A65ADBF">
            <w:pPr>
              <w:jc w:val="center"/>
              <w:rPr>
                <w:color w:val="000000" w:themeColor="text1"/>
                <w:sz w:val="18"/>
                <w:szCs w:val="18"/>
                <w14:textFill>
                  <w14:solidFill>
                    <w14:schemeClr w14:val="tx1"/>
                  </w14:solidFill>
                </w14:textFill>
              </w:rPr>
            </w:pPr>
          </w:p>
        </w:tc>
      </w:tr>
      <w:tr w14:paraId="77274B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0AB8006B">
            <w:pPr>
              <w:rPr>
                <w:b/>
                <w:color w:val="000000" w:themeColor="text1"/>
                <w:sz w:val="18"/>
                <w:szCs w:val="18"/>
                <w14:textFill>
                  <w14:solidFill>
                    <w14:schemeClr w14:val="tx1"/>
                  </w14:solidFill>
                </w14:textFill>
              </w:rPr>
            </w:pPr>
          </w:p>
        </w:tc>
        <w:tc>
          <w:tcPr>
            <w:tcW w:w="1226" w:type="dxa"/>
            <w:vMerge w:val="restart"/>
            <w:vAlign w:val="center"/>
          </w:tcPr>
          <w:p w14:paraId="7EC852F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364" w:type="dxa"/>
            <w:vAlign w:val="center"/>
          </w:tcPr>
          <w:p w14:paraId="0AD6EA7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233" w:type="dxa"/>
            <w:vAlign w:val="center"/>
          </w:tcPr>
          <w:p w14:paraId="54E6B1C6">
            <w:pPr>
              <w:jc w:val="center"/>
              <w:rPr>
                <w:color w:val="000000" w:themeColor="text1"/>
                <w:sz w:val="18"/>
                <w:szCs w:val="18"/>
                <w14:textFill>
                  <w14:solidFill>
                    <w14:schemeClr w14:val="tx1"/>
                  </w14:solidFill>
                </w14:textFill>
              </w:rPr>
            </w:pPr>
          </w:p>
        </w:tc>
        <w:tc>
          <w:tcPr>
            <w:tcW w:w="709" w:type="dxa"/>
            <w:vAlign w:val="center"/>
          </w:tcPr>
          <w:p w14:paraId="29718CE7">
            <w:pPr>
              <w:jc w:val="center"/>
              <w:rPr>
                <w:color w:val="000000" w:themeColor="text1"/>
                <w:sz w:val="18"/>
                <w:szCs w:val="18"/>
                <w14:textFill>
                  <w14:solidFill>
                    <w14:schemeClr w14:val="tx1"/>
                  </w14:solidFill>
                </w14:textFill>
              </w:rPr>
            </w:pPr>
          </w:p>
        </w:tc>
        <w:tc>
          <w:tcPr>
            <w:tcW w:w="709" w:type="dxa"/>
            <w:vAlign w:val="center"/>
          </w:tcPr>
          <w:p w14:paraId="09ADF085">
            <w:pPr>
              <w:jc w:val="center"/>
              <w:rPr>
                <w:rFonts w:hint="eastAsia" w:eastAsia="宋体"/>
                <w:i w:val="0"/>
                <w:iCs/>
                <w:color w:val="auto"/>
                <w:sz w:val="18"/>
                <w:szCs w:val="18"/>
                <w:lang w:eastAsia="zh-CN"/>
              </w:rPr>
            </w:pPr>
            <w:r>
              <w:rPr>
                <w:rFonts w:hint="eastAsia"/>
                <w:i w:val="0"/>
                <w:iCs/>
                <w:color w:val="auto"/>
                <w:sz w:val="18"/>
                <w:szCs w:val="18"/>
                <w:lang w:val="en-US" w:eastAsia="zh-CN"/>
              </w:rPr>
              <w:t>3</w:t>
            </w:r>
          </w:p>
        </w:tc>
        <w:tc>
          <w:tcPr>
            <w:tcW w:w="1045" w:type="dxa"/>
            <w:vMerge w:val="restart"/>
            <w:vAlign w:val="center"/>
          </w:tcPr>
          <w:p w14:paraId="5649E1C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1F40348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5FD13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3CCE85CF">
            <w:pPr>
              <w:rPr>
                <w:b/>
                <w:color w:val="000000" w:themeColor="text1"/>
                <w:sz w:val="18"/>
                <w:szCs w:val="18"/>
                <w14:textFill>
                  <w14:solidFill>
                    <w14:schemeClr w14:val="tx1"/>
                  </w14:solidFill>
                </w14:textFill>
              </w:rPr>
            </w:pPr>
          </w:p>
        </w:tc>
        <w:tc>
          <w:tcPr>
            <w:tcW w:w="1226" w:type="dxa"/>
            <w:vMerge w:val="continue"/>
            <w:vAlign w:val="center"/>
          </w:tcPr>
          <w:p w14:paraId="32133433">
            <w:pPr>
              <w:jc w:val="center"/>
              <w:rPr>
                <w:b/>
                <w:color w:val="000000" w:themeColor="text1"/>
                <w:sz w:val="18"/>
                <w:szCs w:val="18"/>
                <w14:textFill>
                  <w14:solidFill>
                    <w14:schemeClr w14:val="tx1"/>
                  </w14:solidFill>
                </w14:textFill>
              </w:rPr>
            </w:pPr>
          </w:p>
        </w:tc>
        <w:tc>
          <w:tcPr>
            <w:tcW w:w="3364" w:type="dxa"/>
            <w:vAlign w:val="center"/>
          </w:tcPr>
          <w:p w14:paraId="065780D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233" w:type="dxa"/>
            <w:vAlign w:val="center"/>
          </w:tcPr>
          <w:p w14:paraId="143F33F5">
            <w:pPr>
              <w:jc w:val="center"/>
              <w:rPr>
                <w:color w:val="000000" w:themeColor="text1"/>
                <w:sz w:val="18"/>
                <w:szCs w:val="18"/>
                <w14:textFill>
                  <w14:solidFill>
                    <w14:schemeClr w14:val="tx1"/>
                  </w14:solidFill>
                </w14:textFill>
              </w:rPr>
            </w:pPr>
          </w:p>
        </w:tc>
        <w:tc>
          <w:tcPr>
            <w:tcW w:w="709" w:type="dxa"/>
            <w:vAlign w:val="center"/>
          </w:tcPr>
          <w:p w14:paraId="4E975E07">
            <w:pPr>
              <w:jc w:val="center"/>
              <w:rPr>
                <w:color w:val="000000" w:themeColor="text1"/>
                <w:sz w:val="18"/>
                <w:szCs w:val="18"/>
                <w14:textFill>
                  <w14:solidFill>
                    <w14:schemeClr w14:val="tx1"/>
                  </w14:solidFill>
                </w14:textFill>
              </w:rPr>
            </w:pPr>
          </w:p>
        </w:tc>
        <w:tc>
          <w:tcPr>
            <w:tcW w:w="709" w:type="dxa"/>
            <w:vAlign w:val="center"/>
          </w:tcPr>
          <w:p w14:paraId="703A0535">
            <w:pPr>
              <w:jc w:val="center"/>
              <w:rPr>
                <w:rFonts w:hint="eastAsia" w:eastAsia="宋体"/>
                <w:i w:val="0"/>
                <w:iCs/>
                <w:color w:val="auto"/>
                <w:sz w:val="18"/>
                <w:szCs w:val="18"/>
                <w:lang w:eastAsia="zh-CN"/>
              </w:rPr>
            </w:pPr>
            <w:r>
              <w:rPr>
                <w:rFonts w:hint="eastAsia"/>
                <w:i w:val="0"/>
                <w:iCs/>
                <w:color w:val="auto"/>
                <w:sz w:val="18"/>
                <w:szCs w:val="18"/>
                <w:lang w:val="en-US" w:eastAsia="zh-CN"/>
              </w:rPr>
              <w:t>3</w:t>
            </w:r>
          </w:p>
        </w:tc>
        <w:tc>
          <w:tcPr>
            <w:tcW w:w="1045" w:type="dxa"/>
            <w:vMerge w:val="continue"/>
            <w:vAlign w:val="center"/>
          </w:tcPr>
          <w:p w14:paraId="52F5D7A8">
            <w:pPr>
              <w:jc w:val="center"/>
              <w:rPr>
                <w:color w:val="000000" w:themeColor="text1"/>
                <w:sz w:val="18"/>
                <w:szCs w:val="18"/>
                <w14:textFill>
                  <w14:solidFill>
                    <w14:schemeClr w14:val="tx1"/>
                  </w14:solidFill>
                </w14:textFill>
              </w:rPr>
            </w:pPr>
          </w:p>
        </w:tc>
      </w:tr>
      <w:tr w14:paraId="3268854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647C6053">
            <w:pPr>
              <w:rPr>
                <w:b/>
                <w:color w:val="000000" w:themeColor="text1"/>
                <w:sz w:val="18"/>
                <w:szCs w:val="18"/>
                <w14:textFill>
                  <w14:solidFill>
                    <w14:schemeClr w14:val="tx1"/>
                  </w14:solidFill>
                </w14:textFill>
              </w:rPr>
            </w:pPr>
          </w:p>
        </w:tc>
        <w:tc>
          <w:tcPr>
            <w:tcW w:w="1226" w:type="dxa"/>
            <w:vMerge w:val="continue"/>
            <w:vAlign w:val="center"/>
          </w:tcPr>
          <w:p w14:paraId="3C33D92B">
            <w:pPr>
              <w:jc w:val="center"/>
              <w:rPr>
                <w:b/>
                <w:color w:val="000000" w:themeColor="text1"/>
                <w:sz w:val="18"/>
                <w:szCs w:val="18"/>
                <w14:textFill>
                  <w14:solidFill>
                    <w14:schemeClr w14:val="tx1"/>
                  </w14:solidFill>
                </w14:textFill>
              </w:rPr>
            </w:pPr>
          </w:p>
        </w:tc>
        <w:tc>
          <w:tcPr>
            <w:tcW w:w="3364" w:type="dxa"/>
            <w:vAlign w:val="center"/>
          </w:tcPr>
          <w:p w14:paraId="20289433">
            <w:pPr>
              <w:rPr>
                <w:sz w:val="18"/>
                <w:szCs w:val="18"/>
              </w:rPr>
            </w:pPr>
            <w:r>
              <w:rPr>
                <w:sz w:val="18"/>
                <w:szCs w:val="18"/>
              </w:rPr>
              <w:t>论文中期进展报告</w:t>
            </w:r>
          </w:p>
        </w:tc>
        <w:tc>
          <w:tcPr>
            <w:tcW w:w="1233" w:type="dxa"/>
            <w:vAlign w:val="center"/>
          </w:tcPr>
          <w:p w14:paraId="18F275A4">
            <w:pPr>
              <w:jc w:val="center"/>
              <w:rPr>
                <w:color w:val="000000" w:themeColor="text1"/>
                <w:sz w:val="18"/>
                <w:szCs w:val="18"/>
                <w14:textFill>
                  <w14:solidFill>
                    <w14:schemeClr w14:val="tx1"/>
                  </w14:solidFill>
                </w14:textFill>
              </w:rPr>
            </w:pPr>
          </w:p>
        </w:tc>
        <w:tc>
          <w:tcPr>
            <w:tcW w:w="709" w:type="dxa"/>
            <w:vAlign w:val="center"/>
          </w:tcPr>
          <w:p w14:paraId="6E33460F">
            <w:pPr>
              <w:jc w:val="center"/>
              <w:rPr>
                <w:color w:val="000000" w:themeColor="text1"/>
                <w:sz w:val="18"/>
                <w:szCs w:val="18"/>
                <w14:textFill>
                  <w14:solidFill>
                    <w14:schemeClr w14:val="tx1"/>
                  </w14:solidFill>
                </w14:textFill>
              </w:rPr>
            </w:pPr>
          </w:p>
        </w:tc>
        <w:tc>
          <w:tcPr>
            <w:tcW w:w="709" w:type="dxa"/>
            <w:vAlign w:val="center"/>
          </w:tcPr>
          <w:p w14:paraId="3F78A533">
            <w:pPr>
              <w:jc w:val="center"/>
              <w:rPr>
                <w:rFonts w:hint="eastAsia" w:eastAsia="宋体"/>
                <w:i w:val="0"/>
                <w:iCs/>
                <w:color w:val="auto"/>
                <w:sz w:val="18"/>
                <w:szCs w:val="18"/>
                <w:lang w:eastAsia="zh-CN"/>
              </w:rPr>
            </w:pPr>
            <w:r>
              <w:rPr>
                <w:rFonts w:hint="eastAsia"/>
                <w:i w:val="0"/>
                <w:iCs/>
                <w:color w:val="auto"/>
                <w:sz w:val="18"/>
                <w:szCs w:val="18"/>
                <w:lang w:val="en-US" w:eastAsia="zh-CN"/>
              </w:rPr>
              <w:t>5</w:t>
            </w:r>
          </w:p>
        </w:tc>
        <w:tc>
          <w:tcPr>
            <w:tcW w:w="1045" w:type="dxa"/>
            <w:vMerge w:val="continue"/>
          </w:tcPr>
          <w:p w14:paraId="0A41D5E0">
            <w:pPr>
              <w:jc w:val="center"/>
              <w:rPr>
                <w:color w:val="000000" w:themeColor="text1"/>
                <w:sz w:val="18"/>
                <w:szCs w:val="18"/>
                <w14:textFill>
                  <w14:solidFill>
                    <w14:schemeClr w14:val="tx1"/>
                  </w14:solidFill>
                </w14:textFill>
              </w:rPr>
            </w:pPr>
          </w:p>
        </w:tc>
      </w:tr>
      <w:tr w14:paraId="5A78CE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09951D02">
            <w:pPr>
              <w:rPr>
                <w:b/>
                <w:color w:val="000000" w:themeColor="text1"/>
                <w:sz w:val="18"/>
                <w:szCs w:val="18"/>
                <w14:textFill>
                  <w14:solidFill>
                    <w14:schemeClr w14:val="tx1"/>
                  </w14:solidFill>
                </w14:textFill>
              </w:rPr>
            </w:pPr>
          </w:p>
        </w:tc>
        <w:tc>
          <w:tcPr>
            <w:tcW w:w="1226" w:type="dxa"/>
            <w:vMerge w:val="continue"/>
            <w:vAlign w:val="center"/>
          </w:tcPr>
          <w:p w14:paraId="5EE43D01">
            <w:pPr>
              <w:jc w:val="center"/>
              <w:rPr>
                <w:b/>
                <w:color w:val="000000" w:themeColor="text1"/>
                <w:sz w:val="18"/>
                <w:szCs w:val="18"/>
                <w14:textFill>
                  <w14:solidFill>
                    <w14:schemeClr w14:val="tx1"/>
                  </w14:solidFill>
                </w14:textFill>
              </w:rPr>
            </w:pPr>
          </w:p>
        </w:tc>
        <w:tc>
          <w:tcPr>
            <w:tcW w:w="3364" w:type="dxa"/>
            <w:vAlign w:val="center"/>
          </w:tcPr>
          <w:p w14:paraId="099F8D2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233" w:type="dxa"/>
            <w:vAlign w:val="center"/>
          </w:tcPr>
          <w:p w14:paraId="67B9F063">
            <w:pPr>
              <w:jc w:val="center"/>
              <w:rPr>
                <w:color w:val="000000" w:themeColor="text1"/>
                <w:sz w:val="18"/>
                <w:szCs w:val="18"/>
                <w14:textFill>
                  <w14:solidFill>
                    <w14:schemeClr w14:val="tx1"/>
                  </w14:solidFill>
                </w14:textFill>
              </w:rPr>
            </w:pPr>
          </w:p>
        </w:tc>
        <w:tc>
          <w:tcPr>
            <w:tcW w:w="709" w:type="dxa"/>
            <w:vAlign w:val="center"/>
          </w:tcPr>
          <w:p w14:paraId="57A4A2B0">
            <w:pPr>
              <w:jc w:val="center"/>
              <w:rPr>
                <w:color w:val="000000" w:themeColor="text1"/>
                <w:sz w:val="18"/>
                <w:szCs w:val="18"/>
                <w14:textFill>
                  <w14:solidFill>
                    <w14:schemeClr w14:val="tx1"/>
                  </w14:solidFill>
                </w14:textFill>
              </w:rPr>
            </w:pPr>
          </w:p>
        </w:tc>
        <w:tc>
          <w:tcPr>
            <w:tcW w:w="709" w:type="dxa"/>
            <w:vAlign w:val="center"/>
          </w:tcPr>
          <w:p w14:paraId="5B2DCB0A">
            <w:pPr>
              <w:jc w:val="center"/>
              <w:rPr>
                <w:rFonts w:hint="eastAsia" w:eastAsia="宋体"/>
                <w:i w:val="0"/>
                <w:iCs/>
                <w:color w:val="auto"/>
                <w:sz w:val="18"/>
                <w:szCs w:val="18"/>
                <w:lang w:eastAsia="zh-CN"/>
              </w:rPr>
            </w:pPr>
            <w:r>
              <w:rPr>
                <w:rFonts w:hint="eastAsia"/>
                <w:i w:val="0"/>
                <w:iCs/>
                <w:color w:val="auto"/>
                <w:sz w:val="18"/>
                <w:szCs w:val="18"/>
                <w:lang w:val="en-US" w:eastAsia="zh-CN"/>
              </w:rPr>
              <w:t>8</w:t>
            </w:r>
          </w:p>
        </w:tc>
        <w:tc>
          <w:tcPr>
            <w:tcW w:w="1045" w:type="dxa"/>
            <w:vMerge w:val="continue"/>
          </w:tcPr>
          <w:p w14:paraId="0BDD0F03">
            <w:pPr>
              <w:jc w:val="center"/>
              <w:rPr>
                <w:color w:val="000000" w:themeColor="text1"/>
                <w:sz w:val="18"/>
                <w:szCs w:val="18"/>
                <w14:textFill>
                  <w14:solidFill>
                    <w14:schemeClr w14:val="tx1"/>
                  </w14:solidFill>
                </w14:textFill>
              </w:rPr>
            </w:pPr>
          </w:p>
        </w:tc>
      </w:tr>
      <w:tr w14:paraId="7742CF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04850332">
            <w:pPr>
              <w:rPr>
                <w:color w:val="000000" w:themeColor="text1"/>
                <w:sz w:val="18"/>
                <w:szCs w:val="18"/>
                <w14:textFill>
                  <w14:solidFill>
                    <w14:schemeClr w14:val="tx1"/>
                  </w14:solidFill>
                </w14:textFill>
              </w:rPr>
            </w:pPr>
          </w:p>
        </w:tc>
        <w:tc>
          <w:tcPr>
            <w:tcW w:w="1226" w:type="dxa"/>
            <w:vMerge w:val="continue"/>
          </w:tcPr>
          <w:p w14:paraId="468468F4">
            <w:pPr>
              <w:jc w:val="center"/>
              <w:rPr>
                <w:color w:val="000000" w:themeColor="text1"/>
                <w:sz w:val="18"/>
                <w:szCs w:val="18"/>
                <w14:textFill>
                  <w14:solidFill>
                    <w14:schemeClr w14:val="tx1"/>
                  </w14:solidFill>
                </w14:textFill>
              </w:rPr>
            </w:pPr>
          </w:p>
        </w:tc>
        <w:tc>
          <w:tcPr>
            <w:tcW w:w="3364" w:type="dxa"/>
            <w:vAlign w:val="center"/>
          </w:tcPr>
          <w:p w14:paraId="54B9246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233" w:type="dxa"/>
            <w:vAlign w:val="center"/>
          </w:tcPr>
          <w:p w14:paraId="1F42F143">
            <w:pPr>
              <w:jc w:val="center"/>
              <w:rPr>
                <w:color w:val="000000" w:themeColor="text1"/>
                <w:sz w:val="18"/>
                <w:szCs w:val="18"/>
                <w14:textFill>
                  <w14:solidFill>
                    <w14:schemeClr w14:val="tx1"/>
                  </w14:solidFill>
                </w14:textFill>
              </w:rPr>
            </w:pPr>
          </w:p>
        </w:tc>
        <w:tc>
          <w:tcPr>
            <w:tcW w:w="709" w:type="dxa"/>
            <w:vAlign w:val="center"/>
          </w:tcPr>
          <w:p w14:paraId="3C7A7D2B">
            <w:pPr>
              <w:jc w:val="center"/>
              <w:rPr>
                <w:color w:val="000000" w:themeColor="text1"/>
                <w:sz w:val="18"/>
                <w:szCs w:val="18"/>
                <w14:textFill>
                  <w14:solidFill>
                    <w14:schemeClr w14:val="tx1"/>
                  </w14:solidFill>
                </w14:textFill>
              </w:rPr>
            </w:pPr>
          </w:p>
        </w:tc>
        <w:tc>
          <w:tcPr>
            <w:tcW w:w="709" w:type="dxa"/>
            <w:vAlign w:val="center"/>
          </w:tcPr>
          <w:p w14:paraId="5525F420">
            <w:pPr>
              <w:jc w:val="center"/>
              <w:rPr>
                <w:color w:val="auto"/>
                <w:sz w:val="18"/>
                <w:szCs w:val="18"/>
              </w:rPr>
            </w:pPr>
            <w:r>
              <w:rPr>
                <w:rFonts w:hint="eastAsia"/>
                <w:color w:val="auto"/>
                <w:sz w:val="18"/>
                <w:szCs w:val="18"/>
              </w:rPr>
              <w:t>8</w:t>
            </w:r>
          </w:p>
        </w:tc>
        <w:tc>
          <w:tcPr>
            <w:tcW w:w="1045" w:type="dxa"/>
            <w:vMerge w:val="continue"/>
          </w:tcPr>
          <w:p w14:paraId="3A1F791D">
            <w:pPr>
              <w:jc w:val="center"/>
              <w:rPr>
                <w:color w:val="000000" w:themeColor="text1"/>
                <w:sz w:val="18"/>
                <w:szCs w:val="18"/>
                <w14:textFill>
                  <w14:solidFill>
                    <w14:schemeClr w14:val="tx1"/>
                  </w14:solidFill>
                </w14:textFill>
              </w:rPr>
            </w:pPr>
          </w:p>
        </w:tc>
      </w:tr>
      <w:tr w14:paraId="4D4CFB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3" w:hRule="atLeast"/>
          <w:jc w:val="center"/>
        </w:trPr>
        <w:tc>
          <w:tcPr>
            <w:tcW w:w="571" w:type="dxa"/>
            <w:vMerge w:val="continue"/>
          </w:tcPr>
          <w:p w14:paraId="6FAC2C09">
            <w:pPr>
              <w:rPr>
                <w:color w:val="000000" w:themeColor="text1"/>
                <w:sz w:val="18"/>
                <w:szCs w:val="18"/>
                <w14:textFill>
                  <w14:solidFill>
                    <w14:schemeClr w14:val="tx1"/>
                  </w14:solidFill>
                </w14:textFill>
              </w:rPr>
            </w:pPr>
          </w:p>
        </w:tc>
        <w:tc>
          <w:tcPr>
            <w:tcW w:w="1226" w:type="dxa"/>
            <w:vMerge w:val="continue"/>
          </w:tcPr>
          <w:p w14:paraId="4D549909">
            <w:pPr>
              <w:jc w:val="center"/>
              <w:rPr>
                <w:color w:val="000000" w:themeColor="text1"/>
                <w:sz w:val="18"/>
                <w:szCs w:val="18"/>
                <w14:textFill>
                  <w14:solidFill>
                    <w14:schemeClr w14:val="tx1"/>
                  </w14:solidFill>
                </w14:textFill>
              </w:rPr>
            </w:pPr>
          </w:p>
        </w:tc>
        <w:tc>
          <w:tcPr>
            <w:tcW w:w="3364" w:type="dxa"/>
            <w:vAlign w:val="center"/>
          </w:tcPr>
          <w:p w14:paraId="72F0386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233" w:type="dxa"/>
            <w:vAlign w:val="center"/>
          </w:tcPr>
          <w:p w14:paraId="68D86A14">
            <w:pPr>
              <w:jc w:val="center"/>
              <w:rPr>
                <w:color w:val="000000" w:themeColor="text1"/>
                <w:sz w:val="18"/>
                <w:szCs w:val="18"/>
                <w14:textFill>
                  <w14:solidFill>
                    <w14:schemeClr w14:val="tx1"/>
                  </w14:solidFill>
                </w14:textFill>
              </w:rPr>
            </w:pPr>
          </w:p>
        </w:tc>
        <w:tc>
          <w:tcPr>
            <w:tcW w:w="709" w:type="dxa"/>
            <w:vAlign w:val="center"/>
          </w:tcPr>
          <w:p w14:paraId="3A272E59">
            <w:pPr>
              <w:jc w:val="center"/>
              <w:rPr>
                <w:color w:val="000000" w:themeColor="text1"/>
                <w:sz w:val="18"/>
                <w:szCs w:val="18"/>
                <w14:textFill>
                  <w14:solidFill>
                    <w14:schemeClr w14:val="tx1"/>
                  </w14:solidFill>
                </w14:textFill>
              </w:rPr>
            </w:pPr>
          </w:p>
        </w:tc>
        <w:tc>
          <w:tcPr>
            <w:tcW w:w="709" w:type="dxa"/>
            <w:vAlign w:val="center"/>
          </w:tcPr>
          <w:p w14:paraId="4E00C603">
            <w:pPr>
              <w:jc w:val="center"/>
              <w:rPr>
                <w:color w:val="auto"/>
                <w:sz w:val="18"/>
                <w:szCs w:val="18"/>
              </w:rPr>
            </w:pPr>
            <w:r>
              <w:rPr>
                <w:rFonts w:hint="eastAsia"/>
                <w:color w:val="auto"/>
                <w:sz w:val="18"/>
                <w:szCs w:val="18"/>
              </w:rPr>
              <w:t>8</w:t>
            </w:r>
          </w:p>
        </w:tc>
        <w:tc>
          <w:tcPr>
            <w:tcW w:w="1045" w:type="dxa"/>
            <w:vMerge w:val="continue"/>
          </w:tcPr>
          <w:p w14:paraId="74E05419">
            <w:pPr>
              <w:jc w:val="center"/>
              <w:rPr>
                <w:color w:val="000000" w:themeColor="text1"/>
                <w:sz w:val="18"/>
                <w:szCs w:val="18"/>
                <w14:textFill>
                  <w14:solidFill>
                    <w14:schemeClr w14:val="tx1"/>
                  </w14:solidFill>
                </w14:textFill>
              </w:rPr>
            </w:pPr>
          </w:p>
        </w:tc>
      </w:tr>
    </w:tbl>
    <w:p w14:paraId="0F3D6CA5">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2F0A65DB">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30CC27C">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301246FD">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106A8E8A">
      <w:pPr>
        <w:spacing w:line="440" w:lineRule="exact"/>
        <w:ind w:firstLine="480" w:firstLineChars="200"/>
        <w:rPr>
          <w:rFonts w:hint="eastAsia" w:eastAsiaTheme="minorEastAsia"/>
          <w:bCs/>
          <w:sz w:val="24"/>
          <w:lang w:val="en-US" w:eastAsia="zh-CN"/>
        </w:rPr>
      </w:pPr>
      <w:r>
        <w:rPr>
          <w:rFonts w:hint="eastAsia" w:eastAsiaTheme="minorEastAsia"/>
          <w:bCs/>
          <w:sz w:val="24"/>
          <w:lang w:val="en-US" w:eastAsia="zh-CN"/>
        </w:rPr>
        <w:t>3. 学术实践活动满15次计1学分。</w:t>
      </w:r>
    </w:p>
    <w:p w14:paraId="3855347B">
      <w:pPr>
        <w:spacing w:line="440" w:lineRule="exact"/>
        <w:ind w:firstLine="480" w:firstLineChars="200"/>
        <w:rPr>
          <w:rFonts w:eastAsia="黑体"/>
          <w:bCs/>
          <w:sz w:val="24"/>
        </w:rPr>
      </w:pPr>
      <w:r>
        <w:rPr>
          <w:rFonts w:hint="eastAsia" w:eastAsiaTheme="minorEastAsia"/>
          <w:bCs/>
          <w:sz w:val="24"/>
          <w:lang w:val="en-US" w:eastAsia="zh-CN"/>
        </w:rPr>
        <w:t>4. 参加中国研究生创新实践系列大赛、中国国际大学生创新大赛、“挑战杯”全国大学生课外学术科技作品竞赛及本学科专业内有较大影响力的竞赛活动（如河北省医学研究生学科学术论坛），获国家级各级奖励第一完成人计1学分，省级各级</w:t>
      </w:r>
      <w:bookmarkStart w:id="1" w:name="_GoBack"/>
      <w:bookmarkEnd w:id="1"/>
      <w:r>
        <w:rPr>
          <w:rFonts w:hint="eastAsia" w:eastAsiaTheme="minorEastAsia"/>
          <w:bCs/>
          <w:sz w:val="24"/>
          <w:lang w:val="en-US" w:eastAsia="zh-CN"/>
        </w:rPr>
        <w:t>奖励第一完成人计0.5学分。</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华文行楷">
    <w:panose1 w:val="02010800040101010101"/>
    <w:charset w:val="86"/>
    <w:family w:val="auto"/>
    <w:pitch w:val="default"/>
    <w:sig w:usb0="00000001" w:usb1="080F0000" w:usb2="00000000" w:usb3="00000000" w:csb0="00040000" w:csb1="00000000"/>
  </w:font>
  <w:font w:name="Cambria">
    <w:altName w:val="ksdb"/>
    <w:panose1 w:val="02040503050406030204"/>
    <w:charset w:val="00"/>
    <w:family w:val="roman"/>
    <w:pitch w:val="default"/>
    <w:sig w:usb0="00000000" w:usb1="00000000" w:usb2="02000000" w:usb3="00000000" w:csb0="0000019F" w:csb1="00000000"/>
  </w:font>
  <w:font w:name="ksdb">
    <w:panose1 w:val="02000500000000000000"/>
    <w:charset w:val="00"/>
    <w:family w:val="auto"/>
    <w:pitch w:val="default"/>
    <w:sig w:usb0="00000001" w:usb1="00000000" w:usb2="00000000" w:usb3="00000000" w:csb0="00000001" w:csb1="00000000"/>
  </w:font>
  <w:font w:name="Georgia">
    <w:panose1 w:val="02040502050405020303"/>
    <w:charset w:val="00"/>
    <w:family w:val="roman"/>
    <w:pitch w:val="default"/>
    <w:sig w:usb0="00000287" w:usb1="00000000" w:usb2="00000000" w:usb3="00000000" w:csb0="2000009F" w:csb1="00000000"/>
  </w:font>
  <w:font w:name="Arial Rounded MT Bold">
    <w:panose1 w:val="020F0704030504030204"/>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7E1F236"/>
    <w:multiLevelType w:val="singleLevel"/>
    <w:tmpl w:val="B7E1F236"/>
    <w:lvl w:ilvl="0" w:tentative="0">
      <w:start w:val="2"/>
      <w:numFmt w:val="decimal"/>
      <w:suff w:val="space"/>
      <w:lvlText w:val="%1."/>
      <w:lvlJc w:val="left"/>
    </w:lvl>
  </w:abstractNum>
  <w:abstractNum w:abstractNumId="1">
    <w:nsid w:val="C273802C"/>
    <w:multiLevelType w:val="singleLevel"/>
    <w:tmpl w:val="C273802C"/>
    <w:lvl w:ilvl="0" w:tentative="0">
      <w:start w:val="1"/>
      <w:numFmt w:val="decimal"/>
      <w:suff w:val="space"/>
      <w:lvlText w:val="%1."/>
      <w:lvlJc w:val="left"/>
    </w:lvl>
  </w:abstractNum>
  <w:abstractNum w:abstractNumId="2">
    <w:nsid w:val="E278F3BC"/>
    <w:multiLevelType w:val="singleLevel"/>
    <w:tmpl w:val="E278F3BC"/>
    <w:lvl w:ilvl="0" w:tentative="0">
      <w:start w:val="4"/>
      <w:numFmt w:val="decimal"/>
      <w:suff w:val="space"/>
      <w:lvlText w:val="%1."/>
      <w:lvlJc w:val="left"/>
    </w:lvl>
  </w:abstractNum>
  <w:abstractNum w:abstractNumId="3">
    <w:nsid w:val="12CAF4E7"/>
    <w:multiLevelType w:val="singleLevel"/>
    <w:tmpl w:val="12CAF4E7"/>
    <w:lvl w:ilvl="0" w:tentative="0">
      <w:start w:val="3"/>
      <w:numFmt w:val="decimal"/>
      <w:suff w:val="space"/>
      <w:lvlText w:val="%1."/>
      <w:lvlJc w:val="left"/>
    </w:lvl>
  </w:abstractNum>
  <w:abstractNum w:abstractNumId="4">
    <w:nsid w:val="15012A47"/>
    <w:multiLevelType w:val="singleLevel"/>
    <w:tmpl w:val="15012A47"/>
    <w:lvl w:ilvl="0" w:tentative="0">
      <w:start w:val="5"/>
      <w:numFmt w:val="decimal"/>
      <w:suff w:val="space"/>
      <w:lvlText w:val="%1."/>
      <w:lvlJc w:val="left"/>
    </w:lvl>
  </w:abstractNum>
  <w:abstractNum w:abstractNumId="5">
    <w:nsid w:val="6C29E217"/>
    <w:multiLevelType w:val="singleLevel"/>
    <w:tmpl w:val="6C29E217"/>
    <w:lvl w:ilvl="0" w:tentative="0">
      <w:start w:val="1"/>
      <w:numFmt w:val="decimal"/>
      <w:suff w:val="space"/>
      <w:lvlText w:val="%1."/>
      <w:lvlJc w:val="left"/>
    </w:lvl>
  </w:abstractNum>
  <w:num w:numId="1">
    <w:abstractNumId w:val="5"/>
  </w:num>
  <w:num w:numId="2">
    <w:abstractNumId w:val="0"/>
  </w:num>
  <w:num w:numId="3">
    <w:abstractNumId w:val="3"/>
  </w:num>
  <w:num w:numId="4">
    <w:abstractNumId w:val="2"/>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52474E"/>
    <w:rsid w:val="083B357C"/>
    <w:rsid w:val="0F9D2C6D"/>
    <w:rsid w:val="1C4308AD"/>
    <w:rsid w:val="1C9571A6"/>
    <w:rsid w:val="1FE96C05"/>
    <w:rsid w:val="20814B0D"/>
    <w:rsid w:val="22491174"/>
    <w:rsid w:val="22551C8C"/>
    <w:rsid w:val="24771E96"/>
    <w:rsid w:val="29403D01"/>
    <w:rsid w:val="2C6D4685"/>
    <w:rsid w:val="2D0B3557"/>
    <w:rsid w:val="31A25F76"/>
    <w:rsid w:val="420A7A3C"/>
    <w:rsid w:val="45605CF4"/>
    <w:rsid w:val="4F9B5322"/>
    <w:rsid w:val="5385202A"/>
    <w:rsid w:val="58507B10"/>
    <w:rsid w:val="5DC015CE"/>
    <w:rsid w:val="63B55005"/>
    <w:rsid w:val="6E8A49A7"/>
    <w:rsid w:val="732301DD"/>
    <w:rsid w:val="7D880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7</Pages>
  <Words>5009</Words>
  <Characters>5289</Characters>
  <Lines>137</Lines>
  <Paragraphs>38</Paragraphs>
  <TotalTime>34</TotalTime>
  <ScaleCrop>false</ScaleCrop>
  <LinksUpToDate>false</LinksUpToDate>
  <CharactersWithSpaces>5329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鱼小愉</cp:lastModifiedBy>
  <cp:lastPrinted>2025-06-13T02:41:31Z</cp:lastPrinted>
  <dcterms:modified xsi:type="dcterms:W3CDTF">2025-06-13T02:42:00Z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eyJoZGlkIjoiMzhkMTM3ZWUyNjA1YTM2NGFiMTczYTVkMDQyNjVlOGYiLCJ1c2VySWQiOiIzMzA1NjM1MTAifQ==</vt:lpwstr>
  </property>
  <property fmtid="{D5CDD505-2E9C-101B-9397-08002B2CF9AE}" pid="4" name="ICV">
    <vt:lpwstr>5B7A0A3F454242E39EF986F9C69B8BEB_13</vt:lpwstr>
  </property>
</Properties>
</file>