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2684E">
      <w:pPr>
        <w:ind w:left="321" w:leftChars="153" w:right="227"/>
        <w:jc w:val="center"/>
        <w:rPr>
          <w:rFonts w:eastAsia="黑体"/>
          <w:b/>
          <w:bCs/>
          <w:color w:val="auto"/>
          <w:sz w:val="36"/>
          <w:szCs w:val="36"/>
          <w:highlight w:val="none"/>
        </w:rPr>
      </w:pPr>
      <w:bookmarkStart w:id="0" w:name="OLE_LINK6"/>
      <w:bookmarkStart w:id="1" w:name="OLE_LINK7"/>
      <w:r>
        <w:rPr>
          <w:rFonts w:hint="eastAsia" w:eastAsia="黑体"/>
          <w:b/>
          <w:bCs/>
          <w:iCs/>
          <w:color w:val="auto"/>
          <w:sz w:val="36"/>
          <w:szCs w:val="36"/>
          <w:highlight w:val="none"/>
          <w:u w:val="none"/>
        </w:rPr>
        <w:t>公共卫生</w:t>
      </w:r>
      <w:r>
        <w:rPr>
          <w:rFonts w:eastAsia="黑体"/>
          <w:b/>
          <w:bCs/>
          <w:color w:val="auto"/>
          <w:sz w:val="36"/>
          <w:szCs w:val="36"/>
          <w:highlight w:val="none"/>
        </w:rPr>
        <w:t>专业全日制专业学位硕士研究生培养方案</w:t>
      </w:r>
    </w:p>
    <w:p w14:paraId="54EDDB1A">
      <w:pPr>
        <w:ind w:left="321" w:leftChars="153" w:right="227"/>
        <w:jc w:val="center"/>
        <w:rPr>
          <w:rFonts w:hint="eastAsia" w:eastAsia="黑体"/>
          <w:bCs/>
          <w:color w:val="auto"/>
          <w:sz w:val="24"/>
          <w:highlight w:val="none"/>
          <w:lang w:eastAsia="zh-CN"/>
        </w:rPr>
      </w:pPr>
      <w:r>
        <w:rPr>
          <w:rFonts w:eastAsia="黑体"/>
          <w:b/>
          <w:bCs/>
          <w:color w:val="auto"/>
          <w:sz w:val="28"/>
          <w:szCs w:val="28"/>
          <w:highlight w:val="none"/>
        </w:rPr>
        <w:t>（</w:t>
      </w:r>
      <w:r>
        <w:rPr>
          <w:rFonts w:hint="eastAsia" w:eastAsia="黑体"/>
          <w:b/>
          <w:bCs/>
          <w:color w:val="auto"/>
          <w:sz w:val="28"/>
          <w:szCs w:val="28"/>
          <w:highlight w:val="none"/>
        </w:rPr>
        <w:t>公共卫生</w:t>
      </w:r>
      <w:r>
        <w:rPr>
          <w:rFonts w:eastAsia="黑体"/>
          <w:b/>
          <w:bCs/>
          <w:color w:val="auto"/>
          <w:sz w:val="28"/>
          <w:szCs w:val="28"/>
          <w:highlight w:val="none"/>
        </w:rPr>
        <w:t>学院</w:t>
      </w:r>
      <w:r>
        <w:rPr>
          <w:rFonts w:hint="eastAsia" w:eastAsia="黑体"/>
          <w:b/>
          <w:bCs/>
          <w:color w:val="auto"/>
          <w:sz w:val="28"/>
          <w:szCs w:val="28"/>
          <w:highlight w:val="none"/>
          <w:lang w:eastAsia="zh-CN"/>
        </w:rPr>
        <w:t>）</w:t>
      </w:r>
    </w:p>
    <w:p w14:paraId="05478F46">
      <w:pPr>
        <w:spacing w:line="360" w:lineRule="auto"/>
        <w:ind w:firstLine="560"/>
        <w:rPr>
          <w:rFonts w:eastAsia="黑体"/>
          <w:bCs/>
          <w:color w:val="auto"/>
          <w:sz w:val="28"/>
          <w:szCs w:val="28"/>
          <w:highlight w:val="none"/>
        </w:rPr>
      </w:pPr>
      <w:r>
        <w:rPr>
          <w:rFonts w:eastAsia="黑体"/>
          <w:bCs/>
          <w:color w:val="auto"/>
          <w:sz w:val="28"/>
          <w:szCs w:val="28"/>
          <w:highlight w:val="none"/>
        </w:rPr>
        <w:t>一、专业名称、代码</w:t>
      </w:r>
    </w:p>
    <w:p w14:paraId="66867C18">
      <w:pPr>
        <w:widowControl/>
        <w:spacing w:line="360" w:lineRule="auto"/>
        <w:ind w:firstLine="960" w:firstLineChars="400"/>
        <w:jc w:val="left"/>
        <w:rPr>
          <w:color w:val="auto"/>
          <w:kern w:val="0"/>
          <w:sz w:val="24"/>
          <w:highlight w:val="none"/>
        </w:rPr>
      </w:pPr>
      <w:r>
        <w:rPr>
          <w:color w:val="auto"/>
          <w:kern w:val="0"/>
          <w:sz w:val="24"/>
          <w:highlight w:val="none"/>
        </w:rPr>
        <w:t>专业名称：</w:t>
      </w:r>
      <w:r>
        <w:rPr>
          <w:rFonts w:hint="eastAsia"/>
          <w:color w:val="auto"/>
          <w:kern w:val="0"/>
          <w:sz w:val="24"/>
          <w:highlight w:val="none"/>
        </w:rPr>
        <w:t>公共卫生</w:t>
      </w:r>
    </w:p>
    <w:p w14:paraId="30F045FA">
      <w:pPr>
        <w:widowControl/>
        <w:spacing w:line="360" w:lineRule="auto"/>
        <w:ind w:firstLine="960" w:firstLineChars="400"/>
        <w:jc w:val="left"/>
        <w:rPr>
          <w:color w:val="auto"/>
          <w:kern w:val="0"/>
          <w:sz w:val="18"/>
          <w:szCs w:val="18"/>
          <w:highlight w:val="none"/>
        </w:rPr>
      </w:pPr>
      <w:r>
        <w:rPr>
          <w:color w:val="auto"/>
          <w:kern w:val="0"/>
          <w:sz w:val="24"/>
          <w:highlight w:val="none"/>
        </w:rPr>
        <w:t>专业代码：</w:t>
      </w:r>
      <w:r>
        <w:rPr>
          <w:rFonts w:hint="eastAsia"/>
          <w:color w:val="auto"/>
          <w:kern w:val="0"/>
          <w:sz w:val="24"/>
          <w:highlight w:val="none"/>
        </w:rPr>
        <w:t>1053</w:t>
      </w:r>
    </w:p>
    <w:p w14:paraId="18958A20">
      <w:pPr>
        <w:spacing w:line="360" w:lineRule="auto"/>
        <w:ind w:firstLine="560" w:firstLineChars="200"/>
        <w:rPr>
          <w:rFonts w:eastAsia="黑体"/>
          <w:bCs/>
          <w:i/>
          <w:color w:val="auto"/>
          <w:sz w:val="28"/>
          <w:szCs w:val="28"/>
          <w:highlight w:val="none"/>
        </w:rPr>
      </w:pPr>
      <w:r>
        <w:rPr>
          <w:rFonts w:eastAsia="黑体"/>
          <w:bCs/>
          <w:color w:val="auto"/>
          <w:sz w:val="28"/>
          <w:szCs w:val="28"/>
          <w:highlight w:val="none"/>
        </w:rPr>
        <w:t>二、专业简介</w:t>
      </w:r>
    </w:p>
    <w:p w14:paraId="59AA3F1C">
      <w:pPr>
        <w:widowControl/>
        <w:shd w:val="clear" w:color="auto" w:fill="FFFFFF"/>
        <w:spacing w:line="360" w:lineRule="auto"/>
        <w:ind w:firstLine="480" w:firstLineChars="200"/>
        <w:jc w:val="left"/>
        <w:textAlignment w:val="baseline"/>
        <w:rPr>
          <w:rFonts w:hint="eastAsia"/>
          <w:b/>
          <w:bCs/>
          <w:color w:val="auto"/>
          <w:sz w:val="24"/>
          <w:highlight w:val="none"/>
          <w:shd w:val="clear" w:color="auto" w:fill="FFFFFF"/>
        </w:rPr>
      </w:pPr>
      <w:bookmarkStart w:id="2" w:name="_GoBack"/>
      <w:r>
        <w:rPr>
          <w:rFonts w:hint="eastAsia"/>
          <w:b w:val="0"/>
          <w:bCs w:val="0"/>
          <w:color w:val="auto"/>
          <w:sz w:val="24"/>
          <w:highlight w:val="none"/>
          <w:shd w:val="clear" w:color="auto" w:fill="FFFFFF"/>
        </w:rPr>
        <w:t>公共卫生是研究如何通过改善社会环境的卫生条件，预防和控制传染病与慢性病的发生与发展，培养</w:t>
      </w:r>
      <w:r>
        <w:rPr>
          <w:rFonts w:hint="eastAsia"/>
          <w:b w:val="0"/>
          <w:bCs w:val="0"/>
          <w:color w:val="auto"/>
          <w:sz w:val="24"/>
          <w:highlight w:val="none"/>
          <w:shd w:val="clear" w:color="auto" w:fill="FFFFFF"/>
          <w:lang w:val="en-US" w:eastAsia="zh-CN"/>
        </w:rPr>
        <w:t>公众</w:t>
      </w:r>
      <w:r>
        <w:rPr>
          <w:rFonts w:hint="eastAsia"/>
          <w:b w:val="0"/>
          <w:bCs w:val="0"/>
          <w:color w:val="auto"/>
          <w:sz w:val="24"/>
          <w:highlight w:val="none"/>
          <w:shd w:val="clear" w:color="auto" w:fill="FFFFFF"/>
        </w:rPr>
        <w:t>健康行为和生活方式，在政策支持与法律保障的基础上为公众提供维护和促进健康环境的科学。公共卫生综合运用医学、生物学、化学、社会学、管理学、经济学等多学科知识，关注与人群健康和疾病相关的各种危险因素，致力于疾病预防策略与技术措施的研究和实践。公共卫生的使命是预防和控制疾病保护促进人群健康、延长健康寿命、提高生活质量。本专业采用</w:t>
      </w:r>
      <w:r>
        <w:rPr>
          <w:rFonts w:hint="eastAsia"/>
          <w:b w:val="0"/>
          <w:bCs w:val="0"/>
          <w:color w:val="auto"/>
          <w:sz w:val="24"/>
          <w:highlight w:val="none"/>
          <w:shd w:val="clear" w:color="auto" w:fill="FFFFFF"/>
          <w:lang w:val="en-US" w:eastAsia="zh-CN"/>
        </w:rPr>
        <w:t>课程</w:t>
      </w:r>
      <w:r>
        <w:rPr>
          <w:rFonts w:hint="eastAsia"/>
          <w:b w:val="0"/>
          <w:bCs w:val="0"/>
          <w:color w:val="auto"/>
          <w:sz w:val="24"/>
          <w:highlight w:val="none"/>
          <w:shd w:val="clear" w:color="auto" w:fill="FFFFFF"/>
        </w:rPr>
        <w:t>学习、</w:t>
      </w:r>
      <w:r>
        <w:rPr>
          <w:rFonts w:hint="eastAsia"/>
          <w:b w:val="0"/>
          <w:bCs w:val="0"/>
          <w:color w:val="auto"/>
          <w:sz w:val="24"/>
          <w:highlight w:val="none"/>
          <w:shd w:val="clear" w:color="auto" w:fill="FFFFFF"/>
          <w:lang w:val="en-US" w:eastAsia="zh-CN"/>
        </w:rPr>
        <w:t>专业</w:t>
      </w:r>
      <w:r>
        <w:rPr>
          <w:rFonts w:hint="eastAsia"/>
          <w:b w:val="0"/>
          <w:bCs w:val="0"/>
          <w:color w:val="auto"/>
          <w:sz w:val="24"/>
          <w:highlight w:val="none"/>
          <w:shd w:val="clear" w:color="auto" w:fill="FFFFFF"/>
        </w:rPr>
        <w:t>实践、课题研究相结合的培养模式，培养</w:t>
      </w:r>
      <w:r>
        <w:rPr>
          <w:rFonts w:eastAsiaTheme="minorEastAsia"/>
          <w:iCs/>
          <w:sz w:val="24"/>
        </w:rPr>
        <w:t>具备公共卫生综合实践与应用能力、能够解决公共卫生实际问题的</w:t>
      </w:r>
      <w:r>
        <w:rPr>
          <w:rFonts w:hint="eastAsia" w:eastAsiaTheme="minorEastAsia"/>
          <w:iCs/>
          <w:sz w:val="24"/>
        </w:rPr>
        <w:t>高素质</w:t>
      </w:r>
      <w:r>
        <w:rPr>
          <w:rFonts w:hint="eastAsia"/>
          <w:b w:val="0"/>
          <w:bCs w:val="0"/>
          <w:color w:val="auto"/>
          <w:sz w:val="24"/>
          <w:highlight w:val="none"/>
          <w:shd w:val="clear" w:color="auto" w:fill="FFFFFF"/>
        </w:rPr>
        <w:t>应用型专门人才</w:t>
      </w:r>
      <w:r>
        <w:rPr>
          <w:rFonts w:hint="eastAsia"/>
          <w:b w:val="0"/>
          <w:bCs w:val="0"/>
          <w:color w:val="auto"/>
          <w:sz w:val="24"/>
          <w:highlight w:val="none"/>
          <w:shd w:val="clear" w:color="auto" w:fill="FFFFFF"/>
          <w:lang w:eastAsia="zh-CN"/>
        </w:rPr>
        <w:t>，</w:t>
      </w:r>
      <w:r>
        <w:rPr>
          <w:rFonts w:hint="eastAsia"/>
          <w:b w:val="0"/>
          <w:bCs w:val="0"/>
          <w:color w:val="auto"/>
          <w:sz w:val="24"/>
          <w:highlight w:val="none"/>
          <w:shd w:val="clear" w:color="auto" w:fill="FFFFFF"/>
        </w:rPr>
        <w:t>服务于疾病预防控制、卫生监督、食品药品监督、医疗保健、检验检疫等领域</w:t>
      </w:r>
      <w:r>
        <w:rPr>
          <w:rFonts w:hint="eastAsia"/>
          <w:b w:val="0"/>
          <w:bCs w:val="0"/>
          <w:color w:val="auto"/>
          <w:sz w:val="24"/>
          <w:highlight w:val="none"/>
          <w:shd w:val="clear" w:color="auto" w:fill="FFFFFF"/>
          <w:lang w:eastAsia="zh-CN"/>
        </w:rPr>
        <w:t>。</w:t>
      </w:r>
    </w:p>
    <w:bookmarkEnd w:id="2"/>
    <w:p w14:paraId="047666AB">
      <w:pPr>
        <w:spacing w:line="360" w:lineRule="auto"/>
        <w:ind w:firstLine="560" w:firstLineChars="200"/>
        <w:rPr>
          <w:rFonts w:eastAsia="黑体"/>
          <w:bCs/>
          <w:color w:val="auto"/>
          <w:sz w:val="28"/>
          <w:szCs w:val="28"/>
          <w:highlight w:val="none"/>
        </w:rPr>
      </w:pPr>
      <w:r>
        <w:rPr>
          <w:rFonts w:eastAsia="黑体"/>
          <w:bCs/>
          <w:color w:val="auto"/>
          <w:sz w:val="28"/>
          <w:szCs w:val="28"/>
          <w:highlight w:val="none"/>
        </w:rPr>
        <w:t>三、研究方向</w:t>
      </w:r>
    </w:p>
    <w:p w14:paraId="1200B758">
      <w:pPr>
        <w:spacing w:line="360" w:lineRule="auto"/>
        <w:ind w:firstLine="480" w:firstLineChars="200"/>
        <w:rPr>
          <w:iCs/>
          <w:color w:val="auto"/>
          <w:sz w:val="24"/>
          <w:highlight w:val="none"/>
        </w:rPr>
      </w:pPr>
      <w:r>
        <w:rPr>
          <w:iCs/>
          <w:color w:val="auto"/>
          <w:sz w:val="24"/>
          <w:highlight w:val="none"/>
        </w:rPr>
        <w:t>1. 疾病预防与控制</w:t>
      </w:r>
    </w:p>
    <w:p w14:paraId="5D24A2F8">
      <w:pPr>
        <w:keepNext w:val="0"/>
        <w:keepLines w:val="0"/>
        <w:widowControl/>
        <w:suppressLineNumbers w:val="0"/>
        <w:spacing w:line="360" w:lineRule="auto"/>
        <w:ind w:firstLine="480" w:firstLineChars="200"/>
        <w:jc w:val="left"/>
        <w:rPr>
          <w:rFonts w:hint="default"/>
          <w:color w:val="auto"/>
          <w:sz w:val="24"/>
          <w:highlight w:val="none"/>
          <w:shd w:val="clear" w:color="auto" w:fill="FFFFFF"/>
          <w:lang w:val="en-US" w:eastAsia="zh-CN"/>
        </w:rPr>
      </w:pPr>
      <w:r>
        <w:rPr>
          <w:rFonts w:hint="eastAsia"/>
          <w:b w:val="0"/>
          <w:bCs w:val="0"/>
          <w:color w:val="auto"/>
          <w:sz w:val="24"/>
          <w:highlight w:val="none"/>
          <w:shd w:val="clear" w:color="auto" w:fill="FFFFFF"/>
        </w:rPr>
        <w:t>综合运用医学、生物学、化学、社会学、管理学、经济学等多学科知识，</w:t>
      </w:r>
      <w:r>
        <w:rPr>
          <w:color w:val="auto"/>
          <w:sz w:val="24"/>
          <w:highlight w:val="none"/>
          <w:shd w:val="clear" w:color="auto" w:fill="FFFFFF"/>
        </w:rPr>
        <w:t>研究慢性病和传染病</w:t>
      </w:r>
      <w:r>
        <w:rPr>
          <w:rFonts w:hint="eastAsia"/>
          <w:color w:val="auto"/>
          <w:sz w:val="24"/>
          <w:highlight w:val="none"/>
          <w:shd w:val="clear" w:color="auto" w:fill="FFFFFF"/>
        </w:rPr>
        <w:t>的</w:t>
      </w:r>
      <w:r>
        <w:rPr>
          <w:color w:val="auto"/>
          <w:sz w:val="24"/>
          <w:highlight w:val="none"/>
          <w:shd w:val="clear" w:color="auto" w:fill="FFFFFF"/>
        </w:rPr>
        <w:t>流行病学特征、影响因素</w:t>
      </w:r>
      <w:r>
        <w:rPr>
          <w:rFonts w:hint="eastAsia"/>
          <w:color w:val="auto"/>
          <w:sz w:val="24"/>
          <w:highlight w:val="none"/>
          <w:shd w:val="clear" w:color="auto" w:fill="FFFFFF"/>
          <w:lang w:val="en-US" w:eastAsia="zh-CN"/>
        </w:rPr>
        <w:t>和</w:t>
      </w:r>
      <w:r>
        <w:rPr>
          <w:color w:val="auto"/>
          <w:sz w:val="24"/>
          <w:highlight w:val="none"/>
          <w:shd w:val="clear" w:color="auto" w:fill="FFFFFF"/>
        </w:rPr>
        <w:t>预防控制</w:t>
      </w:r>
      <w:r>
        <w:rPr>
          <w:rFonts w:hint="eastAsia"/>
          <w:color w:val="auto"/>
          <w:sz w:val="24"/>
          <w:highlight w:val="none"/>
          <w:shd w:val="clear" w:color="auto" w:fill="FFFFFF"/>
          <w:lang w:val="en-US" w:eastAsia="zh-CN"/>
        </w:rPr>
        <w:t>策略</w:t>
      </w:r>
      <w:r>
        <w:rPr>
          <w:rFonts w:hint="eastAsia"/>
          <w:color w:val="auto"/>
          <w:sz w:val="24"/>
          <w:highlight w:val="none"/>
          <w:shd w:val="clear" w:color="auto" w:fill="FFFFFF"/>
        </w:rPr>
        <w:t>，以及突发公共卫生事件应急处置</w:t>
      </w:r>
      <w:r>
        <w:rPr>
          <w:rFonts w:hint="eastAsia"/>
          <w:color w:val="auto"/>
          <w:sz w:val="24"/>
          <w:highlight w:val="none"/>
          <w:shd w:val="clear" w:color="auto" w:fill="FFFFFF"/>
          <w:lang w:val="en-US" w:eastAsia="zh-CN"/>
        </w:rPr>
        <w:t>措施；</w:t>
      </w:r>
      <w:r>
        <w:rPr>
          <w:rFonts w:hint="eastAsia"/>
          <w:color w:val="auto"/>
          <w:sz w:val="24"/>
          <w:highlight w:val="none"/>
          <w:shd w:val="clear" w:color="auto" w:fill="FFFFFF"/>
        </w:rPr>
        <w:t>研究自然环境、生活环境和职业环境</w:t>
      </w:r>
      <w:r>
        <w:rPr>
          <w:rFonts w:hint="eastAsia"/>
          <w:color w:val="auto"/>
          <w:sz w:val="24"/>
          <w:highlight w:val="none"/>
          <w:shd w:val="clear" w:color="auto" w:fill="FFFFFF"/>
          <w:lang w:val="en-US" w:eastAsia="zh-CN"/>
        </w:rPr>
        <w:t>以及人类行为</w:t>
      </w:r>
      <w:r>
        <w:rPr>
          <w:rFonts w:hint="eastAsia"/>
          <w:color w:val="auto"/>
          <w:sz w:val="24"/>
          <w:highlight w:val="none"/>
          <w:shd w:val="clear" w:color="auto" w:fill="FFFFFF"/>
        </w:rPr>
        <w:t>对人群健康影响的发生、发展规律，探索有效的控制、预防及干预手段</w:t>
      </w:r>
      <w:r>
        <w:rPr>
          <w:rFonts w:hint="eastAsia"/>
          <w:color w:val="auto"/>
          <w:sz w:val="24"/>
          <w:highlight w:val="none"/>
          <w:shd w:val="clear" w:color="auto" w:fill="FFFFFF"/>
          <w:lang w:eastAsia="zh-CN"/>
        </w:rPr>
        <w:t>；</w:t>
      </w:r>
      <w:r>
        <w:rPr>
          <w:rFonts w:hint="eastAsia"/>
          <w:color w:val="auto"/>
          <w:sz w:val="24"/>
          <w:highlight w:val="none"/>
          <w:shd w:val="clear" w:color="auto" w:fill="FFFFFF"/>
        </w:rPr>
        <w:t>研究营养与健康及疾病的关系，食物的营养素及其他生物活性物质对人体健康的生理作用和有益影响</w:t>
      </w:r>
      <w:r>
        <w:rPr>
          <w:rFonts w:hint="eastAsia"/>
          <w:color w:val="auto"/>
          <w:sz w:val="24"/>
          <w:highlight w:val="none"/>
          <w:shd w:val="clear" w:color="auto" w:fill="FFFFFF"/>
          <w:lang w:eastAsia="zh-CN"/>
        </w:rPr>
        <w:t>，</w:t>
      </w:r>
      <w:r>
        <w:rPr>
          <w:rFonts w:hint="eastAsia"/>
          <w:color w:val="auto"/>
          <w:sz w:val="24"/>
          <w:highlight w:val="none"/>
          <w:shd w:val="clear" w:color="auto" w:fill="FFFFFF"/>
        </w:rPr>
        <w:t>从而服务于疾病预防</w:t>
      </w:r>
      <w:r>
        <w:rPr>
          <w:rFonts w:hint="eastAsia"/>
          <w:color w:val="auto"/>
          <w:sz w:val="24"/>
          <w:highlight w:val="none"/>
          <w:shd w:val="clear" w:color="auto" w:fill="FFFFFF"/>
          <w:lang w:val="en-US" w:eastAsia="zh-CN"/>
        </w:rPr>
        <w:t>控制</w:t>
      </w:r>
      <w:r>
        <w:rPr>
          <w:rFonts w:hint="eastAsia"/>
          <w:color w:val="auto"/>
          <w:sz w:val="24"/>
          <w:highlight w:val="none"/>
          <w:shd w:val="clear" w:color="auto" w:fill="FFFFFF"/>
          <w:lang w:eastAsia="zh-CN"/>
        </w:rPr>
        <w:t>，</w:t>
      </w:r>
      <w:r>
        <w:rPr>
          <w:rFonts w:hint="eastAsia"/>
          <w:color w:val="auto"/>
          <w:sz w:val="24"/>
          <w:highlight w:val="none"/>
          <w:shd w:val="clear" w:color="auto" w:fill="FFFFFF"/>
        </w:rPr>
        <w:t>提升人民健康水平。</w:t>
      </w:r>
    </w:p>
    <w:p w14:paraId="3B7007F4">
      <w:pPr>
        <w:spacing w:line="360" w:lineRule="auto"/>
        <w:ind w:firstLine="480" w:firstLineChars="200"/>
        <w:rPr>
          <w:color w:val="auto"/>
          <w:sz w:val="24"/>
          <w:highlight w:val="none"/>
          <w:shd w:val="clear" w:color="auto" w:fill="FFFFFF"/>
        </w:rPr>
      </w:pPr>
      <w:r>
        <w:rPr>
          <w:color w:val="auto"/>
          <w:sz w:val="24"/>
          <w:highlight w:val="none"/>
          <w:shd w:val="clear" w:color="auto" w:fill="FFFFFF"/>
        </w:rPr>
        <w:t>2. 卫生检验与检疫</w:t>
      </w:r>
    </w:p>
    <w:p w14:paraId="7AD1AF20">
      <w:pPr>
        <w:spacing w:line="360" w:lineRule="auto"/>
        <w:ind w:firstLine="480" w:firstLineChars="200"/>
        <w:rPr>
          <w:rFonts w:hint="default" w:eastAsia="宋体"/>
          <w:color w:val="auto"/>
          <w:sz w:val="24"/>
          <w:highlight w:val="none"/>
          <w:shd w:val="clear" w:color="auto" w:fill="FFFFFF"/>
          <w:lang w:val="en-US" w:eastAsia="zh-CN"/>
        </w:rPr>
      </w:pPr>
      <w:r>
        <w:rPr>
          <w:rFonts w:hint="eastAsia"/>
          <w:color w:val="auto"/>
          <w:sz w:val="24"/>
          <w:highlight w:val="none"/>
          <w:shd w:val="clear" w:color="auto" w:fill="FFFFFF"/>
        </w:rPr>
        <w:t>应用现代卫生检验检疫理论与技术，建立环境、食品、化妆品和生物材料中与健康相关的化学污染物和病原微生物等危害因子检验新方法，获得危害因子的浓度及暴露水平，掌握其对健康的影响及变化规律，制定监测方案，为相关部门制定检验方法标准、卫生政策和疾病预防控制措施提供理论依据和技术支撑；基于新型材料和生物传感技术开发快速灵敏高效的检测方法，研发新型快速检验装置，为应对突发公共卫生事件提供技术支持。</w:t>
      </w:r>
    </w:p>
    <w:p w14:paraId="52A4276B">
      <w:pPr>
        <w:spacing w:line="360" w:lineRule="auto"/>
        <w:ind w:firstLine="480" w:firstLineChars="200"/>
        <w:rPr>
          <w:rFonts w:hint="eastAsia" w:eastAsia="宋体"/>
          <w:color w:val="auto"/>
          <w:sz w:val="24"/>
          <w:highlight w:val="none"/>
          <w:shd w:val="clear" w:color="auto" w:fill="FFFFFF"/>
          <w:lang w:val="en-US" w:eastAsia="zh-CN"/>
        </w:rPr>
      </w:pPr>
      <w:r>
        <w:rPr>
          <w:color w:val="auto"/>
          <w:sz w:val="24"/>
          <w:highlight w:val="none"/>
          <w:shd w:val="clear" w:color="auto" w:fill="FFFFFF"/>
        </w:rPr>
        <w:t>3. 卫生</w:t>
      </w:r>
      <w:r>
        <w:rPr>
          <w:rFonts w:hint="eastAsia"/>
          <w:color w:val="auto"/>
          <w:sz w:val="24"/>
          <w:highlight w:val="none"/>
          <w:shd w:val="clear" w:color="auto" w:fill="FFFFFF"/>
          <w:lang w:val="en-US" w:eastAsia="zh-CN"/>
        </w:rPr>
        <w:t>政策与卫生</w:t>
      </w:r>
      <w:r>
        <w:rPr>
          <w:color w:val="auto"/>
          <w:sz w:val="24"/>
          <w:highlight w:val="none"/>
          <w:shd w:val="clear" w:color="auto" w:fill="FFFFFF"/>
        </w:rPr>
        <w:t>管理</w:t>
      </w:r>
    </w:p>
    <w:p w14:paraId="599703FE">
      <w:pPr>
        <w:spacing w:line="360" w:lineRule="auto"/>
        <w:ind w:firstLine="480" w:firstLineChars="200"/>
        <w:rPr>
          <w:rFonts w:hint="eastAsia"/>
          <w:color w:val="auto"/>
          <w:sz w:val="24"/>
          <w:highlight w:val="none"/>
          <w:shd w:val="clear" w:color="auto" w:fill="FFFFFF"/>
        </w:rPr>
      </w:pPr>
      <w:r>
        <w:rPr>
          <w:color w:val="auto"/>
          <w:sz w:val="24"/>
          <w:highlight w:val="none"/>
          <w:shd w:val="clear" w:color="auto" w:fill="FFFFFF"/>
        </w:rPr>
        <w:t>综合社会学、流行病学、人口学等多学科理论方法，</w:t>
      </w:r>
      <w:r>
        <w:rPr>
          <w:rFonts w:hint="eastAsia"/>
          <w:color w:val="auto"/>
          <w:sz w:val="24"/>
          <w:highlight w:val="none"/>
          <w:shd w:val="clear" w:color="auto" w:fill="FFFFFF"/>
          <w:lang w:val="en-US" w:eastAsia="zh-CN"/>
        </w:rPr>
        <w:t>运用</w:t>
      </w:r>
      <w:r>
        <w:rPr>
          <w:rFonts w:hint="eastAsia"/>
          <w:color w:val="auto"/>
          <w:sz w:val="24"/>
          <w:highlight w:val="none"/>
          <w:shd w:val="clear" w:color="auto" w:fill="FFFFFF"/>
        </w:rPr>
        <w:t>管理学科的先进理念和方法，</w:t>
      </w:r>
      <w:r>
        <w:rPr>
          <w:rFonts w:hint="eastAsia" w:ascii="Times New Roman" w:hAnsi="Times New Roman" w:eastAsia="宋体" w:cs="Times New Roman"/>
          <w:i w:val="0"/>
          <w:iCs w:val="0"/>
          <w:caps w:val="0"/>
          <w:color w:val="auto"/>
          <w:spacing w:val="0"/>
          <w:sz w:val="24"/>
          <w:szCs w:val="24"/>
          <w:highlight w:val="none"/>
          <w:shd w:val="clear" w:color="auto" w:fill="FFFFFF"/>
        </w:rPr>
        <w:t>聚焦于卫生政策分析、卫生服务规划、卫生服务质量管理等领域</w:t>
      </w:r>
      <w:r>
        <w:rPr>
          <w:rFonts w:hint="eastAsia" w:cs="Times New Roman"/>
          <w:i w:val="0"/>
          <w:iCs w:val="0"/>
          <w:caps w:val="0"/>
          <w:color w:val="auto"/>
          <w:spacing w:val="0"/>
          <w:sz w:val="24"/>
          <w:szCs w:val="24"/>
          <w:highlight w:val="none"/>
          <w:shd w:val="clear" w:color="auto" w:fill="FFFFFF"/>
          <w:lang w:eastAsia="zh-CN"/>
        </w:rPr>
        <w:t>，</w:t>
      </w:r>
      <w:r>
        <w:rPr>
          <w:rFonts w:hint="eastAsia"/>
          <w:color w:val="auto"/>
          <w:sz w:val="24"/>
          <w:highlight w:val="none"/>
          <w:shd w:val="clear" w:color="auto" w:fill="FFFFFF"/>
        </w:rPr>
        <w:t>研究卫生政策与管理活动及其规律，分析卫生政策与其他公共政策的关系</w:t>
      </w:r>
      <w:r>
        <w:rPr>
          <w:rFonts w:hint="eastAsia"/>
          <w:color w:val="auto"/>
          <w:sz w:val="24"/>
          <w:highlight w:val="none"/>
          <w:shd w:val="clear" w:color="auto" w:fill="FFFFFF"/>
          <w:lang w:eastAsia="zh-CN"/>
        </w:rPr>
        <w:t>，</w:t>
      </w:r>
      <w:r>
        <w:rPr>
          <w:rFonts w:hint="eastAsia"/>
          <w:color w:val="auto"/>
          <w:sz w:val="24"/>
          <w:highlight w:val="none"/>
          <w:shd w:val="clear" w:color="auto" w:fill="FFFFFF"/>
        </w:rPr>
        <w:t>发现分析和解决卫生健康领域的政策和管理问题</w:t>
      </w:r>
      <w:r>
        <w:rPr>
          <w:rFonts w:hint="eastAsia"/>
          <w:color w:val="auto"/>
          <w:sz w:val="24"/>
          <w:highlight w:val="none"/>
          <w:shd w:val="clear" w:color="auto" w:fill="FFFFFF"/>
          <w:lang w:eastAsia="zh-CN"/>
        </w:rPr>
        <w:t>；</w:t>
      </w:r>
      <w:r>
        <w:rPr>
          <w:rFonts w:hint="eastAsia"/>
          <w:color w:val="auto"/>
          <w:sz w:val="24"/>
          <w:highlight w:val="none"/>
          <w:shd w:val="clear" w:color="auto" w:fill="FFFFFF"/>
          <w:lang w:val="en-US" w:eastAsia="zh-CN"/>
        </w:rPr>
        <w:t>研究</w:t>
      </w:r>
      <w:r>
        <w:rPr>
          <w:rFonts w:hint="eastAsia"/>
          <w:color w:val="auto"/>
          <w:sz w:val="24"/>
          <w:highlight w:val="none"/>
          <w:shd w:val="clear" w:color="auto" w:fill="FFFFFF"/>
        </w:rPr>
        <w:t>卫生体系与组织的特点和发展规律，</w:t>
      </w:r>
      <w:r>
        <w:rPr>
          <w:rFonts w:hint="eastAsia"/>
          <w:color w:val="auto"/>
          <w:sz w:val="24"/>
          <w:highlight w:val="none"/>
          <w:shd w:val="clear" w:color="auto" w:fill="FFFFFF"/>
          <w:lang w:val="en-US" w:eastAsia="zh-CN"/>
        </w:rPr>
        <w:t>开展</w:t>
      </w:r>
      <w:r>
        <w:rPr>
          <w:rFonts w:hint="eastAsia"/>
          <w:color w:val="auto"/>
          <w:sz w:val="24"/>
          <w:highlight w:val="none"/>
          <w:shd w:val="clear" w:color="auto" w:fill="FFFFFF"/>
        </w:rPr>
        <w:t>卫生服务评价</w:t>
      </w:r>
      <w:r>
        <w:rPr>
          <w:rFonts w:hint="eastAsia"/>
          <w:color w:val="auto"/>
          <w:sz w:val="24"/>
          <w:highlight w:val="none"/>
          <w:shd w:val="clear" w:color="auto" w:fill="FFFFFF"/>
          <w:lang w:eastAsia="zh-CN"/>
        </w:rPr>
        <w:t>，</w:t>
      </w:r>
      <w:r>
        <w:rPr>
          <w:rFonts w:hint="eastAsia"/>
          <w:color w:val="auto"/>
          <w:sz w:val="24"/>
          <w:highlight w:val="none"/>
          <w:shd w:val="clear" w:color="auto" w:fill="FFFFFF"/>
          <w:lang w:val="en-US" w:eastAsia="zh-CN"/>
        </w:rPr>
        <w:t>为</w:t>
      </w:r>
      <w:r>
        <w:rPr>
          <w:rFonts w:hint="eastAsia" w:ascii="Times New Roman" w:hAnsi="Times New Roman" w:eastAsia="宋体" w:cs="Times New Roman"/>
          <w:i w:val="0"/>
          <w:iCs w:val="0"/>
          <w:caps w:val="0"/>
          <w:color w:val="auto"/>
          <w:spacing w:val="0"/>
          <w:sz w:val="24"/>
          <w:szCs w:val="24"/>
          <w:highlight w:val="none"/>
          <w:shd w:val="clear" w:color="auto" w:fill="FFFFFF"/>
        </w:rPr>
        <w:t>优化卫生资源配置</w:t>
      </w:r>
      <w:r>
        <w:rPr>
          <w:color w:val="auto"/>
          <w:sz w:val="24"/>
          <w:highlight w:val="none"/>
          <w:shd w:val="clear" w:color="auto" w:fill="FFFFFF"/>
        </w:rPr>
        <w:t>提供科学依据</w:t>
      </w:r>
      <w:r>
        <w:rPr>
          <w:rFonts w:hint="eastAsia" w:cs="Times New Roman"/>
          <w:i w:val="0"/>
          <w:iCs w:val="0"/>
          <w:caps w:val="0"/>
          <w:color w:val="auto"/>
          <w:spacing w:val="0"/>
          <w:sz w:val="24"/>
          <w:szCs w:val="24"/>
          <w:highlight w:val="none"/>
          <w:shd w:val="clear" w:color="auto" w:fill="FFFFFF"/>
          <w:lang w:eastAsia="zh-CN"/>
        </w:rPr>
        <w:t>，</w:t>
      </w:r>
      <w:r>
        <w:rPr>
          <w:color w:val="auto"/>
          <w:sz w:val="24"/>
          <w:highlight w:val="none"/>
          <w:shd w:val="clear" w:color="auto" w:fill="FFFFFF"/>
        </w:rPr>
        <w:t>提高卫生</w:t>
      </w:r>
      <w:r>
        <w:rPr>
          <w:rFonts w:hint="eastAsia"/>
          <w:color w:val="auto"/>
          <w:sz w:val="24"/>
          <w:highlight w:val="none"/>
          <w:shd w:val="clear" w:color="auto" w:fill="FFFFFF"/>
          <w:lang w:val="en-US" w:eastAsia="zh-CN"/>
        </w:rPr>
        <w:t>服务质量和</w:t>
      </w:r>
      <w:r>
        <w:rPr>
          <w:color w:val="auto"/>
          <w:sz w:val="24"/>
          <w:highlight w:val="none"/>
          <w:shd w:val="clear" w:color="auto" w:fill="FFFFFF"/>
        </w:rPr>
        <w:t>效率，促进卫生事业发展</w:t>
      </w:r>
      <w:r>
        <w:rPr>
          <w:rFonts w:hint="eastAsia"/>
          <w:color w:val="auto"/>
          <w:sz w:val="24"/>
          <w:highlight w:val="none"/>
          <w:shd w:val="clear" w:color="auto" w:fill="FFFFFF"/>
          <w:lang w:eastAsia="zh-CN"/>
        </w:rPr>
        <w:t>，</w:t>
      </w:r>
      <w:r>
        <w:rPr>
          <w:color w:val="auto"/>
          <w:sz w:val="24"/>
          <w:highlight w:val="none"/>
          <w:shd w:val="clear" w:color="auto" w:fill="FFFFFF"/>
        </w:rPr>
        <w:t>提升人民健康水平和生活质量</w:t>
      </w:r>
      <w:r>
        <w:rPr>
          <w:rFonts w:hint="eastAsia"/>
          <w:color w:val="auto"/>
          <w:sz w:val="24"/>
          <w:highlight w:val="none"/>
          <w:shd w:val="clear" w:color="auto" w:fill="FFFFFF"/>
        </w:rPr>
        <w:t>。</w:t>
      </w:r>
    </w:p>
    <w:p w14:paraId="43086CB8">
      <w:pPr>
        <w:spacing w:line="360" w:lineRule="auto"/>
        <w:ind w:firstLine="560" w:firstLineChars="200"/>
        <w:rPr>
          <w:rFonts w:eastAsia="黑体"/>
          <w:bCs/>
          <w:color w:val="auto"/>
          <w:sz w:val="28"/>
          <w:szCs w:val="28"/>
          <w:highlight w:val="none"/>
        </w:rPr>
      </w:pPr>
      <w:r>
        <w:rPr>
          <w:rFonts w:eastAsia="黑体"/>
          <w:bCs/>
          <w:color w:val="auto"/>
          <w:sz w:val="28"/>
          <w:szCs w:val="28"/>
          <w:highlight w:val="none"/>
        </w:rPr>
        <w:t>四、学制及学习年限</w:t>
      </w:r>
    </w:p>
    <w:p w14:paraId="2FC824A9">
      <w:pPr>
        <w:spacing w:line="360" w:lineRule="auto"/>
        <w:ind w:firstLine="480" w:firstLineChars="200"/>
        <w:rPr>
          <w:rFonts w:eastAsiaTheme="minorEastAsia"/>
          <w:i/>
          <w:color w:val="auto"/>
          <w:sz w:val="24"/>
          <w:highlight w:val="none"/>
        </w:rPr>
      </w:pPr>
      <w:r>
        <w:rPr>
          <w:rFonts w:eastAsiaTheme="minorEastAsia"/>
          <w:color w:val="auto"/>
          <w:sz w:val="24"/>
          <w:highlight w:val="none"/>
        </w:rPr>
        <w:t>本专业学制为3年，在校最长学习年限（含休学）不超过6年。</w:t>
      </w:r>
    </w:p>
    <w:p w14:paraId="6A0DB0A0">
      <w:pPr>
        <w:spacing w:line="360" w:lineRule="auto"/>
        <w:ind w:firstLine="560" w:firstLineChars="200"/>
        <w:rPr>
          <w:rFonts w:eastAsia="黑体"/>
          <w:bCs/>
          <w:color w:val="auto"/>
          <w:sz w:val="28"/>
          <w:szCs w:val="28"/>
          <w:highlight w:val="none"/>
        </w:rPr>
      </w:pPr>
      <w:r>
        <w:rPr>
          <w:rFonts w:eastAsia="黑体"/>
          <w:bCs/>
          <w:color w:val="auto"/>
          <w:sz w:val="28"/>
          <w:szCs w:val="28"/>
          <w:highlight w:val="none"/>
        </w:rPr>
        <w:t>五、培养目标</w:t>
      </w:r>
    </w:p>
    <w:p w14:paraId="4BB53D5C">
      <w:pPr>
        <w:spacing w:line="360" w:lineRule="auto"/>
        <w:ind w:firstLine="480"/>
        <w:rPr>
          <w:color w:val="auto"/>
          <w:sz w:val="24"/>
          <w:highlight w:val="none"/>
          <w:shd w:val="clear" w:color="auto" w:fill="FFFFFF"/>
        </w:rPr>
      </w:pPr>
      <w:r>
        <w:rPr>
          <w:color w:val="auto"/>
          <w:sz w:val="24"/>
          <w:highlight w:val="none"/>
          <w:shd w:val="clear" w:color="auto" w:fill="FFFFFF"/>
        </w:rPr>
        <w:t>1. 树立正确的中国特色社会主义核心价值观，具有坚定的理想信念，高尚的道德情操，优良的学术作风，高度的社会责任感。</w:t>
      </w:r>
    </w:p>
    <w:p w14:paraId="7DD97156">
      <w:pPr>
        <w:spacing w:line="360" w:lineRule="auto"/>
        <w:ind w:firstLine="480" w:firstLineChars="200"/>
        <w:rPr>
          <w:color w:val="auto"/>
          <w:sz w:val="24"/>
          <w:highlight w:val="none"/>
          <w:shd w:val="clear" w:color="auto" w:fill="FFFFFF"/>
        </w:rPr>
      </w:pPr>
      <w:r>
        <w:rPr>
          <w:color w:val="auto"/>
          <w:sz w:val="24"/>
          <w:highlight w:val="none"/>
          <w:shd w:val="clear" w:color="auto" w:fill="FFFFFF"/>
        </w:rPr>
        <w:t xml:space="preserve">2. </w:t>
      </w:r>
      <w:r>
        <w:rPr>
          <w:rFonts w:hint="eastAsia"/>
          <w:color w:val="auto"/>
          <w:sz w:val="24"/>
          <w:highlight w:val="none"/>
          <w:shd w:val="clear" w:color="auto" w:fill="FFFFFF"/>
        </w:rPr>
        <w:t>在</w:t>
      </w:r>
      <w:r>
        <w:rPr>
          <w:color w:val="auto"/>
          <w:sz w:val="24"/>
          <w:highlight w:val="none"/>
          <w:shd w:val="clear" w:color="auto" w:fill="FFFFFF"/>
        </w:rPr>
        <w:t>公共卫生</w:t>
      </w:r>
      <w:r>
        <w:rPr>
          <w:rFonts w:hint="eastAsia"/>
          <w:color w:val="auto"/>
          <w:sz w:val="24"/>
          <w:highlight w:val="none"/>
          <w:shd w:val="clear" w:color="auto" w:fill="FFFFFF"/>
        </w:rPr>
        <w:t>专业</w:t>
      </w:r>
      <w:r>
        <w:rPr>
          <w:color w:val="auto"/>
          <w:sz w:val="24"/>
          <w:highlight w:val="none"/>
          <w:shd w:val="clear" w:color="auto" w:fill="FFFFFF"/>
        </w:rPr>
        <w:t>领域</w:t>
      </w:r>
      <w:r>
        <w:rPr>
          <w:rFonts w:hint="eastAsia"/>
          <w:color w:val="auto"/>
          <w:sz w:val="24"/>
          <w:highlight w:val="none"/>
          <w:shd w:val="clear" w:color="auto" w:fill="FFFFFF"/>
        </w:rPr>
        <w:t>掌握坚实全面</w:t>
      </w:r>
      <w:r>
        <w:rPr>
          <w:color w:val="auto"/>
          <w:sz w:val="24"/>
          <w:highlight w:val="none"/>
          <w:shd w:val="clear" w:color="auto" w:fill="FFFFFF"/>
        </w:rPr>
        <w:t>的基础理论和系统</w:t>
      </w:r>
      <w:r>
        <w:rPr>
          <w:rFonts w:hint="eastAsia"/>
          <w:color w:val="auto"/>
          <w:sz w:val="24"/>
          <w:highlight w:val="none"/>
          <w:shd w:val="clear" w:color="auto" w:fill="FFFFFF"/>
        </w:rPr>
        <w:t>深入</w:t>
      </w:r>
      <w:r>
        <w:rPr>
          <w:color w:val="auto"/>
          <w:sz w:val="24"/>
          <w:highlight w:val="none"/>
          <w:shd w:val="clear" w:color="auto" w:fill="FFFFFF"/>
        </w:rPr>
        <w:t>的专门知识</w:t>
      </w:r>
      <w:r>
        <w:rPr>
          <w:rFonts w:hint="eastAsia"/>
          <w:color w:val="auto"/>
          <w:sz w:val="24"/>
          <w:highlight w:val="none"/>
          <w:shd w:val="clear" w:color="auto" w:fill="FFFFFF"/>
        </w:rPr>
        <w:t>，</w:t>
      </w:r>
      <w:r>
        <w:rPr>
          <w:color w:val="auto"/>
          <w:sz w:val="24"/>
          <w:highlight w:val="none"/>
          <w:shd w:val="clear" w:color="auto" w:fill="FFFFFF"/>
        </w:rPr>
        <w:t>具备</w:t>
      </w:r>
      <w:r>
        <w:rPr>
          <w:rFonts w:hint="eastAsia"/>
          <w:color w:val="auto"/>
          <w:sz w:val="24"/>
          <w:highlight w:val="none"/>
          <w:shd w:val="clear" w:color="auto" w:fill="FFFFFF"/>
          <w:lang w:val="en-US" w:eastAsia="zh-CN"/>
        </w:rPr>
        <w:t>扎实的</w:t>
      </w:r>
      <w:r>
        <w:rPr>
          <w:rFonts w:hint="eastAsia"/>
          <w:color w:val="auto"/>
          <w:sz w:val="24"/>
          <w:highlight w:val="none"/>
          <w:shd w:val="clear" w:color="auto" w:fill="FFFFFF"/>
        </w:rPr>
        <w:t>专业实践</w:t>
      </w:r>
      <w:r>
        <w:rPr>
          <w:rFonts w:hint="eastAsia"/>
          <w:color w:val="auto"/>
          <w:sz w:val="24"/>
          <w:highlight w:val="none"/>
          <w:shd w:val="clear" w:color="auto" w:fill="FFFFFF"/>
          <w:lang w:val="en-US" w:eastAsia="zh-CN"/>
        </w:rPr>
        <w:t>工作能力和一定的科研创新能力</w:t>
      </w:r>
      <w:r>
        <w:rPr>
          <w:color w:val="auto"/>
          <w:sz w:val="24"/>
          <w:highlight w:val="none"/>
          <w:shd w:val="clear" w:color="auto" w:fill="FFFFFF"/>
        </w:rPr>
        <w:t>。</w:t>
      </w:r>
    </w:p>
    <w:p w14:paraId="6DB7116F">
      <w:pPr>
        <w:spacing w:line="360" w:lineRule="auto"/>
        <w:ind w:firstLine="480" w:firstLineChars="200"/>
        <w:rPr>
          <w:color w:val="auto"/>
          <w:sz w:val="24"/>
          <w:highlight w:val="none"/>
          <w:shd w:val="clear" w:color="auto" w:fill="FFFFFF"/>
        </w:rPr>
      </w:pPr>
      <w:r>
        <w:rPr>
          <w:color w:val="auto"/>
          <w:sz w:val="24"/>
          <w:highlight w:val="none"/>
          <w:shd w:val="clear" w:color="auto" w:fill="FFFFFF"/>
        </w:rPr>
        <w:t>3. 至少掌握一门外国语，能够熟练阅读本专业外文资料，具有撰写学术论文和进行国际学术交流的能力。</w:t>
      </w:r>
    </w:p>
    <w:p w14:paraId="18318428">
      <w:pPr>
        <w:spacing w:line="360" w:lineRule="auto"/>
        <w:ind w:firstLine="480" w:firstLineChars="200"/>
        <w:rPr>
          <w:color w:val="auto"/>
          <w:sz w:val="24"/>
          <w:highlight w:val="none"/>
          <w:shd w:val="clear" w:color="auto" w:fill="FFFFFF"/>
        </w:rPr>
      </w:pPr>
      <w:r>
        <w:rPr>
          <w:color w:val="auto"/>
          <w:sz w:val="24"/>
          <w:highlight w:val="none"/>
          <w:shd w:val="clear" w:color="auto" w:fill="FFFFFF"/>
        </w:rPr>
        <w:t>4. 具有良好的团队意识和团队合作精神</w:t>
      </w:r>
      <w:r>
        <w:rPr>
          <w:rFonts w:hint="eastAsia"/>
          <w:color w:val="auto"/>
          <w:sz w:val="24"/>
          <w:highlight w:val="none"/>
          <w:shd w:val="clear" w:color="auto" w:fill="FFFFFF"/>
        </w:rPr>
        <w:t>，</w:t>
      </w:r>
      <w:r>
        <w:rPr>
          <w:color w:val="auto"/>
          <w:sz w:val="24"/>
          <w:highlight w:val="none"/>
          <w:shd w:val="clear" w:color="auto" w:fill="FFFFFF"/>
        </w:rPr>
        <w:t>能够在多学科交叉融合的环境中开展工作</w:t>
      </w:r>
      <w:r>
        <w:rPr>
          <w:rFonts w:hint="eastAsia"/>
          <w:color w:val="auto"/>
          <w:sz w:val="24"/>
          <w:highlight w:val="none"/>
          <w:shd w:val="clear" w:color="auto" w:fill="FFFFFF"/>
        </w:rPr>
        <w:t>。</w:t>
      </w:r>
    </w:p>
    <w:p w14:paraId="18658430">
      <w:pPr>
        <w:spacing w:line="360" w:lineRule="auto"/>
        <w:ind w:firstLine="480" w:firstLineChars="200"/>
        <w:rPr>
          <w:color w:val="auto"/>
          <w:sz w:val="24"/>
          <w:highlight w:val="none"/>
          <w:shd w:val="clear" w:color="auto" w:fill="FFFFFF"/>
        </w:rPr>
      </w:pPr>
      <w:r>
        <w:rPr>
          <w:rFonts w:hint="eastAsia"/>
          <w:color w:val="auto"/>
          <w:sz w:val="24"/>
          <w:highlight w:val="none"/>
          <w:shd w:val="clear" w:color="auto" w:fill="FFFFFF"/>
        </w:rPr>
        <w:t xml:space="preserve">5. </w:t>
      </w:r>
      <w:r>
        <w:rPr>
          <w:color w:val="auto"/>
          <w:sz w:val="24"/>
          <w:highlight w:val="none"/>
          <w:shd w:val="clear" w:color="auto" w:fill="FFFFFF"/>
        </w:rPr>
        <w:t>具备良好的心理素养和健康的身体素质，能够适应公共卫生岗位的工作需求。</w:t>
      </w:r>
    </w:p>
    <w:p w14:paraId="762D5348">
      <w:pPr>
        <w:spacing w:line="360" w:lineRule="auto"/>
        <w:ind w:firstLine="480" w:firstLineChars="200"/>
        <w:rPr>
          <w:color w:val="auto"/>
          <w:sz w:val="24"/>
          <w:highlight w:val="none"/>
          <w:shd w:val="clear" w:color="auto" w:fill="FFFFFF"/>
        </w:rPr>
      </w:pPr>
      <w:r>
        <w:rPr>
          <w:color w:val="auto"/>
          <w:sz w:val="24"/>
          <w:highlight w:val="none"/>
          <w:shd w:val="clear" w:color="auto" w:fill="FFFFFF"/>
        </w:rPr>
        <w:t>6. 培养德智体美劳全面发展的社会主义事业接班人</w:t>
      </w:r>
      <w:r>
        <w:rPr>
          <w:rFonts w:hint="eastAsia"/>
          <w:color w:val="auto"/>
          <w:sz w:val="24"/>
          <w:highlight w:val="none"/>
          <w:shd w:val="clear" w:color="auto" w:fill="FFFFFF"/>
        </w:rPr>
        <w:t>，能胜任</w:t>
      </w:r>
      <w:r>
        <w:rPr>
          <w:rFonts w:hint="eastAsia"/>
          <w:color w:val="auto"/>
          <w:sz w:val="24"/>
          <w:highlight w:val="none"/>
          <w:shd w:val="clear" w:color="auto" w:fill="FFFFFF"/>
          <w:lang w:val="en-US" w:eastAsia="zh-CN"/>
        </w:rPr>
        <w:t>疾病预防与控制、卫生管理、卫生监督执法等</w:t>
      </w:r>
      <w:r>
        <w:rPr>
          <w:rFonts w:hint="eastAsia"/>
          <w:color w:val="auto"/>
          <w:sz w:val="24"/>
          <w:highlight w:val="none"/>
          <w:shd w:val="clear" w:color="auto" w:fill="FFFFFF"/>
        </w:rPr>
        <w:t>工作</w:t>
      </w:r>
      <w:r>
        <w:rPr>
          <w:color w:val="auto"/>
          <w:sz w:val="24"/>
          <w:highlight w:val="none"/>
          <w:shd w:val="clear" w:color="auto" w:fill="FFFFFF"/>
        </w:rPr>
        <w:t>的高素质、高层次的公共卫生应用型专门人才。</w:t>
      </w:r>
    </w:p>
    <w:p w14:paraId="02A92CA9">
      <w:pPr>
        <w:spacing w:line="360" w:lineRule="auto"/>
        <w:ind w:firstLine="480"/>
        <w:rPr>
          <w:rFonts w:eastAsia="黑体"/>
          <w:bCs/>
          <w:color w:val="auto"/>
          <w:sz w:val="28"/>
          <w:szCs w:val="28"/>
          <w:highlight w:val="none"/>
        </w:rPr>
      </w:pPr>
      <w:r>
        <w:rPr>
          <w:rFonts w:eastAsia="黑体"/>
          <w:bCs/>
          <w:color w:val="auto"/>
          <w:sz w:val="28"/>
          <w:szCs w:val="28"/>
          <w:highlight w:val="none"/>
        </w:rPr>
        <w:t>六、培养方式</w:t>
      </w:r>
    </w:p>
    <w:p w14:paraId="632CBA55">
      <w:pPr>
        <w:spacing w:line="360" w:lineRule="auto"/>
        <w:ind w:firstLine="480" w:firstLineChars="200"/>
        <w:rPr>
          <w:color w:val="auto"/>
          <w:sz w:val="24"/>
          <w:highlight w:val="none"/>
          <w:shd w:val="clear" w:color="auto" w:fill="FFFFFF"/>
        </w:rPr>
      </w:pPr>
      <w:r>
        <w:rPr>
          <w:color w:val="auto"/>
          <w:sz w:val="24"/>
          <w:highlight w:val="none"/>
          <w:shd w:val="clear" w:color="auto" w:fill="FFFFFF"/>
        </w:rPr>
        <w:t>实行导师负责制和校内与校外</w:t>
      </w:r>
      <w:r>
        <w:rPr>
          <w:rFonts w:hint="eastAsia"/>
          <w:color w:val="auto"/>
          <w:sz w:val="24"/>
          <w:highlight w:val="none"/>
          <w:shd w:val="clear" w:color="auto" w:fill="FFFFFF"/>
        </w:rPr>
        <w:t>“</w:t>
      </w:r>
      <w:r>
        <w:rPr>
          <w:color w:val="auto"/>
          <w:sz w:val="24"/>
          <w:highlight w:val="none"/>
          <w:shd w:val="clear" w:color="auto" w:fill="FFFFFF"/>
        </w:rPr>
        <w:t>双导师制</w:t>
      </w:r>
      <w:r>
        <w:rPr>
          <w:rFonts w:hint="eastAsia"/>
          <w:color w:val="auto"/>
          <w:sz w:val="24"/>
          <w:highlight w:val="none"/>
          <w:shd w:val="clear" w:color="auto" w:fill="FFFFFF"/>
        </w:rPr>
        <w:t>”</w:t>
      </w:r>
      <w:r>
        <w:rPr>
          <w:color w:val="auto"/>
          <w:sz w:val="24"/>
          <w:highlight w:val="none"/>
          <w:shd w:val="clear" w:color="auto" w:fill="FFFFFF"/>
        </w:rPr>
        <w:t>，导师是研究生培养的第一责任人，对研究生培养的全过程进行全方位指导。</w:t>
      </w:r>
      <w:r>
        <w:rPr>
          <w:rFonts w:hint="eastAsia"/>
          <w:color w:val="auto"/>
          <w:sz w:val="24"/>
          <w:highlight w:val="none"/>
          <w:shd w:val="clear" w:color="auto" w:fill="FFFFFF"/>
          <w:lang w:val="en-US" w:eastAsia="zh-CN"/>
        </w:rPr>
        <w:t>采用</w:t>
      </w:r>
      <w:r>
        <w:rPr>
          <w:rFonts w:hint="eastAsia"/>
          <w:b w:val="0"/>
          <w:bCs w:val="0"/>
          <w:color w:val="auto"/>
          <w:sz w:val="24"/>
          <w:highlight w:val="none"/>
          <w:shd w:val="clear" w:color="auto" w:fill="FFFFFF"/>
          <w:lang w:val="en-US" w:eastAsia="zh-CN"/>
        </w:rPr>
        <w:t>课程</w:t>
      </w:r>
      <w:r>
        <w:rPr>
          <w:rFonts w:hint="eastAsia"/>
          <w:b w:val="0"/>
          <w:bCs w:val="0"/>
          <w:color w:val="auto"/>
          <w:sz w:val="24"/>
          <w:highlight w:val="none"/>
          <w:shd w:val="clear" w:color="auto" w:fill="FFFFFF"/>
        </w:rPr>
        <w:t>学习、</w:t>
      </w:r>
      <w:r>
        <w:rPr>
          <w:rFonts w:hint="eastAsia"/>
          <w:b w:val="0"/>
          <w:bCs w:val="0"/>
          <w:color w:val="auto"/>
          <w:sz w:val="24"/>
          <w:highlight w:val="none"/>
          <w:shd w:val="clear" w:color="auto" w:fill="FFFFFF"/>
          <w:lang w:val="en-US" w:eastAsia="zh-CN"/>
        </w:rPr>
        <w:t>专业</w:t>
      </w:r>
      <w:r>
        <w:rPr>
          <w:rFonts w:hint="eastAsia"/>
          <w:b w:val="0"/>
          <w:bCs w:val="0"/>
          <w:color w:val="auto"/>
          <w:sz w:val="24"/>
          <w:highlight w:val="none"/>
          <w:shd w:val="clear" w:color="auto" w:fill="FFFFFF"/>
        </w:rPr>
        <w:t>实践、课题研究相结合的培养模式</w:t>
      </w:r>
      <w:r>
        <w:rPr>
          <w:color w:val="auto"/>
          <w:sz w:val="24"/>
          <w:highlight w:val="none"/>
          <w:shd w:val="clear" w:color="auto" w:fill="FFFFFF"/>
        </w:rPr>
        <w:t>。其中课程学习在校内完成</w:t>
      </w:r>
      <w:r>
        <w:rPr>
          <w:rFonts w:hint="eastAsia"/>
          <w:color w:val="auto"/>
          <w:sz w:val="24"/>
          <w:highlight w:val="none"/>
          <w:shd w:val="clear" w:color="auto" w:fill="FFFFFF"/>
        </w:rPr>
        <w:t>；</w:t>
      </w:r>
      <w:r>
        <w:rPr>
          <w:color w:val="auto"/>
          <w:sz w:val="24"/>
          <w:highlight w:val="none"/>
          <w:shd w:val="clear" w:color="auto" w:fill="FFFFFF"/>
        </w:rPr>
        <w:t>专业实践</w:t>
      </w:r>
      <w:r>
        <w:rPr>
          <w:rFonts w:hint="eastAsia"/>
          <w:color w:val="auto"/>
          <w:sz w:val="24"/>
          <w:highlight w:val="none"/>
          <w:shd w:val="clear" w:color="auto" w:fill="FFFFFF"/>
        </w:rPr>
        <w:t>在实践基地完成；</w:t>
      </w:r>
      <w:r>
        <w:rPr>
          <w:rFonts w:hint="eastAsia"/>
          <w:color w:val="auto"/>
          <w:sz w:val="24"/>
          <w:highlight w:val="none"/>
          <w:shd w:val="clear" w:color="auto" w:fill="FFFFFF"/>
          <w:lang w:val="en-US" w:eastAsia="zh-CN"/>
        </w:rPr>
        <w:t>课题研究</w:t>
      </w:r>
      <w:r>
        <w:rPr>
          <w:color w:val="auto"/>
          <w:sz w:val="24"/>
          <w:highlight w:val="none"/>
          <w:shd w:val="clear" w:color="auto" w:fill="FFFFFF"/>
        </w:rPr>
        <w:t>可在校内</w:t>
      </w:r>
      <w:r>
        <w:rPr>
          <w:rFonts w:hint="eastAsia"/>
          <w:color w:val="auto"/>
          <w:sz w:val="24"/>
          <w:highlight w:val="none"/>
          <w:shd w:val="clear" w:color="auto" w:fill="FFFFFF"/>
        </w:rPr>
        <w:t>培养完成</w:t>
      </w:r>
      <w:r>
        <w:rPr>
          <w:color w:val="auto"/>
          <w:sz w:val="24"/>
          <w:highlight w:val="none"/>
          <w:shd w:val="clear" w:color="auto" w:fill="FFFFFF"/>
        </w:rPr>
        <w:t>，也可由学校与科研院所、疾控中心和医院等实践基地进行联合培养</w:t>
      </w:r>
      <w:r>
        <w:rPr>
          <w:rFonts w:hint="eastAsia"/>
          <w:color w:val="auto"/>
          <w:sz w:val="24"/>
          <w:highlight w:val="none"/>
          <w:shd w:val="clear" w:color="auto" w:fill="FFFFFF"/>
        </w:rPr>
        <w:t>完成</w:t>
      </w:r>
      <w:r>
        <w:rPr>
          <w:color w:val="auto"/>
          <w:sz w:val="24"/>
          <w:highlight w:val="none"/>
          <w:shd w:val="clear" w:color="auto" w:fill="FFFFFF"/>
        </w:rPr>
        <w:t>。</w:t>
      </w:r>
    </w:p>
    <w:p w14:paraId="58B2EF82">
      <w:pPr>
        <w:spacing w:line="360" w:lineRule="auto"/>
        <w:ind w:firstLine="560" w:firstLineChars="200"/>
        <w:rPr>
          <w:rFonts w:eastAsia="黑体"/>
          <w:bCs/>
          <w:color w:val="auto"/>
          <w:sz w:val="28"/>
          <w:szCs w:val="28"/>
          <w:highlight w:val="none"/>
        </w:rPr>
      </w:pPr>
      <w:r>
        <w:rPr>
          <w:rFonts w:hint="eastAsia" w:eastAsia="黑体"/>
          <w:bCs/>
          <w:color w:val="auto"/>
          <w:sz w:val="28"/>
          <w:szCs w:val="28"/>
          <w:highlight w:val="none"/>
        </w:rPr>
        <w:t>七、</w:t>
      </w:r>
      <w:r>
        <w:rPr>
          <w:rFonts w:eastAsia="黑体"/>
          <w:bCs/>
          <w:color w:val="auto"/>
          <w:sz w:val="28"/>
          <w:szCs w:val="28"/>
          <w:highlight w:val="none"/>
        </w:rPr>
        <w:t>中期筛选</w:t>
      </w:r>
    </w:p>
    <w:p w14:paraId="254C5CC1">
      <w:pPr>
        <w:spacing w:line="360" w:lineRule="auto"/>
        <w:ind w:firstLine="480" w:firstLineChars="200"/>
        <w:rPr>
          <w:rFonts w:eastAsiaTheme="minorEastAsia"/>
          <w:bCs/>
          <w:color w:val="auto"/>
          <w:sz w:val="24"/>
          <w:highlight w:val="none"/>
        </w:rPr>
      </w:pPr>
      <w:r>
        <w:rPr>
          <w:rFonts w:eastAsiaTheme="minorEastAsia"/>
          <w:bCs/>
          <w:color w:val="auto"/>
          <w:sz w:val="24"/>
          <w:highlight w:val="none"/>
        </w:rPr>
        <w:t>在完成培养方案规定的课程学习、考核成绩合格、获得规定的学分后，按照《河北大学研究生中期筛选管理办法》（校政字〔2021〕15号）的相关规定，组织开展中期筛选工作。</w:t>
      </w:r>
    </w:p>
    <w:p w14:paraId="652CC00F">
      <w:pPr>
        <w:spacing w:line="360" w:lineRule="auto"/>
        <w:ind w:firstLine="560" w:firstLineChars="200"/>
        <w:rPr>
          <w:rFonts w:eastAsia="黑体"/>
          <w:bCs/>
          <w:color w:val="auto"/>
          <w:sz w:val="28"/>
          <w:szCs w:val="28"/>
          <w:highlight w:val="none"/>
        </w:rPr>
      </w:pPr>
      <w:r>
        <w:rPr>
          <w:rFonts w:hint="eastAsia" w:eastAsia="黑体"/>
          <w:bCs/>
          <w:color w:val="auto"/>
          <w:sz w:val="28"/>
          <w:szCs w:val="28"/>
          <w:highlight w:val="none"/>
        </w:rPr>
        <w:t>八</w:t>
      </w:r>
      <w:r>
        <w:rPr>
          <w:rFonts w:eastAsia="黑体"/>
          <w:bCs/>
          <w:color w:val="auto"/>
          <w:sz w:val="28"/>
          <w:szCs w:val="28"/>
          <w:highlight w:val="none"/>
        </w:rPr>
        <w:t>、学位（毕业）论文</w:t>
      </w:r>
    </w:p>
    <w:p w14:paraId="051FCBFB">
      <w:pPr>
        <w:widowControl/>
        <w:spacing w:line="360" w:lineRule="auto"/>
        <w:ind w:firstLine="480"/>
        <w:jc w:val="both"/>
        <w:rPr>
          <w:bCs/>
          <w:color w:val="auto"/>
          <w:kern w:val="0"/>
          <w:sz w:val="18"/>
          <w:szCs w:val="18"/>
          <w:highlight w:val="none"/>
        </w:rPr>
      </w:pPr>
      <w:r>
        <w:rPr>
          <w:bCs/>
          <w:color w:val="auto"/>
          <w:kern w:val="0"/>
          <w:sz w:val="24"/>
          <w:highlight w:val="none"/>
        </w:rPr>
        <w:t>1.</w:t>
      </w:r>
      <w:r>
        <w:rPr>
          <w:rFonts w:hint="eastAsia"/>
          <w:bCs/>
          <w:color w:val="auto"/>
          <w:kern w:val="0"/>
          <w:sz w:val="24"/>
          <w:highlight w:val="none"/>
        </w:rPr>
        <w:t xml:space="preserve"> </w:t>
      </w:r>
      <w:r>
        <w:rPr>
          <w:bCs/>
          <w:color w:val="auto"/>
          <w:kern w:val="0"/>
          <w:sz w:val="24"/>
          <w:highlight w:val="none"/>
        </w:rPr>
        <w:t>总体要求：按照《河北大学关于开展2025版研究生培养方案修订工作的指导意见》（校政字</w:t>
      </w:r>
      <w:r>
        <w:rPr>
          <w:rFonts w:eastAsiaTheme="minorEastAsia"/>
          <w:bCs/>
          <w:color w:val="auto"/>
          <w:sz w:val="24"/>
          <w:highlight w:val="none"/>
        </w:rPr>
        <w:t>〔2025〕</w:t>
      </w:r>
      <w:r>
        <w:rPr>
          <w:rFonts w:hint="eastAsia" w:eastAsiaTheme="minorEastAsia"/>
          <w:bCs/>
          <w:color w:val="auto"/>
          <w:sz w:val="24"/>
          <w:highlight w:val="none"/>
          <w:lang w:val="en-US" w:eastAsia="zh-CN"/>
        </w:rPr>
        <w:t>9</w:t>
      </w:r>
      <w:r>
        <w:rPr>
          <w:rFonts w:eastAsiaTheme="minorEastAsia"/>
          <w:bCs/>
          <w:color w:val="auto"/>
          <w:sz w:val="24"/>
          <w:highlight w:val="none"/>
        </w:rPr>
        <w:t>号</w:t>
      </w:r>
      <w:r>
        <w:rPr>
          <w:bCs/>
          <w:color w:val="auto"/>
          <w:kern w:val="0"/>
          <w:sz w:val="24"/>
          <w:highlight w:val="none"/>
        </w:rPr>
        <w:t>）规定，硕士研究生论文开题与答辩时间间隔原则上不少于12个月。</w:t>
      </w:r>
      <w:r>
        <w:rPr>
          <w:rFonts w:hint="eastAsia"/>
          <w:bCs/>
          <w:color w:val="auto"/>
          <w:kern w:val="0"/>
          <w:sz w:val="24"/>
          <w:highlight w:val="none"/>
        </w:rPr>
        <w:t>学位（毕业）论文应当表明作者具有独立从事学术研究工作的能力，鼓励硕士研究生参与科学研究，取得创新性成果。</w:t>
      </w:r>
      <w:r>
        <w:rPr>
          <w:bCs/>
          <w:color w:val="auto"/>
          <w:sz w:val="24"/>
          <w:highlight w:val="none"/>
          <w:shd w:val="clear" w:color="auto" w:fill="FFFFFF"/>
        </w:rPr>
        <w:t>学位（毕业）论文应着眼于解决实际问题，重在反映学生运用所学理论</w:t>
      </w:r>
      <w:r>
        <w:rPr>
          <w:rFonts w:hint="eastAsia"/>
          <w:bCs/>
          <w:color w:val="auto"/>
          <w:sz w:val="24"/>
          <w:highlight w:val="none"/>
          <w:shd w:val="clear" w:color="auto" w:fill="FFFFFF"/>
        </w:rPr>
        <w:t>、</w:t>
      </w:r>
      <w:r>
        <w:rPr>
          <w:bCs/>
          <w:color w:val="auto"/>
          <w:sz w:val="24"/>
          <w:highlight w:val="none"/>
          <w:shd w:val="clear" w:color="auto" w:fill="FFFFFF"/>
        </w:rPr>
        <w:t>知识</w:t>
      </w:r>
      <w:r>
        <w:rPr>
          <w:rFonts w:hint="eastAsia"/>
          <w:bCs/>
          <w:color w:val="auto"/>
          <w:sz w:val="24"/>
          <w:highlight w:val="none"/>
          <w:shd w:val="clear" w:color="auto" w:fill="FFFFFF"/>
        </w:rPr>
        <w:t>与方法</w:t>
      </w:r>
      <w:r>
        <w:rPr>
          <w:bCs/>
          <w:color w:val="auto"/>
          <w:sz w:val="24"/>
          <w:highlight w:val="none"/>
          <w:shd w:val="clear" w:color="auto" w:fill="FFFFFF"/>
        </w:rPr>
        <w:t>综合解决实践问题的能力</w:t>
      </w:r>
      <w:r>
        <w:rPr>
          <w:rFonts w:hint="eastAsia"/>
          <w:bCs/>
          <w:color w:val="auto"/>
          <w:sz w:val="24"/>
          <w:highlight w:val="none"/>
          <w:shd w:val="clear" w:color="auto" w:fill="FFFFFF"/>
        </w:rPr>
        <w:t>。研究生</w:t>
      </w:r>
      <w:r>
        <w:rPr>
          <w:bCs/>
          <w:color w:val="auto"/>
          <w:sz w:val="24"/>
          <w:highlight w:val="none"/>
          <w:shd w:val="clear" w:color="auto" w:fill="FFFFFF"/>
        </w:rPr>
        <w:t>必须在导师指导下独立完成学位（毕业）论文</w:t>
      </w:r>
      <w:r>
        <w:rPr>
          <w:rFonts w:hint="eastAsia"/>
          <w:bCs/>
          <w:color w:val="auto"/>
          <w:sz w:val="24"/>
          <w:highlight w:val="none"/>
          <w:shd w:val="clear" w:color="auto" w:fill="FFFFFF"/>
        </w:rPr>
        <w:t>，</w:t>
      </w:r>
      <w:r>
        <w:rPr>
          <w:bCs/>
          <w:color w:val="auto"/>
          <w:sz w:val="24"/>
          <w:highlight w:val="none"/>
          <w:shd w:val="clear" w:color="auto" w:fill="FFFFFF"/>
        </w:rPr>
        <w:t>不得抄袭和剽窃他人成果。</w:t>
      </w:r>
    </w:p>
    <w:p w14:paraId="6F6F32CB">
      <w:pPr>
        <w:widowControl/>
        <w:spacing w:line="360" w:lineRule="auto"/>
        <w:ind w:firstLine="480"/>
        <w:jc w:val="both"/>
        <w:rPr>
          <w:bCs/>
          <w:iCs/>
          <w:color w:val="auto"/>
          <w:kern w:val="0"/>
          <w:sz w:val="24"/>
          <w:highlight w:val="none"/>
        </w:rPr>
      </w:pPr>
      <w:r>
        <w:rPr>
          <w:bCs/>
          <w:color w:val="auto"/>
          <w:kern w:val="0"/>
          <w:sz w:val="24"/>
          <w:highlight w:val="none"/>
        </w:rPr>
        <w:t>2.</w:t>
      </w:r>
      <w:r>
        <w:rPr>
          <w:rFonts w:hint="eastAsia"/>
          <w:bCs/>
          <w:color w:val="auto"/>
          <w:kern w:val="0"/>
          <w:sz w:val="24"/>
          <w:highlight w:val="none"/>
        </w:rPr>
        <w:t xml:space="preserve"> </w:t>
      </w:r>
      <w:r>
        <w:rPr>
          <w:bCs/>
          <w:color w:val="auto"/>
          <w:kern w:val="0"/>
          <w:sz w:val="24"/>
          <w:highlight w:val="none"/>
        </w:rPr>
        <w:t>开题：</w:t>
      </w:r>
      <w:r>
        <w:rPr>
          <w:bCs/>
          <w:iCs/>
          <w:color w:val="auto"/>
          <w:kern w:val="0"/>
          <w:sz w:val="24"/>
          <w:highlight w:val="none"/>
        </w:rPr>
        <w:t>开题是研究生培养过程中开展学位（毕业）论文工作的首要环节，要求研究生充分阅读国内外相关文献，结合公共卫生的实际问题进行选题，撰写开题报告。开题报告应包含文献综述、论文选题依据、研究方案、预期目标与成果、工作计划等关键</w:t>
      </w:r>
      <w:r>
        <w:rPr>
          <w:rFonts w:hint="eastAsia"/>
          <w:bCs/>
          <w:iCs/>
          <w:color w:val="auto"/>
          <w:kern w:val="0"/>
          <w:sz w:val="24"/>
          <w:highlight w:val="none"/>
          <w:lang w:val="en-US" w:eastAsia="zh-CN"/>
        </w:rPr>
        <w:t>内容</w:t>
      </w:r>
      <w:r>
        <w:rPr>
          <w:bCs/>
          <w:iCs/>
          <w:color w:val="auto"/>
          <w:kern w:val="0"/>
          <w:sz w:val="24"/>
          <w:highlight w:val="none"/>
        </w:rPr>
        <w:t>。开题</w:t>
      </w:r>
      <w:r>
        <w:rPr>
          <w:rFonts w:hint="eastAsia"/>
          <w:bCs/>
          <w:iCs/>
          <w:color w:val="auto"/>
          <w:kern w:val="0"/>
          <w:sz w:val="24"/>
          <w:highlight w:val="none"/>
        </w:rPr>
        <w:t>应</w:t>
      </w:r>
      <w:r>
        <w:rPr>
          <w:bCs/>
          <w:iCs/>
          <w:color w:val="auto"/>
          <w:kern w:val="0"/>
          <w:sz w:val="24"/>
          <w:highlight w:val="none"/>
        </w:rPr>
        <w:t>在入学后第3学期完成。开题由3-5名具有高级专业技术职务人员参加，以学术报告的方式进行。通过开题答辩后，方可开展课题研究。</w:t>
      </w:r>
    </w:p>
    <w:p w14:paraId="4ED62E32">
      <w:pPr>
        <w:widowControl/>
        <w:spacing w:line="360" w:lineRule="auto"/>
        <w:ind w:firstLine="480"/>
        <w:jc w:val="both"/>
        <w:rPr>
          <w:bCs/>
          <w:iCs/>
          <w:color w:val="auto"/>
          <w:kern w:val="0"/>
          <w:sz w:val="24"/>
          <w:highlight w:val="none"/>
        </w:rPr>
      </w:pPr>
      <w:r>
        <w:rPr>
          <w:bCs/>
          <w:iCs/>
          <w:color w:val="auto"/>
          <w:kern w:val="0"/>
          <w:sz w:val="24"/>
          <w:highlight w:val="none"/>
        </w:rPr>
        <w:t>3. 阶段性进展报告：</w:t>
      </w:r>
      <w:r>
        <w:rPr>
          <w:bCs/>
          <w:color w:val="auto"/>
          <w:sz w:val="24"/>
          <w:highlight w:val="none"/>
          <w:shd w:val="clear" w:color="auto" w:fill="FFFFFF"/>
        </w:rPr>
        <w:t>阶段性进展报告</w:t>
      </w:r>
      <w:r>
        <w:rPr>
          <w:rFonts w:hint="eastAsia"/>
          <w:bCs/>
          <w:color w:val="auto"/>
          <w:sz w:val="24"/>
          <w:highlight w:val="none"/>
          <w:shd w:val="clear" w:color="auto" w:fill="FFFFFF"/>
        </w:rPr>
        <w:t>是</w:t>
      </w:r>
      <w:r>
        <w:rPr>
          <w:bCs/>
          <w:color w:val="auto"/>
          <w:sz w:val="24"/>
          <w:highlight w:val="none"/>
          <w:shd w:val="clear" w:color="auto" w:fill="FFFFFF"/>
        </w:rPr>
        <w:t>检查研究生研究进展</w:t>
      </w:r>
      <w:r>
        <w:rPr>
          <w:rFonts w:hint="eastAsia"/>
          <w:bCs/>
          <w:color w:val="auto"/>
          <w:sz w:val="24"/>
          <w:highlight w:val="none"/>
          <w:shd w:val="clear" w:color="auto" w:fill="FFFFFF"/>
        </w:rPr>
        <w:t>、发现和解决在</w:t>
      </w:r>
      <w:r>
        <w:rPr>
          <w:bCs/>
          <w:color w:val="auto"/>
          <w:sz w:val="24"/>
          <w:highlight w:val="none"/>
          <w:shd w:val="clear" w:color="auto" w:fill="FFFFFF"/>
        </w:rPr>
        <w:t>研究过程中遇到</w:t>
      </w:r>
      <w:r>
        <w:rPr>
          <w:rFonts w:hint="eastAsia"/>
          <w:bCs/>
          <w:color w:val="auto"/>
          <w:sz w:val="24"/>
          <w:highlight w:val="none"/>
          <w:shd w:val="clear" w:color="auto" w:fill="FFFFFF"/>
        </w:rPr>
        <w:t>的</w:t>
      </w:r>
      <w:r>
        <w:rPr>
          <w:bCs/>
          <w:color w:val="auto"/>
          <w:sz w:val="24"/>
          <w:highlight w:val="none"/>
          <w:shd w:val="clear" w:color="auto" w:fill="FFFFFF"/>
        </w:rPr>
        <w:t>实际问题</w:t>
      </w:r>
      <w:r>
        <w:rPr>
          <w:rFonts w:hint="eastAsia"/>
          <w:bCs/>
          <w:color w:val="auto"/>
          <w:sz w:val="24"/>
          <w:highlight w:val="none"/>
          <w:shd w:val="clear" w:color="auto" w:fill="FFFFFF"/>
        </w:rPr>
        <w:t>、</w:t>
      </w:r>
      <w:r>
        <w:rPr>
          <w:bCs/>
          <w:color w:val="auto"/>
          <w:sz w:val="24"/>
          <w:highlight w:val="none"/>
          <w:shd w:val="clear" w:color="auto" w:fill="FFFFFF"/>
        </w:rPr>
        <w:t>确保学位（毕业）论文按计划推进</w:t>
      </w:r>
      <w:r>
        <w:rPr>
          <w:rFonts w:hint="eastAsia"/>
          <w:bCs/>
          <w:color w:val="auto"/>
          <w:sz w:val="24"/>
          <w:highlight w:val="none"/>
          <w:shd w:val="clear" w:color="auto" w:fill="FFFFFF"/>
        </w:rPr>
        <w:t>的重要环节</w:t>
      </w:r>
      <w:r>
        <w:rPr>
          <w:bCs/>
          <w:color w:val="auto"/>
          <w:sz w:val="24"/>
          <w:highlight w:val="none"/>
          <w:shd w:val="clear" w:color="auto" w:fill="FFFFFF"/>
        </w:rPr>
        <w:t>。要求研究生</w:t>
      </w:r>
      <w:r>
        <w:rPr>
          <w:rFonts w:hint="eastAsia"/>
          <w:bCs/>
          <w:color w:val="auto"/>
          <w:sz w:val="24"/>
          <w:highlight w:val="none"/>
          <w:shd w:val="clear" w:color="auto" w:fill="FFFFFF"/>
        </w:rPr>
        <w:t>根据研究进展</w:t>
      </w:r>
      <w:r>
        <w:rPr>
          <w:bCs/>
          <w:color w:val="auto"/>
          <w:sz w:val="24"/>
          <w:highlight w:val="none"/>
          <w:shd w:val="clear" w:color="auto" w:fill="FFFFFF"/>
        </w:rPr>
        <w:t>，撰写</w:t>
      </w:r>
      <w:r>
        <w:rPr>
          <w:rFonts w:hint="eastAsia"/>
          <w:bCs/>
          <w:color w:val="auto"/>
          <w:sz w:val="24"/>
          <w:highlight w:val="none"/>
          <w:shd w:val="clear" w:color="auto" w:fill="FFFFFF"/>
        </w:rPr>
        <w:t>阶段性进展</w:t>
      </w:r>
      <w:r>
        <w:rPr>
          <w:bCs/>
          <w:color w:val="auto"/>
          <w:sz w:val="24"/>
          <w:highlight w:val="none"/>
          <w:shd w:val="clear" w:color="auto" w:fill="FFFFFF"/>
        </w:rPr>
        <w:t>报告。</w:t>
      </w:r>
      <w:r>
        <w:rPr>
          <w:rFonts w:hint="eastAsia"/>
          <w:bCs/>
          <w:color w:val="auto"/>
          <w:sz w:val="24"/>
          <w:highlight w:val="none"/>
          <w:shd w:val="clear" w:color="auto" w:fill="FFFFFF"/>
        </w:rPr>
        <w:t>阶段性进展报告应包含研究背景、研究目标、研究方法、研究结果与分析、后续工作计划等内容。</w:t>
      </w:r>
      <w:r>
        <w:rPr>
          <w:bCs/>
          <w:iCs/>
          <w:color w:val="auto"/>
          <w:kern w:val="0"/>
          <w:sz w:val="24"/>
          <w:highlight w:val="none"/>
        </w:rPr>
        <w:t>阶段性汇报</w:t>
      </w:r>
      <w:r>
        <w:rPr>
          <w:rFonts w:hint="eastAsia"/>
          <w:bCs/>
          <w:iCs/>
          <w:color w:val="auto"/>
          <w:kern w:val="0"/>
          <w:sz w:val="24"/>
          <w:highlight w:val="none"/>
        </w:rPr>
        <w:t>应</w:t>
      </w:r>
      <w:r>
        <w:rPr>
          <w:bCs/>
          <w:iCs/>
          <w:color w:val="auto"/>
          <w:kern w:val="0"/>
          <w:sz w:val="24"/>
          <w:highlight w:val="none"/>
        </w:rPr>
        <w:t>在入学后第</w:t>
      </w:r>
      <w:r>
        <w:rPr>
          <w:rFonts w:hint="eastAsia"/>
          <w:bCs/>
          <w:iCs/>
          <w:color w:val="auto"/>
          <w:kern w:val="0"/>
          <w:sz w:val="24"/>
          <w:highlight w:val="none"/>
        </w:rPr>
        <w:t>4</w:t>
      </w:r>
      <w:r>
        <w:rPr>
          <w:bCs/>
          <w:iCs/>
          <w:color w:val="auto"/>
          <w:kern w:val="0"/>
          <w:sz w:val="24"/>
          <w:highlight w:val="none"/>
        </w:rPr>
        <w:t>学期完成，以学术报告的方式进行。通过阶段性进展</w:t>
      </w:r>
      <w:r>
        <w:rPr>
          <w:rFonts w:hint="eastAsia"/>
          <w:bCs/>
          <w:iCs/>
          <w:color w:val="auto"/>
          <w:kern w:val="0"/>
          <w:sz w:val="24"/>
          <w:highlight w:val="none"/>
        </w:rPr>
        <w:t>答辩后</w:t>
      </w:r>
      <w:r>
        <w:rPr>
          <w:bCs/>
          <w:iCs/>
          <w:color w:val="auto"/>
          <w:kern w:val="0"/>
          <w:sz w:val="24"/>
          <w:highlight w:val="none"/>
        </w:rPr>
        <w:t>，</w:t>
      </w:r>
      <w:r>
        <w:rPr>
          <w:rFonts w:hint="eastAsia"/>
          <w:bCs/>
          <w:iCs/>
          <w:color w:val="auto"/>
          <w:kern w:val="0"/>
          <w:sz w:val="24"/>
          <w:highlight w:val="none"/>
        </w:rPr>
        <w:t>应根据专家</w:t>
      </w:r>
      <w:r>
        <w:rPr>
          <w:bCs/>
          <w:color w:val="auto"/>
          <w:sz w:val="24"/>
          <w:highlight w:val="none"/>
          <w:shd w:val="clear" w:color="auto" w:fill="FFFFFF"/>
        </w:rPr>
        <w:t>意见和建议</w:t>
      </w:r>
      <w:r>
        <w:rPr>
          <w:rFonts w:hint="eastAsia"/>
          <w:bCs/>
          <w:iCs/>
          <w:color w:val="auto"/>
          <w:kern w:val="0"/>
          <w:sz w:val="24"/>
          <w:highlight w:val="none"/>
        </w:rPr>
        <w:t>完善研究计划和方法。</w:t>
      </w:r>
    </w:p>
    <w:p w14:paraId="288C8F0E">
      <w:pPr>
        <w:widowControl/>
        <w:spacing w:line="360" w:lineRule="auto"/>
        <w:ind w:firstLine="480"/>
        <w:jc w:val="both"/>
        <w:rPr>
          <w:bCs/>
          <w:color w:val="auto"/>
          <w:sz w:val="24"/>
          <w:highlight w:val="none"/>
          <w:shd w:val="clear" w:color="auto" w:fill="FFFFFF"/>
        </w:rPr>
      </w:pPr>
      <w:r>
        <w:rPr>
          <w:bCs/>
          <w:color w:val="auto"/>
          <w:kern w:val="0"/>
          <w:sz w:val="24"/>
          <w:highlight w:val="none"/>
        </w:rPr>
        <w:t>4. 中期进展报告：</w:t>
      </w:r>
      <w:r>
        <w:rPr>
          <w:bCs/>
          <w:iCs/>
          <w:color w:val="auto"/>
          <w:kern w:val="0"/>
          <w:sz w:val="24"/>
          <w:highlight w:val="none"/>
        </w:rPr>
        <w:t>中期进展报告是检查研究生个人综合能力及学位论文进展、指导研究生把握学位（毕业）论文方向、提高学位（毕业）论文质量的必要环节。要求研究生根据研究进展，撰写</w:t>
      </w:r>
      <w:r>
        <w:rPr>
          <w:bCs/>
          <w:color w:val="auto"/>
          <w:kern w:val="0"/>
          <w:sz w:val="24"/>
          <w:highlight w:val="none"/>
        </w:rPr>
        <w:t>中期进展</w:t>
      </w:r>
      <w:r>
        <w:rPr>
          <w:bCs/>
          <w:iCs/>
          <w:color w:val="auto"/>
          <w:kern w:val="0"/>
          <w:sz w:val="24"/>
          <w:highlight w:val="none"/>
        </w:rPr>
        <w:t>报告。</w:t>
      </w:r>
      <w:r>
        <w:rPr>
          <w:bCs/>
          <w:color w:val="auto"/>
          <w:kern w:val="0"/>
          <w:sz w:val="24"/>
          <w:highlight w:val="none"/>
        </w:rPr>
        <w:t>中期进展</w:t>
      </w:r>
      <w:r>
        <w:rPr>
          <w:bCs/>
          <w:iCs/>
          <w:color w:val="auto"/>
          <w:kern w:val="0"/>
          <w:sz w:val="24"/>
          <w:highlight w:val="none"/>
        </w:rPr>
        <w:t>报告</w:t>
      </w:r>
      <w:r>
        <w:rPr>
          <w:rFonts w:hint="eastAsia"/>
          <w:bCs/>
          <w:color w:val="auto"/>
          <w:sz w:val="24"/>
          <w:highlight w:val="none"/>
          <w:shd w:val="clear" w:color="auto" w:fill="FFFFFF"/>
        </w:rPr>
        <w:t>应包含研究背景、研究目标、研究方法、研究结果与分析、后续工作计划等内容。</w:t>
      </w:r>
      <w:r>
        <w:rPr>
          <w:bCs/>
          <w:color w:val="auto"/>
          <w:sz w:val="24"/>
          <w:highlight w:val="none"/>
          <w:shd w:val="clear" w:color="auto" w:fill="FFFFFF"/>
        </w:rPr>
        <w:t>中期进展</w:t>
      </w:r>
      <w:r>
        <w:rPr>
          <w:rFonts w:hint="eastAsia"/>
          <w:bCs/>
          <w:color w:val="auto"/>
          <w:sz w:val="24"/>
          <w:highlight w:val="none"/>
          <w:shd w:val="clear" w:color="auto" w:fill="FFFFFF"/>
        </w:rPr>
        <w:t>报告</w:t>
      </w:r>
      <w:r>
        <w:rPr>
          <w:bCs/>
          <w:color w:val="auto"/>
          <w:sz w:val="24"/>
          <w:highlight w:val="none"/>
          <w:shd w:val="clear" w:color="auto" w:fill="FFFFFF"/>
        </w:rPr>
        <w:t>应在入学后第5学期进行</w:t>
      </w:r>
      <w:r>
        <w:rPr>
          <w:rFonts w:hint="eastAsia"/>
          <w:bCs/>
          <w:color w:val="auto"/>
          <w:sz w:val="24"/>
          <w:highlight w:val="none"/>
          <w:shd w:val="clear" w:color="auto" w:fill="FFFFFF"/>
          <w:lang w:eastAsia="zh-CN"/>
        </w:rPr>
        <w:t>，</w:t>
      </w:r>
      <w:r>
        <w:rPr>
          <w:rFonts w:hint="eastAsia"/>
          <w:bCs/>
          <w:color w:val="auto"/>
          <w:sz w:val="24"/>
          <w:highlight w:val="none"/>
          <w:shd w:val="clear" w:color="auto" w:fill="FFFFFF"/>
        </w:rPr>
        <w:t>以学术报告的方式进行。中期进展</w:t>
      </w:r>
      <w:r>
        <w:rPr>
          <w:rFonts w:hint="eastAsia"/>
          <w:bCs/>
          <w:color w:val="auto"/>
          <w:sz w:val="24"/>
          <w:highlight w:val="none"/>
          <w:shd w:val="clear" w:color="auto" w:fill="FFFFFF"/>
          <w:lang w:val="en-US" w:eastAsia="zh-CN"/>
        </w:rPr>
        <w:t>报告</w:t>
      </w:r>
      <w:r>
        <w:rPr>
          <w:rFonts w:hint="eastAsia"/>
          <w:bCs/>
          <w:color w:val="auto"/>
          <w:sz w:val="24"/>
          <w:highlight w:val="none"/>
          <w:shd w:val="clear" w:color="auto" w:fill="FFFFFF"/>
        </w:rPr>
        <w:t>通过后，方可继续开展课题研究和学位（毕业）论文撰写，未通过者需限期整改。</w:t>
      </w:r>
    </w:p>
    <w:p w14:paraId="47A432E3">
      <w:pPr>
        <w:widowControl/>
        <w:spacing w:line="360" w:lineRule="auto"/>
        <w:ind w:firstLine="480"/>
        <w:jc w:val="both"/>
        <w:rPr>
          <w:bCs/>
          <w:i/>
          <w:color w:val="auto"/>
          <w:kern w:val="0"/>
          <w:sz w:val="24"/>
          <w:highlight w:val="none"/>
        </w:rPr>
      </w:pPr>
      <w:r>
        <w:rPr>
          <w:rFonts w:hint="eastAsia"/>
          <w:bCs/>
          <w:color w:val="auto"/>
          <w:kern w:val="0"/>
          <w:sz w:val="24"/>
          <w:highlight w:val="none"/>
        </w:rPr>
        <w:t>5</w:t>
      </w:r>
      <w:r>
        <w:rPr>
          <w:bCs/>
          <w:color w:val="auto"/>
          <w:kern w:val="0"/>
          <w:sz w:val="24"/>
          <w:highlight w:val="none"/>
        </w:rPr>
        <w:t>.</w:t>
      </w:r>
      <w:r>
        <w:rPr>
          <w:rFonts w:hint="eastAsia"/>
          <w:bCs/>
          <w:color w:val="auto"/>
          <w:kern w:val="0"/>
          <w:sz w:val="24"/>
          <w:highlight w:val="none"/>
        </w:rPr>
        <w:t xml:space="preserve"> </w:t>
      </w:r>
      <w:r>
        <w:rPr>
          <w:bCs/>
          <w:color w:val="auto"/>
          <w:kern w:val="0"/>
          <w:sz w:val="24"/>
          <w:highlight w:val="none"/>
        </w:rPr>
        <w:t>学位申请：</w:t>
      </w:r>
      <w:r>
        <w:rPr>
          <w:bCs/>
          <w:iCs/>
          <w:color w:val="auto"/>
          <w:kern w:val="0"/>
          <w:sz w:val="24"/>
          <w:highlight w:val="none"/>
        </w:rPr>
        <w:t>达到学位授予条件的申请人，经导师同意后，应于答辩前</w:t>
      </w:r>
      <w:r>
        <w:rPr>
          <w:rFonts w:hint="eastAsia"/>
          <w:bCs/>
          <w:iCs/>
          <w:color w:val="auto"/>
          <w:kern w:val="0"/>
          <w:sz w:val="24"/>
          <w:highlight w:val="none"/>
        </w:rPr>
        <w:t>三</w:t>
      </w:r>
      <w:r>
        <w:rPr>
          <w:bCs/>
          <w:iCs/>
          <w:color w:val="auto"/>
          <w:kern w:val="0"/>
          <w:sz w:val="24"/>
          <w:highlight w:val="none"/>
        </w:rPr>
        <w:t>个月，向所属学位评定分委员会提出学位申请，提交学位申请材料。</w:t>
      </w:r>
    </w:p>
    <w:p w14:paraId="65126862">
      <w:pPr>
        <w:widowControl/>
        <w:spacing w:line="360" w:lineRule="auto"/>
        <w:ind w:firstLine="480"/>
        <w:jc w:val="both"/>
        <w:rPr>
          <w:bCs/>
          <w:i/>
          <w:color w:val="auto"/>
          <w:kern w:val="0"/>
          <w:sz w:val="24"/>
          <w:highlight w:val="none"/>
        </w:rPr>
      </w:pPr>
      <w:r>
        <w:rPr>
          <w:rFonts w:hint="eastAsia"/>
          <w:bCs/>
          <w:color w:val="auto"/>
          <w:kern w:val="0"/>
          <w:sz w:val="24"/>
          <w:highlight w:val="none"/>
        </w:rPr>
        <w:t>6</w:t>
      </w:r>
      <w:r>
        <w:rPr>
          <w:bCs/>
          <w:color w:val="auto"/>
          <w:kern w:val="0"/>
          <w:sz w:val="24"/>
          <w:highlight w:val="none"/>
        </w:rPr>
        <w:t>.</w:t>
      </w:r>
      <w:r>
        <w:rPr>
          <w:rFonts w:hint="eastAsia"/>
          <w:bCs/>
          <w:color w:val="auto"/>
          <w:kern w:val="0"/>
          <w:sz w:val="24"/>
          <w:highlight w:val="none"/>
        </w:rPr>
        <w:t xml:space="preserve"> </w:t>
      </w:r>
      <w:r>
        <w:rPr>
          <w:bCs/>
          <w:color w:val="auto"/>
          <w:kern w:val="0"/>
          <w:sz w:val="24"/>
          <w:highlight w:val="none"/>
        </w:rPr>
        <w:t>预答辩：</w:t>
      </w:r>
      <w:r>
        <w:rPr>
          <w:bCs/>
          <w:iCs/>
          <w:color w:val="auto"/>
          <w:kern w:val="0"/>
          <w:sz w:val="24"/>
          <w:highlight w:val="none"/>
        </w:rPr>
        <w:t>学位申请人须进行学位论文预答辩。预答辩通过者，方可进入学位论文评阅、学位论文答辩等环节。学位（毕业）论文预答辩在正式答辩前</w:t>
      </w:r>
      <w:r>
        <w:rPr>
          <w:rFonts w:hint="eastAsia"/>
          <w:bCs/>
          <w:iCs/>
          <w:color w:val="auto"/>
          <w:kern w:val="0"/>
          <w:sz w:val="24"/>
          <w:highlight w:val="none"/>
        </w:rPr>
        <w:t>三</w:t>
      </w:r>
      <w:r>
        <w:rPr>
          <w:bCs/>
          <w:iCs/>
          <w:color w:val="auto"/>
          <w:kern w:val="0"/>
          <w:sz w:val="24"/>
          <w:highlight w:val="none"/>
        </w:rPr>
        <w:t>个月进行。</w:t>
      </w:r>
    </w:p>
    <w:p w14:paraId="1C6C631E">
      <w:pPr>
        <w:widowControl/>
        <w:spacing w:line="360" w:lineRule="auto"/>
        <w:ind w:firstLine="480"/>
        <w:jc w:val="both"/>
        <w:rPr>
          <w:bCs/>
          <w:color w:val="auto"/>
          <w:kern w:val="0"/>
          <w:sz w:val="24"/>
          <w:highlight w:val="none"/>
        </w:rPr>
      </w:pPr>
      <w:r>
        <w:rPr>
          <w:rFonts w:hint="eastAsia"/>
          <w:bCs/>
          <w:color w:val="auto"/>
          <w:kern w:val="0"/>
          <w:sz w:val="24"/>
          <w:highlight w:val="none"/>
        </w:rPr>
        <w:t>7</w:t>
      </w:r>
      <w:r>
        <w:rPr>
          <w:bCs/>
          <w:color w:val="auto"/>
          <w:kern w:val="0"/>
          <w:sz w:val="24"/>
          <w:highlight w:val="none"/>
        </w:rPr>
        <w:t>.</w:t>
      </w:r>
      <w:r>
        <w:rPr>
          <w:rFonts w:hint="eastAsia"/>
          <w:bCs/>
          <w:color w:val="auto"/>
          <w:kern w:val="0"/>
          <w:sz w:val="24"/>
          <w:highlight w:val="none"/>
        </w:rPr>
        <w:t xml:space="preserve"> </w:t>
      </w:r>
      <w:r>
        <w:rPr>
          <w:bCs/>
          <w:color w:val="auto"/>
          <w:kern w:val="0"/>
          <w:sz w:val="24"/>
          <w:highlight w:val="none"/>
        </w:rPr>
        <w:t>论文评阅：</w:t>
      </w:r>
      <w:r>
        <w:rPr>
          <w:bCs/>
          <w:iCs/>
          <w:color w:val="auto"/>
          <w:kern w:val="0"/>
          <w:sz w:val="24"/>
          <w:highlight w:val="none"/>
        </w:rPr>
        <w:t>学位（毕业）论文在获得导师组认可，经培养单位形式审查合格，并通过预答辩，方可提出进入评阅程序的申请。论文评阅在正式答辩前40天由研究生提出，由培养单位依据相关规定进行匿名评审。</w:t>
      </w:r>
      <w:r>
        <w:rPr>
          <w:bCs/>
          <w:color w:val="auto"/>
          <w:kern w:val="0"/>
          <w:sz w:val="24"/>
          <w:highlight w:val="none"/>
        </w:rPr>
        <w:t>评阅结果及异议处理按照《河北大学研究生学位论文或者实践成果评审管理办法》（校政字〔2025〕8号）执行。</w:t>
      </w:r>
    </w:p>
    <w:p w14:paraId="7528A598">
      <w:pPr>
        <w:widowControl/>
        <w:spacing w:line="360" w:lineRule="auto"/>
        <w:ind w:firstLine="480"/>
        <w:jc w:val="left"/>
        <w:rPr>
          <w:rFonts w:eastAsiaTheme="minorEastAsia"/>
          <w:bCs/>
          <w:i/>
          <w:color w:val="auto"/>
          <w:sz w:val="24"/>
          <w:highlight w:val="none"/>
        </w:rPr>
      </w:pPr>
      <w:r>
        <w:rPr>
          <w:rFonts w:hint="eastAsia"/>
          <w:bCs/>
          <w:color w:val="auto"/>
          <w:kern w:val="0"/>
          <w:sz w:val="24"/>
          <w:highlight w:val="none"/>
        </w:rPr>
        <w:t>8</w:t>
      </w:r>
      <w:r>
        <w:rPr>
          <w:bCs/>
          <w:color w:val="auto"/>
          <w:kern w:val="0"/>
          <w:sz w:val="24"/>
          <w:highlight w:val="none"/>
        </w:rPr>
        <w:t>.</w:t>
      </w:r>
      <w:r>
        <w:rPr>
          <w:rFonts w:hint="eastAsia"/>
          <w:bCs/>
          <w:color w:val="auto"/>
          <w:kern w:val="0"/>
          <w:sz w:val="24"/>
          <w:highlight w:val="none"/>
        </w:rPr>
        <w:t xml:space="preserve"> </w:t>
      </w:r>
      <w:r>
        <w:rPr>
          <w:bCs/>
          <w:color w:val="auto"/>
          <w:kern w:val="0"/>
          <w:sz w:val="24"/>
          <w:highlight w:val="none"/>
        </w:rPr>
        <w:t>答辩：学位（毕业）论文答辩按照《河北大学博士、硕士学位授予工作实施细则》（校政字〔2025〕7号）执行。</w:t>
      </w:r>
    </w:p>
    <w:p w14:paraId="0CAE7C87">
      <w:pPr>
        <w:spacing w:line="360" w:lineRule="auto"/>
        <w:ind w:firstLine="560" w:firstLineChars="200"/>
        <w:rPr>
          <w:rFonts w:eastAsia="黑体"/>
          <w:bCs/>
          <w:color w:val="auto"/>
          <w:sz w:val="28"/>
          <w:szCs w:val="28"/>
          <w:highlight w:val="none"/>
        </w:rPr>
      </w:pPr>
      <w:r>
        <w:rPr>
          <w:rFonts w:hint="eastAsia" w:eastAsia="黑体"/>
          <w:bCs/>
          <w:color w:val="auto"/>
          <w:sz w:val="28"/>
          <w:szCs w:val="28"/>
          <w:highlight w:val="none"/>
        </w:rPr>
        <w:t>九</w:t>
      </w:r>
      <w:r>
        <w:rPr>
          <w:rFonts w:eastAsia="黑体"/>
          <w:bCs/>
          <w:color w:val="auto"/>
          <w:sz w:val="28"/>
          <w:szCs w:val="28"/>
          <w:highlight w:val="none"/>
        </w:rPr>
        <w:t>、毕业条件</w:t>
      </w:r>
    </w:p>
    <w:p w14:paraId="1B8AFBEA">
      <w:pPr>
        <w:spacing w:line="360" w:lineRule="auto"/>
        <w:ind w:firstLine="480" w:firstLineChars="200"/>
        <w:rPr>
          <w:rFonts w:eastAsiaTheme="minorEastAsia"/>
          <w:bCs/>
          <w:color w:val="auto"/>
          <w:sz w:val="24"/>
          <w:highlight w:val="none"/>
        </w:rPr>
      </w:pPr>
      <w:r>
        <w:rPr>
          <w:rFonts w:eastAsiaTheme="minorEastAsia"/>
          <w:bCs/>
          <w:color w:val="auto"/>
          <w:sz w:val="24"/>
          <w:highlight w:val="none"/>
        </w:rPr>
        <w:t>1. 课程学习。研究生在规定修业年限内完成培养方案规定的课程学习，考核成绩合格，获得规定的学分。</w:t>
      </w:r>
    </w:p>
    <w:p w14:paraId="563E159E">
      <w:pPr>
        <w:spacing w:line="360" w:lineRule="auto"/>
        <w:ind w:firstLine="480" w:firstLineChars="200"/>
        <w:rPr>
          <w:rFonts w:eastAsiaTheme="minorEastAsia"/>
          <w:i/>
          <w:color w:val="auto"/>
          <w:sz w:val="24"/>
          <w:highlight w:val="none"/>
        </w:rPr>
      </w:pPr>
      <w:r>
        <w:rPr>
          <w:rFonts w:eastAsiaTheme="minorEastAsia"/>
          <w:bCs/>
          <w:color w:val="auto"/>
          <w:sz w:val="24"/>
          <w:highlight w:val="none"/>
        </w:rPr>
        <w:t xml:space="preserve">2. </w:t>
      </w:r>
      <w:r>
        <w:rPr>
          <w:rFonts w:hint="eastAsia"/>
          <w:bCs/>
          <w:color w:val="auto"/>
          <w:kern w:val="0"/>
          <w:sz w:val="24"/>
          <w:highlight w:val="none"/>
          <w:lang w:val="en-US" w:eastAsia="zh-CN"/>
        </w:rPr>
        <w:t>专业</w:t>
      </w:r>
      <w:r>
        <w:rPr>
          <w:bCs/>
          <w:color w:val="auto"/>
          <w:kern w:val="0"/>
          <w:sz w:val="24"/>
          <w:highlight w:val="none"/>
        </w:rPr>
        <w:t>实践</w:t>
      </w:r>
      <w:r>
        <w:rPr>
          <w:rFonts w:hint="eastAsia"/>
          <w:bCs/>
          <w:color w:val="auto"/>
          <w:kern w:val="0"/>
          <w:sz w:val="24"/>
          <w:highlight w:val="none"/>
          <w:lang w:eastAsia="zh-CN"/>
        </w:rPr>
        <w:t>。</w:t>
      </w:r>
      <w:r>
        <w:rPr>
          <w:bCs/>
          <w:color w:val="auto"/>
          <w:kern w:val="0"/>
          <w:sz w:val="24"/>
          <w:highlight w:val="none"/>
        </w:rPr>
        <w:t>参与</w:t>
      </w:r>
      <w:r>
        <w:rPr>
          <w:rFonts w:hint="eastAsia"/>
          <w:bCs/>
          <w:color w:val="auto"/>
          <w:kern w:val="0"/>
          <w:sz w:val="24"/>
          <w:highlight w:val="none"/>
          <w:lang w:val="en-US" w:eastAsia="zh-CN"/>
        </w:rPr>
        <w:t>学院组织</w:t>
      </w:r>
      <w:r>
        <w:rPr>
          <w:bCs/>
          <w:color w:val="auto"/>
          <w:kern w:val="0"/>
          <w:sz w:val="24"/>
          <w:highlight w:val="none"/>
        </w:rPr>
        <w:t>的</w:t>
      </w:r>
      <w:r>
        <w:rPr>
          <w:rFonts w:hint="eastAsia"/>
          <w:bCs/>
          <w:color w:val="auto"/>
          <w:kern w:val="0"/>
          <w:sz w:val="24"/>
          <w:highlight w:val="none"/>
          <w:lang w:val="en-US" w:eastAsia="zh-CN"/>
        </w:rPr>
        <w:t>专业实践</w:t>
      </w:r>
      <w:r>
        <w:rPr>
          <w:bCs/>
          <w:color w:val="auto"/>
          <w:kern w:val="0"/>
          <w:sz w:val="24"/>
          <w:highlight w:val="none"/>
        </w:rPr>
        <w:t>，由</w:t>
      </w:r>
      <w:r>
        <w:rPr>
          <w:rFonts w:hint="eastAsia"/>
          <w:bCs/>
          <w:color w:val="auto"/>
          <w:kern w:val="0"/>
          <w:sz w:val="24"/>
          <w:highlight w:val="none"/>
          <w:lang w:val="en-US" w:eastAsia="zh-CN"/>
        </w:rPr>
        <w:t>实践</w:t>
      </w:r>
      <w:r>
        <w:rPr>
          <w:bCs/>
          <w:color w:val="auto"/>
          <w:kern w:val="0"/>
          <w:sz w:val="24"/>
          <w:highlight w:val="none"/>
        </w:rPr>
        <w:t>单位出具实践证明材料。</w:t>
      </w:r>
      <w:r>
        <w:rPr>
          <w:rFonts w:hint="eastAsia"/>
          <w:color w:val="auto"/>
          <w:sz w:val="24"/>
          <w:highlight w:val="none"/>
        </w:rPr>
        <w:t>专业实践不少于6个月，一般安排在入学后第2学期完成，安排学生到卫生机构进行</w:t>
      </w:r>
      <w:r>
        <w:rPr>
          <w:rFonts w:hint="eastAsia"/>
          <w:color w:val="auto"/>
          <w:sz w:val="24"/>
          <w:highlight w:val="none"/>
          <w:lang w:val="en-US" w:eastAsia="zh-CN"/>
        </w:rPr>
        <w:t>专业</w:t>
      </w:r>
      <w:r>
        <w:rPr>
          <w:rFonts w:hint="eastAsia"/>
          <w:color w:val="auto"/>
          <w:sz w:val="24"/>
          <w:highlight w:val="none"/>
        </w:rPr>
        <w:t>实践，以了解我国公共卫生机构、体制、工作范围、任务职责、管理形式、卫生服务需求等现状。同时，就亟待解决的公共卫生实际问题进行分析和研讨，撰写《实践总结报告》</w:t>
      </w:r>
      <w:r>
        <w:rPr>
          <w:rFonts w:hint="eastAsia"/>
          <w:color w:val="auto"/>
          <w:sz w:val="24"/>
          <w:highlight w:val="none"/>
          <w:lang w:eastAsia="zh"/>
        </w:rPr>
        <w:t>，并通过实践成果答辩</w:t>
      </w:r>
      <w:r>
        <w:rPr>
          <w:rFonts w:hint="eastAsia"/>
          <w:color w:val="auto"/>
          <w:sz w:val="24"/>
          <w:highlight w:val="none"/>
        </w:rPr>
        <w:t>。</w:t>
      </w:r>
    </w:p>
    <w:p w14:paraId="72A85A4B">
      <w:pPr>
        <w:spacing w:line="360" w:lineRule="auto"/>
        <w:ind w:firstLine="480" w:firstLineChars="200"/>
        <w:rPr>
          <w:rFonts w:eastAsiaTheme="minorEastAsia"/>
          <w:bCs/>
          <w:color w:val="auto"/>
          <w:sz w:val="24"/>
          <w:highlight w:val="none"/>
        </w:rPr>
      </w:pPr>
      <w:r>
        <w:rPr>
          <w:rFonts w:eastAsiaTheme="minorEastAsia"/>
          <w:color w:val="auto"/>
          <w:sz w:val="24"/>
          <w:highlight w:val="none"/>
        </w:rPr>
        <w:t>3. 符合提前毕业条件的研究生，可按照学校相关规定</w:t>
      </w:r>
      <w:r>
        <w:rPr>
          <w:rFonts w:eastAsiaTheme="minorEastAsia"/>
          <w:bCs/>
          <w:color w:val="auto"/>
          <w:sz w:val="24"/>
          <w:highlight w:val="none"/>
        </w:rPr>
        <w:t>申请</w:t>
      </w:r>
      <w:r>
        <w:rPr>
          <w:rFonts w:eastAsiaTheme="minorEastAsia"/>
          <w:color w:val="auto"/>
          <w:sz w:val="24"/>
          <w:highlight w:val="none"/>
        </w:rPr>
        <w:t>提前毕业。</w:t>
      </w:r>
    </w:p>
    <w:p w14:paraId="3863C9A6">
      <w:pPr>
        <w:spacing w:line="360" w:lineRule="auto"/>
        <w:ind w:firstLine="480" w:firstLineChars="200"/>
        <w:rPr>
          <w:rFonts w:eastAsiaTheme="minorEastAsia"/>
          <w:bCs/>
          <w:color w:val="auto"/>
          <w:sz w:val="24"/>
          <w:highlight w:val="none"/>
        </w:rPr>
      </w:pPr>
      <w:r>
        <w:rPr>
          <w:rFonts w:eastAsiaTheme="minorEastAsia"/>
          <w:bCs/>
          <w:color w:val="auto"/>
          <w:sz w:val="24"/>
          <w:highlight w:val="none"/>
        </w:rPr>
        <w:t>4. 论文答辩。学位（毕业）论文经专家评审合格、通过学位（毕业）答辩，符合毕业资格审查后，准予毕业。</w:t>
      </w:r>
    </w:p>
    <w:p w14:paraId="59384B63">
      <w:pPr>
        <w:spacing w:line="360" w:lineRule="auto"/>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eastAsia="黑体"/>
          <w:bCs/>
          <w:color w:val="auto"/>
          <w:sz w:val="28"/>
          <w:szCs w:val="28"/>
          <w:highlight w:val="none"/>
        </w:rPr>
        <w:t>、创新性成果</w:t>
      </w:r>
    </w:p>
    <w:p w14:paraId="3DC08A7F">
      <w:pPr>
        <w:spacing w:line="360" w:lineRule="auto"/>
        <w:ind w:firstLine="480" w:firstLineChars="200"/>
        <w:rPr>
          <w:i/>
          <w:color w:val="auto"/>
          <w:sz w:val="24"/>
          <w:highlight w:val="none"/>
        </w:rPr>
      </w:pPr>
      <w:r>
        <w:rPr>
          <w:rFonts w:hint="eastAsia"/>
          <w:color w:val="auto"/>
          <w:sz w:val="24"/>
          <w:highlight w:val="none"/>
        </w:rPr>
        <w:t>研究生在</w:t>
      </w:r>
      <w:r>
        <w:rPr>
          <w:color w:val="auto"/>
          <w:sz w:val="24"/>
          <w:highlight w:val="none"/>
          <w:lang w:eastAsia="zh"/>
        </w:rPr>
        <w:t>攻读学位期间</w:t>
      </w:r>
      <w:r>
        <w:rPr>
          <w:rFonts w:hint="eastAsia"/>
          <w:color w:val="auto"/>
          <w:sz w:val="24"/>
          <w:highlight w:val="none"/>
        </w:rPr>
        <w:t>应</w:t>
      </w:r>
      <w:r>
        <w:rPr>
          <w:color w:val="auto"/>
          <w:sz w:val="24"/>
          <w:highlight w:val="none"/>
        </w:rPr>
        <w:t>取得</w:t>
      </w:r>
      <w:r>
        <w:rPr>
          <w:rFonts w:hint="eastAsia"/>
          <w:color w:val="auto"/>
          <w:sz w:val="24"/>
          <w:highlight w:val="none"/>
        </w:rPr>
        <w:t>一定的</w:t>
      </w:r>
      <w:r>
        <w:rPr>
          <w:color w:val="auto"/>
          <w:sz w:val="24"/>
          <w:highlight w:val="none"/>
        </w:rPr>
        <w:t>创新</w:t>
      </w:r>
      <w:r>
        <w:rPr>
          <w:rFonts w:hint="eastAsia"/>
          <w:color w:val="auto"/>
          <w:sz w:val="24"/>
          <w:highlight w:val="none"/>
        </w:rPr>
        <w:t>性</w:t>
      </w:r>
      <w:r>
        <w:rPr>
          <w:color w:val="auto"/>
          <w:sz w:val="24"/>
          <w:highlight w:val="none"/>
        </w:rPr>
        <w:t>成果</w:t>
      </w:r>
      <w:r>
        <w:rPr>
          <w:rFonts w:hint="eastAsia"/>
          <w:color w:val="auto"/>
          <w:sz w:val="24"/>
          <w:highlight w:val="none"/>
        </w:rPr>
        <w:t>，具体要求按照《河北大学公共卫生学院关于研究生申请硕士学位取得创新性成果的规定》执行。</w:t>
      </w:r>
    </w:p>
    <w:p w14:paraId="4EF83460">
      <w:pPr>
        <w:spacing w:line="360" w:lineRule="auto"/>
        <w:ind w:firstLine="560" w:firstLineChars="200"/>
        <w:rPr>
          <w:rFonts w:eastAsia="黑体"/>
          <w:bCs/>
          <w:color w:val="auto"/>
          <w:sz w:val="28"/>
          <w:szCs w:val="28"/>
          <w:highlight w:val="none"/>
        </w:rPr>
      </w:pPr>
      <w:r>
        <w:rPr>
          <w:rFonts w:eastAsia="黑体"/>
          <w:bCs/>
          <w:color w:val="auto"/>
          <w:sz w:val="28"/>
          <w:szCs w:val="28"/>
          <w:highlight w:val="none"/>
        </w:rPr>
        <w:t>十一、学位授予</w:t>
      </w:r>
    </w:p>
    <w:p w14:paraId="311CC91B">
      <w:pPr>
        <w:spacing w:line="360" w:lineRule="auto"/>
        <w:ind w:firstLine="480" w:firstLineChars="200"/>
        <w:rPr>
          <w:rFonts w:eastAsiaTheme="minorEastAsia"/>
          <w:bCs/>
          <w:color w:val="auto"/>
          <w:sz w:val="24"/>
          <w:highlight w:val="none"/>
        </w:rPr>
      </w:pPr>
      <w:r>
        <w:rPr>
          <w:rFonts w:eastAsiaTheme="minorEastAsia"/>
          <w:bCs/>
          <w:color w:val="auto"/>
          <w:sz w:val="24"/>
          <w:highlight w:val="none"/>
        </w:rPr>
        <w:t>研究生通过毕业资格审查，</w:t>
      </w:r>
      <w:r>
        <w:rPr>
          <w:color w:val="auto"/>
          <w:kern w:val="0"/>
          <w:sz w:val="24"/>
          <w:highlight w:val="none"/>
        </w:rPr>
        <w:t>满足本学院制定的创新性成果要求，</w:t>
      </w:r>
      <w:r>
        <w:rPr>
          <w:rFonts w:eastAsiaTheme="minorEastAsia"/>
          <w:bCs/>
          <w:color w:val="auto"/>
          <w:sz w:val="24"/>
          <w:highlight w:val="none"/>
        </w:rPr>
        <w:t>符合</w:t>
      </w:r>
      <w:r>
        <w:rPr>
          <w:color w:val="auto"/>
          <w:kern w:val="0"/>
          <w:sz w:val="24"/>
          <w:highlight w:val="none"/>
        </w:rPr>
        <w:t>《河北大学博士、硕士学位授予工作实施细则》（校政字〔2025〕7号）</w:t>
      </w:r>
      <w:r>
        <w:rPr>
          <w:rFonts w:eastAsiaTheme="minorEastAsia"/>
          <w:bCs/>
          <w:color w:val="auto"/>
          <w:sz w:val="24"/>
          <w:highlight w:val="none"/>
        </w:rPr>
        <w:t>的有关规定，达到学校学位授予标准，经学校学位评定委员会审议，授予硕士学位。</w:t>
      </w:r>
    </w:p>
    <w:p w14:paraId="2A130655">
      <w:pPr>
        <w:spacing w:line="360" w:lineRule="auto"/>
        <w:ind w:firstLine="560" w:firstLineChars="200"/>
        <w:rPr>
          <w:rFonts w:eastAsia="黑体"/>
          <w:bCs/>
          <w:color w:val="auto"/>
          <w:sz w:val="28"/>
          <w:szCs w:val="28"/>
          <w:highlight w:val="none"/>
        </w:rPr>
      </w:pPr>
      <w:r>
        <w:rPr>
          <w:rFonts w:eastAsia="黑体"/>
          <w:bCs/>
          <w:color w:val="auto"/>
          <w:sz w:val="28"/>
          <w:szCs w:val="28"/>
          <w:highlight w:val="none"/>
        </w:rPr>
        <w:t>十</w:t>
      </w:r>
      <w:r>
        <w:rPr>
          <w:rFonts w:hint="eastAsia" w:eastAsia="黑体"/>
          <w:bCs/>
          <w:color w:val="auto"/>
          <w:sz w:val="28"/>
          <w:szCs w:val="28"/>
          <w:highlight w:val="none"/>
        </w:rPr>
        <w:t>二</w:t>
      </w:r>
      <w:r>
        <w:rPr>
          <w:rFonts w:eastAsia="黑体"/>
          <w:bCs/>
          <w:color w:val="auto"/>
          <w:sz w:val="28"/>
          <w:szCs w:val="28"/>
          <w:highlight w:val="none"/>
        </w:rPr>
        <w:t>、学分及课程设置</w:t>
      </w:r>
    </w:p>
    <w:p w14:paraId="5750D8D9">
      <w:pPr>
        <w:spacing w:line="360" w:lineRule="auto"/>
        <w:ind w:firstLine="480" w:firstLineChars="200"/>
        <w:rPr>
          <w:rFonts w:eastAsiaTheme="minorEastAsia"/>
          <w:color w:val="auto"/>
          <w:sz w:val="24"/>
          <w:highlight w:val="none"/>
        </w:rPr>
      </w:pPr>
      <w:r>
        <w:rPr>
          <w:rFonts w:eastAsiaTheme="minorEastAsia"/>
          <w:color w:val="auto"/>
          <w:sz w:val="24"/>
          <w:highlight w:val="none"/>
        </w:rPr>
        <w:t>本专业最低毕业学分为</w:t>
      </w:r>
      <w:r>
        <w:rPr>
          <w:rFonts w:hint="eastAsia" w:eastAsiaTheme="minorEastAsia"/>
          <w:color w:val="auto"/>
          <w:sz w:val="24"/>
          <w:highlight w:val="none"/>
        </w:rPr>
        <w:t>24</w:t>
      </w:r>
      <w:r>
        <w:rPr>
          <w:rFonts w:hint="eastAsia" w:eastAsiaTheme="minorEastAsia"/>
          <w:color w:val="auto"/>
          <w:sz w:val="24"/>
          <w:highlight w:val="none"/>
          <w:lang w:val="en-US" w:eastAsia="zh-CN"/>
        </w:rPr>
        <w:t>学</w:t>
      </w:r>
      <w:r>
        <w:rPr>
          <w:rFonts w:eastAsiaTheme="minorEastAsia"/>
          <w:color w:val="auto"/>
          <w:sz w:val="24"/>
          <w:highlight w:val="none"/>
        </w:rPr>
        <w:t>分，其中学位课</w:t>
      </w:r>
      <w:r>
        <w:rPr>
          <w:rFonts w:hint="eastAsia" w:eastAsiaTheme="minorEastAsia"/>
          <w:color w:val="auto"/>
          <w:sz w:val="24"/>
          <w:highlight w:val="none"/>
        </w:rPr>
        <w:t>14</w:t>
      </w:r>
      <w:r>
        <w:rPr>
          <w:rFonts w:eastAsiaTheme="minorEastAsia"/>
          <w:color w:val="auto"/>
          <w:sz w:val="24"/>
          <w:highlight w:val="none"/>
        </w:rPr>
        <w:t>学分，非学位课</w:t>
      </w:r>
      <w:r>
        <w:rPr>
          <w:rFonts w:hint="eastAsia" w:eastAsiaTheme="minorEastAsia"/>
          <w:color w:val="auto"/>
          <w:sz w:val="24"/>
          <w:highlight w:val="none"/>
        </w:rPr>
        <w:t>8</w:t>
      </w:r>
      <w:r>
        <w:rPr>
          <w:rFonts w:eastAsiaTheme="minorEastAsia"/>
          <w:color w:val="auto"/>
          <w:sz w:val="24"/>
          <w:highlight w:val="none"/>
        </w:rPr>
        <w:t>学分，必修环节</w:t>
      </w:r>
      <w:r>
        <w:rPr>
          <w:rFonts w:hint="eastAsia" w:eastAsiaTheme="minorEastAsia"/>
          <w:color w:val="auto"/>
          <w:sz w:val="24"/>
          <w:highlight w:val="none"/>
        </w:rPr>
        <w:t>2</w:t>
      </w:r>
      <w:r>
        <w:rPr>
          <w:rFonts w:hint="eastAsia" w:eastAsiaTheme="minorEastAsia"/>
          <w:color w:val="auto"/>
          <w:sz w:val="24"/>
          <w:highlight w:val="none"/>
          <w:lang w:val="en-US" w:eastAsia="zh-CN"/>
        </w:rPr>
        <w:t>学</w:t>
      </w:r>
      <w:r>
        <w:rPr>
          <w:rFonts w:eastAsiaTheme="minorEastAsia"/>
          <w:color w:val="auto"/>
          <w:sz w:val="24"/>
          <w:highlight w:val="none"/>
        </w:rPr>
        <w:t>分。</w:t>
      </w:r>
    </w:p>
    <w:p w14:paraId="62F11472">
      <w:pPr>
        <w:spacing w:line="360" w:lineRule="auto"/>
        <w:ind w:firstLine="480" w:firstLineChars="200"/>
        <w:rPr>
          <w:color w:val="auto"/>
          <w:sz w:val="24"/>
          <w:highlight w:val="none"/>
        </w:rPr>
      </w:pPr>
      <w:r>
        <w:rPr>
          <w:rFonts w:eastAsiaTheme="minorEastAsia"/>
          <w:color w:val="auto"/>
          <w:sz w:val="24"/>
          <w:highlight w:val="none"/>
        </w:rPr>
        <w:t>课程考试不设补考环节，</w:t>
      </w:r>
      <w:r>
        <w:rPr>
          <w:color w:val="auto"/>
          <w:sz w:val="24"/>
          <w:highlight w:val="none"/>
        </w:rPr>
        <w:t>考试成绩低于60分的需重修。</w:t>
      </w:r>
    </w:p>
    <w:p w14:paraId="3A353324">
      <w:pPr>
        <w:spacing w:after="0" w:afterLines="-2147483648" w:line="360" w:lineRule="auto"/>
        <w:ind w:firstLine="480" w:firstLineChars="200"/>
        <w:jc w:val="left"/>
        <w:rPr>
          <w:rFonts w:hint="eastAsia" w:eastAsiaTheme="minorEastAsia"/>
          <w:b/>
          <w:bCs/>
          <w:color w:val="auto"/>
          <w:sz w:val="24"/>
          <w:highlight w:val="none"/>
        </w:rPr>
      </w:pPr>
      <w:r>
        <w:rPr>
          <w:iCs/>
          <w:color w:val="auto"/>
          <w:sz w:val="24"/>
          <w:highlight w:val="none"/>
        </w:rPr>
        <w:t>课程考核方式包括考试和考查，</w:t>
      </w:r>
      <w:r>
        <w:rPr>
          <w:rFonts w:eastAsiaTheme="minorEastAsia"/>
          <w:iCs/>
          <w:color w:val="auto"/>
          <w:sz w:val="24"/>
          <w:highlight w:val="none"/>
        </w:rPr>
        <w:t>可以采用口试、笔试或写</w:t>
      </w:r>
      <w:r>
        <w:rPr>
          <w:rFonts w:hint="eastAsia" w:eastAsiaTheme="minorEastAsia"/>
          <w:iCs/>
          <w:color w:val="auto"/>
          <w:sz w:val="24"/>
          <w:highlight w:val="none"/>
        </w:rPr>
        <w:t>调研</w:t>
      </w:r>
      <w:r>
        <w:rPr>
          <w:rFonts w:eastAsiaTheme="minorEastAsia"/>
          <w:iCs/>
          <w:color w:val="auto"/>
          <w:sz w:val="24"/>
          <w:highlight w:val="none"/>
        </w:rPr>
        <w:t>报告、</w:t>
      </w:r>
      <w:r>
        <w:rPr>
          <w:rFonts w:hint="eastAsia" w:eastAsiaTheme="minorEastAsia"/>
          <w:iCs/>
          <w:color w:val="auto"/>
          <w:sz w:val="24"/>
          <w:highlight w:val="none"/>
        </w:rPr>
        <w:t>研究</w:t>
      </w:r>
      <w:r>
        <w:rPr>
          <w:rFonts w:eastAsiaTheme="minorEastAsia"/>
          <w:iCs/>
          <w:color w:val="auto"/>
          <w:sz w:val="24"/>
          <w:highlight w:val="none"/>
        </w:rPr>
        <w:t>论文的形式，但应有</w:t>
      </w:r>
      <w:r>
        <w:rPr>
          <w:rFonts w:hint="eastAsia" w:eastAsiaTheme="minorEastAsia"/>
          <w:iCs/>
          <w:color w:val="auto"/>
          <w:sz w:val="24"/>
          <w:highlight w:val="none"/>
          <w:lang w:val="en-US" w:eastAsia="zh-CN"/>
        </w:rPr>
        <w:t>一</w:t>
      </w:r>
      <w:r>
        <w:rPr>
          <w:rFonts w:eastAsiaTheme="minorEastAsia"/>
          <w:iCs/>
          <w:color w:val="auto"/>
          <w:sz w:val="24"/>
          <w:highlight w:val="none"/>
        </w:rPr>
        <w:t>定数量的笔试</w:t>
      </w:r>
      <w:r>
        <w:rPr>
          <w:rFonts w:hint="eastAsia" w:eastAsiaTheme="minorEastAsia"/>
          <w:iCs/>
          <w:color w:val="auto"/>
          <w:sz w:val="24"/>
          <w:highlight w:val="none"/>
        </w:rPr>
        <w:t>，</w:t>
      </w:r>
      <w:r>
        <w:rPr>
          <w:rFonts w:hint="eastAsia"/>
          <w:iCs/>
          <w:color w:val="auto"/>
          <w:sz w:val="24"/>
          <w:highlight w:val="none"/>
        </w:rPr>
        <w:t>具体考核方式由任课教师根据课程特点确定。所有考核方式必须能够考核学生对所学课程掌握的程度及运用知识的能力。考试成绩均按百分成绩评定。</w:t>
      </w:r>
    </w:p>
    <w:p w14:paraId="1292FBB6">
      <w:pPr>
        <w:spacing w:after="156" w:afterLines="50" w:line="440" w:lineRule="exact"/>
        <w:ind w:firstLine="0" w:firstLineChars="0"/>
        <w:jc w:val="center"/>
        <w:rPr>
          <w:rFonts w:eastAsiaTheme="minorEastAsia"/>
          <w:b/>
          <w:bCs/>
          <w:color w:val="auto"/>
          <w:sz w:val="24"/>
          <w:highlight w:val="none"/>
        </w:rPr>
      </w:pPr>
      <w:r>
        <w:rPr>
          <w:rFonts w:hint="eastAsia" w:eastAsiaTheme="minorEastAsia"/>
          <w:b/>
          <w:bCs/>
          <w:color w:val="auto"/>
          <w:sz w:val="24"/>
          <w:highlight w:val="none"/>
        </w:rPr>
        <w:t>公共卫生</w:t>
      </w:r>
      <w:r>
        <w:rPr>
          <w:rFonts w:eastAsiaTheme="minorEastAsia"/>
          <w:b/>
          <w:bCs/>
          <w:color w:val="auto"/>
          <w:sz w:val="24"/>
          <w:highlight w:val="none"/>
        </w:rPr>
        <w:t>专业全日制专业学位硕士研究生课程及培养环节设置一览表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244"/>
        <w:gridCol w:w="546"/>
        <w:gridCol w:w="709"/>
        <w:gridCol w:w="1045"/>
      </w:tblGrid>
      <w:tr w14:paraId="0B109B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CDC98A2">
            <w:pPr>
              <w:jc w:val="center"/>
              <w:rPr>
                <w:b/>
                <w:color w:val="auto"/>
                <w:szCs w:val="21"/>
                <w:highlight w:val="none"/>
              </w:rPr>
            </w:pPr>
            <w:r>
              <w:rPr>
                <w:b/>
                <w:color w:val="auto"/>
                <w:szCs w:val="21"/>
                <w:highlight w:val="none"/>
              </w:rPr>
              <w:t>课程类别</w:t>
            </w:r>
          </w:p>
        </w:tc>
        <w:tc>
          <w:tcPr>
            <w:tcW w:w="3516" w:type="dxa"/>
            <w:vAlign w:val="center"/>
          </w:tcPr>
          <w:p w14:paraId="71674F82">
            <w:pPr>
              <w:jc w:val="center"/>
              <w:rPr>
                <w:b/>
                <w:color w:val="auto"/>
                <w:szCs w:val="21"/>
                <w:highlight w:val="none"/>
              </w:rPr>
            </w:pPr>
            <w:r>
              <w:rPr>
                <w:b/>
                <w:color w:val="auto"/>
                <w:szCs w:val="21"/>
                <w:highlight w:val="none"/>
              </w:rPr>
              <w:t>课程说明</w:t>
            </w:r>
          </w:p>
        </w:tc>
        <w:tc>
          <w:tcPr>
            <w:tcW w:w="1244" w:type="dxa"/>
            <w:vAlign w:val="center"/>
          </w:tcPr>
          <w:p w14:paraId="06BDB451">
            <w:pPr>
              <w:jc w:val="center"/>
              <w:rPr>
                <w:b/>
                <w:color w:val="auto"/>
                <w:szCs w:val="21"/>
                <w:highlight w:val="none"/>
              </w:rPr>
            </w:pPr>
            <w:r>
              <w:rPr>
                <w:b/>
                <w:color w:val="auto"/>
                <w:szCs w:val="21"/>
                <w:highlight w:val="none"/>
              </w:rPr>
              <w:t>课程编号</w:t>
            </w:r>
          </w:p>
        </w:tc>
        <w:tc>
          <w:tcPr>
            <w:tcW w:w="546" w:type="dxa"/>
            <w:vAlign w:val="center"/>
          </w:tcPr>
          <w:p w14:paraId="1BA0DF7F">
            <w:pPr>
              <w:jc w:val="center"/>
              <w:rPr>
                <w:b/>
                <w:color w:val="auto"/>
                <w:szCs w:val="21"/>
                <w:highlight w:val="none"/>
              </w:rPr>
            </w:pPr>
            <w:r>
              <w:rPr>
                <w:b/>
                <w:color w:val="auto"/>
                <w:szCs w:val="21"/>
                <w:highlight w:val="none"/>
              </w:rPr>
              <w:t>学分</w:t>
            </w:r>
          </w:p>
        </w:tc>
        <w:tc>
          <w:tcPr>
            <w:tcW w:w="709" w:type="dxa"/>
            <w:vAlign w:val="center"/>
          </w:tcPr>
          <w:p w14:paraId="720DD06A">
            <w:pPr>
              <w:jc w:val="center"/>
              <w:rPr>
                <w:b/>
                <w:color w:val="auto"/>
                <w:szCs w:val="21"/>
                <w:highlight w:val="none"/>
              </w:rPr>
            </w:pPr>
            <w:r>
              <w:rPr>
                <w:b/>
                <w:color w:val="auto"/>
                <w:szCs w:val="21"/>
                <w:highlight w:val="none"/>
              </w:rPr>
              <w:t>学期</w:t>
            </w:r>
          </w:p>
        </w:tc>
        <w:tc>
          <w:tcPr>
            <w:tcW w:w="1045" w:type="dxa"/>
            <w:vAlign w:val="center"/>
          </w:tcPr>
          <w:p w14:paraId="22F4E5EA">
            <w:pPr>
              <w:jc w:val="center"/>
              <w:rPr>
                <w:b/>
                <w:color w:val="auto"/>
                <w:szCs w:val="21"/>
                <w:highlight w:val="none"/>
              </w:rPr>
            </w:pPr>
            <w:r>
              <w:rPr>
                <w:b/>
                <w:color w:val="auto"/>
                <w:szCs w:val="21"/>
                <w:highlight w:val="none"/>
              </w:rPr>
              <w:t>备注</w:t>
            </w:r>
          </w:p>
        </w:tc>
      </w:tr>
      <w:tr w14:paraId="1488FE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7F4FA2A">
            <w:pPr>
              <w:jc w:val="center"/>
              <w:rPr>
                <w:b/>
                <w:color w:val="auto"/>
                <w:sz w:val="18"/>
                <w:szCs w:val="18"/>
                <w:highlight w:val="none"/>
              </w:rPr>
            </w:pPr>
            <w:r>
              <w:rPr>
                <w:b/>
                <w:color w:val="auto"/>
                <w:sz w:val="18"/>
                <w:szCs w:val="18"/>
                <w:highlight w:val="none"/>
              </w:rPr>
              <w:t>学位课</w:t>
            </w:r>
          </w:p>
        </w:tc>
        <w:tc>
          <w:tcPr>
            <w:tcW w:w="1226" w:type="dxa"/>
            <w:vMerge w:val="restart"/>
            <w:vAlign w:val="center"/>
          </w:tcPr>
          <w:p w14:paraId="75A426A9">
            <w:pPr>
              <w:jc w:val="center"/>
              <w:rPr>
                <w:b/>
                <w:color w:val="auto"/>
                <w:sz w:val="18"/>
                <w:szCs w:val="18"/>
                <w:highlight w:val="none"/>
              </w:rPr>
            </w:pPr>
            <w:r>
              <w:rPr>
                <w:b/>
                <w:color w:val="auto"/>
                <w:sz w:val="18"/>
                <w:szCs w:val="18"/>
                <w:highlight w:val="none"/>
              </w:rPr>
              <w:t>公共必修课</w:t>
            </w:r>
          </w:p>
          <w:p w14:paraId="5820BF47">
            <w:pPr>
              <w:jc w:val="center"/>
              <w:rPr>
                <w:b/>
                <w:color w:val="auto"/>
                <w:sz w:val="18"/>
                <w:szCs w:val="18"/>
                <w:highlight w:val="none"/>
              </w:rPr>
            </w:pPr>
            <w:r>
              <w:rPr>
                <w:b/>
                <w:color w:val="auto"/>
                <w:sz w:val="18"/>
                <w:szCs w:val="18"/>
                <w:highlight w:val="none"/>
              </w:rPr>
              <w:t>（</w:t>
            </w:r>
            <w:r>
              <w:rPr>
                <w:rFonts w:hint="eastAsia"/>
                <w:b/>
                <w:color w:val="auto"/>
                <w:sz w:val="18"/>
                <w:szCs w:val="18"/>
                <w:highlight w:val="none"/>
              </w:rPr>
              <w:t>4</w:t>
            </w:r>
            <w:r>
              <w:rPr>
                <w:b/>
                <w:color w:val="auto"/>
                <w:sz w:val="18"/>
                <w:szCs w:val="18"/>
                <w:highlight w:val="none"/>
              </w:rPr>
              <w:t>学分）</w:t>
            </w:r>
          </w:p>
        </w:tc>
        <w:tc>
          <w:tcPr>
            <w:tcW w:w="3516" w:type="dxa"/>
            <w:vAlign w:val="center"/>
          </w:tcPr>
          <w:p w14:paraId="15BE4144">
            <w:pPr>
              <w:rPr>
                <w:color w:val="auto"/>
                <w:sz w:val="18"/>
                <w:szCs w:val="18"/>
                <w:highlight w:val="none"/>
              </w:rPr>
            </w:pPr>
            <w:r>
              <w:rPr>
                <w:color w:val="auto"/>
                <w:sz w:val="18"/>
                <w:szCs w:val="18"/>
                <w:highlight w:val="none"/>
              </w:rPr>
              <w:t>新时代中国特色社会主义理论与实践</w:t>
            </w:r>
          </w:p>
        </w:tc>
        <w:tc>
          <w:tcPr>
            <w:tcW w:w="1244" w:type="dxa"/>
            <w:vAlign w:val="center"/>
          </w:tcPr>
          <w:p w14:paraId="6DFFDB2D">
            <w:pPr>
              <w:jc w:val="center"/>
              <w:rPr>
                <w:color w:val="auto"/>
                <w:sz w:val="18"/>
                <w:szCs w:val="18"/>
                <w:highlight w:val="none"/>
              </w:rPr>
            </w:pPr>
            <w:r>
              <w:rPr>
                <w:color w:val="auto"/>
                <w:sz w:val="18"/>
                <w:szCs w:val="18"/>
                <w:highlight w:val="none"/>
              </w:rPr>
              <w:t>TS0000001</w:t>
            </w:r>
          </w:p>
        </w:tc>
        <w:tc>
          <w:tcPr>
            <w:tcW w:w="546" w:type="dxa"/>
            <w:vAlign w:val="center"/>
          </w:tcPr>
          <w:p w14:paraId="04F86F2F">
            <w:pPr>
              <w:jc w:val="center"/>
              <w:rPr>
                <w:color w:val="auto"/>
                <w:sz w:val="18"/>
                <w:szCs w:val="18"/>
                <w:highlight w:val="none"/>
              </w:rPr>
            </w:pPr>
            <w:r>
              <w:rPr>
                <w:color w:val="auto"/>
                <w:sz w:val="18"/>
                <w:szCs w:val="18"/>
                <w:highlight w:val="none"/>
              </w:rPr>
              <w:t>2</w:t>
            </w:r>
          </w:p>
        </w:tc>
        <w:tc>
          <w:tcPr>
            <w:tcW w:w="709" w:type="dxa"/>
            <w:vAlign w:val="center"/>
          </w:tcPr>
          <w:p w14:paraId="25E899BD">
            <w:pPr>
              <w:jc w:val="center"/>
              <w:rPr>
                <w:color w:val="auto"/>
                <w:sz w:val="18"/>
                <w:szCs w:val="18"/>
                <w:highlight w:val="none"/>
              </w:rPr>
            </w:pPr>
            <w:r>
              <w:rPr>
                <w:color w:val="auto"/>
                <w:sz w:val="18"/>
                <w:szCs w:val="18"/>
                <w:highlight w:val="none"/>
              </w:rPr>
              <w:t>1</w:t>
            </w:r>
          </w:p>
        </w:tc>
        <w:tc>
          <w:tcPr>
            <w:tcW w:w="1045" w:type="dxa"/>
            <w:vAlign w:val="center"/>
          </w:tcPr>
          <w:p w14:paraId="7F10358A">
            <w:pPr>
              <w:jc w:val="center"/>
              <w:rPr>
                <w:color w:val="auto"/>
                <w:sz w:val="18"/>
                <w:szCs w:val="18"/>
                <w:highlight w:val="none"/>
              </w:rPr>
            </w:pPr>
            <w:r>
              <w:rPr>
                <w:rFonts w:hint="eastAsia"/>
                <w:color w:val="auto"/>
                <w:sz w:val="18"/>
                <w:szCs w:val="18"/>
                <w:highlight w:val="none"/>
              </w:rPr>
              <w:t>考查</w:t>
            </w:r>
          </w:p>
        </w:tc>
      </w:tr>
      <w:tr w14:paraId="5E63D9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51D3447">
            <w:pPr>
              <w:jc w:val="center"/>
              <w:rPr>
                <w:b/>
                <w:color w:val="auto"/>
                <w:sz w:val="18"/>
                <w:szCs w:val="18"/>
                <w:highlight w:val="none"/>
              </w:rPr>
            </w:pPr>
          </w:p>
        </w:tc>
        <w:tc>
          <w:tcPr>
            <w:tcW w:w="1226" w:type="dxa"/>
            <w:vMerge w:val="continue"/>
            <w:vAlign w:val="center"/>
          </w:tcPr>
          <w:p w14:paraId="1F3639D4">
            <w:pPr>
              <w:jc w:val="center"/>
              <w:rPr>
                <w:b/>
                <w:color w:val="auto"/>
                <w:sz w:val="18"/>
                <w:szCs w:val="18"/>
                <w:highlight w:val="none"/>
              </w:rPr>
            </w:pPr>
          </w:p>
        </w:tc>
        <w:tc>
          <w:tcPr>
            <w:tcW w:w="3516" w:type="dxa"/>
            <w:vAlign w:val="center"/>
          </w:tcPr>
          <w:p w14:paraId="46071A03">
            <w:pPr>
              <w:rPr>
                <w:color w:val="auto"/>
                <w:sz w:val="18"/>
                <w:szCs w:val="18"/>
                <w:highlight w:val="none"/>
              </w:rPr>
            </w:pPr>
            <w:r>
              <w:rPr>
                <w:color w:val="auto"/>
                <w:sz w:val="18"/>
                <w:szCs w:val="18"/>
                <w:highlight w:val="none"/>
              </w:rPr>
              <w:t>通用学术英语</w:t>
            </w:r>
          </w:p>
        </w:tc>
        <w:tc>
          <w:tcPr>
            <w:tcW w:w="1244" w:type="dxa"/>
            <w:vAlign w:val="center"/>
          </w:tcPr>
          <w:p w14:paraId="27DC5067">
            <w:pPr>
              <w:jc w:val="center"/>
              <w:rPr>
                <w:color w:val="auto"/>
                <w:sz w:val="18"/>
                <w:szCs w:val="18"/>
                <w:highlight w:val="none"/>
              </w:rPr>
            </w:pPr>
            <w:r>
              <w:rPr>
                <w:color w:val="auto"/>
                <w:sz w:val="18"/>
                <w:szCs w:val="18"/>
                <w:highlight w:val="none"/>
              </w:rPr>
              <w:t>TS0000002</w:t>
            </w:r>
          </w:p>
        </w:tc>
        <w:tc>
          <w:tcPr>
            <w:tcW w:w="546" w:type="dxa"/>
            <w:vAlign w:val="center"/>
          </w:tcPr>
          <w:p w14:paraId="481DD2F6">
            <w:pPr>
              <w:jc w:val="center"/>
              <w:rPr>
                <w:color w:val="auto"/>
                <w:sz w:val="18"/>
                <w:szCs w:val="18"/>
                <w:highlight w:val="none"/>
              </w:rPr>
            </w:pPr>
            <w:r>
              <w:rPr>
                <w:color w:val="auto"/>
                <w:sz w:val="18"/>
                <w:szCs w:val="18"/>
                <w:highlight w:val="none"/>
              </w:rPr>
              <w:t>2</w:t>
            </w:r>
          </w:p>
        </w:tc>
        <w:tc>
          <w:tcPr>
            <w:tcW w:w="709" w:type="dxa"/>
            <w:vAlign w:val="center"/>
          </w:tcPr>
          <w:p w14:paraId="4BC0834D">
            <w:pPr>
              <w:jc w:val="center"/>
              <w:rPr>
                <w:color w:val="auto"/>
                <w:sz w:val="18"/>
                <w:szCs w:val="18"/>
                <w:highlight w:val="none"/>
              </w:rPr>
            </w:pPr>
            <w:r>
              <w:rPr>
                <w:color w:val="auto"/>
                <w:sz w:val="18"/>
                <w:szCs w:val="18"/>
                <w:highlight w:val="none"/>
              </w:rPr>
              <w:t>1</w:t>
            </w:r>
          </w:p>
        </w:tc>
        <w:tc>
          <w:tcPr>
            <w:tcW w:w="1045" w:type="dxa"/>
            <w:vAlign w:val="center"/>
          </w:tcPr>
          <w:p w14:paraId="2EBECD16">
            <w:pPr>
              <w:jc w:val="center"/>
              <w:rPr>
                <w:color w:val="auto"/>
                <w:sz w:val="18"/>
                <w:szCs w:val="18"/>
                <w:highlight w:val="none"/>
              </w:rPr>
            </w:pPr>
            <w:r>
              <w:rPr>
                <w:rFonts w:hint="eastAsia"/>
                <w:color w:val="auto"/>
                <w:sz w:val="18"/>
                <w:szCs w:val="18"/>
                <w:highlight w:val="none"/>
              </w:rPr>
              <w:t>考查</w:t>
            </w:r>
          </w:p>
        </w:tc>
      </w:tr>
      <w:tr w14:paraId="4C5FBB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A8610A3">
            <w:pPr>
              <w:jc w:val="center"/>
              <w:rPr>
                <w:b/>
                <w:color w:val="auto"/>
                <w:sz w:val="18"/>
                <w:szCs w:val="18"/>
                <w:highlight w:val="none"/>
              </w:rPr>
            </w:pPr>
          </w:p>
        </w:tc>
        <w:tc>
          <w:tcPr>
            <w:tcW w:w="1226" w:type="dxa"/>
            <w:vAlign w:val="center"/>
          </w:tcPr>
          <w:p w14:paraId="34DB989C">
            <w:pPr>
              <w:jc w:val="center"/>
              <w:rPr>
                <w:b/>
                <w:color w:val="auto"/>
                <w:sz w:val="18"/>
                <w:szCs w:val="18"/>
                <w:highlight w:val="none"/>
              </w:rPr>
            </w:pPr>
            <w:r>
              <w:rPr>
                <w:b/>
                <w:color w:val="auto"/>
                <w:sz w:val="18"/>
                <w:szCs w:val="18"/>
                <w:highlight w:val="none"/>
              </w:rPr>
              <w:t>学科基础课</w:t>
            </w:r>
          </w:p>
          <w:p w14:paraId="49BB9802">
            <w:pPr>
              <w:jc w:val="center"/>
              <w:rPr>
                <w:b/>
                <w:color w:val="auto"/>
                <w:sz w:val="18"/>
                <w:szCs w:val="18"/>
                <w:highlight w:val="none"/>
              </w:rPr>
            </w:pPr>
            <w:r>
              <w:rPr>
                <w:b/>
                <w:color w:val="auto"/>
                <w:sz w:val="18"/>
                <w:szCs w:val="18"/>
                <w:highlight w:val="none"/>
              </w:rPr>
              <w:t>（</w:t>
            </w:r>
            <w:r>
              <w:rPr>
                <w:rFonts w:hint="eastAsia"/>
                <w:b/>
                <w:color w:val="auto"/>
                <w:sz w:val="18"/>
                <w:szCs w:val="18"/>
                <w:highlight w:val="none"/>
              </w:rPr>
              <w:t>2</w:t>
            </w:r>
            <w:r>
              <w:rPr>
                <w:b/>
                <w:color w:val="auto"/>
                <w:sz w:val="18"/>
                <w:szCs w:val="18"/>
                <w:highlight w:val="none"/>
              </w:rPr>
              <w:t>学分）</w:t>
            </w:r>
          </w:p>
        </w:tc>
        <w:tc>
          <w:tcPr>
            <w:tcW w:w="3516" w:type="dxa"/>
            <w:vAlign w:val="center"/>
          </w:tcPr>
          <w:p w14:paraId="5CA5EB85">
            <w:pPr>
              <w:rPr>
                <w:color w:val="auto"/>
                <w:sz w:val="18"/>
                <w:szCs w:val="18"/>
                <w:highlight w:val="none"/>
              </w:rPr>
            </w:pPr>
            <w:r>
              <w:rPr>
                <w:color w:val="auto"/>
                <w:sz w:val="18"/>
                <w:szCs w:val="18"/>
                <w:highlight w:val="none"/>
              </w:rPr>
              <w:t>学术道德与论文写作</w:t>
            </w:r>
          </w:p>
        </w:tc>
        <w:tc>
          <w:tcPr>
            <w:tcW w:w="1244" w:type="dxa"/>
            <w:vAlign w:val="center"/>
          </w:tcPr>
          <w:p w14:paraId="0FEEA383">
            <w:pPr>
              <w:jc w:val="center"/>
              <w:rPr>
                <w:i/>
                <w:color w:val="auto"/>
                <w:sz w:val="18"/>
                <w:szCs w:val="18"/>
                <w:highlight w:val="none"/>
              </w:rPr>
            </w:pPr>
            <w:r>
              <w:rPr>
                <w:rFonts w:hint="eastAsia"/>
                <w:color w:val="auto"/>
                <w:sz w:val="18"/>
                <w:szCs w:val="18"/>
                <w:highlight w:val="none"/>
              </w:rPr>
              <w:t>ZS2103001</w:t>
            </w:r>
          </w:p>
        </w:tc>
        <w:tc>
          <w:tcPr>
            <w:tcW w:w="546" w:type="dxa"/>
            <w:vAlign w:val="center"/>
          </w:tcPr>
          <w:p w14:paraId="22F909D8">
            <w:pPr>
              <w:jc w:val="center"/>
              <w:rPr>
                <w:color w:val="auto"/>
                <w:sz w:val="18"/>
                <w:szCs w:val="18"/>
                <w:highlight w:val="none"/>
              </w:rPr>
            </w:pPr>
            <w:r>
              <w:rPr>
                <w:color w:val="auto"/>
                <w:sz w:val="18"/>
                <w:szCs w:val="18"/>
                <w:highlight w:val="none"/>
              </w:rPr>
              <w:t>2</w:t>
            </w:r>
          </w:p>
        </w:tc>
        <w:tc>
          <w:tcPr>
            <w:tcW w:w="709" w:type="dxa"/>
            <w:vAlign w:val="center"/>
          </w:tcPr>
          <w:p w14:paraId="41BC99BA">
            <w:pPr>
              <w:jc w:val="center"/>
              <w:rPr>
                <w:color w:val="auto"/>
                <w:sz w:val="18"/>
                <w:szCs w:val="18"/>
                <w:highlight w:val="none"/>
              </w:rPr>
            </w:pPr>
            <w:r>
              <w:rPr>
                <w:color w:val="auto"/>
                <w:sz w:val="18"/>
                <w:szCs w:val="18"/>
                <w:highlight w:val="none"/>
              </w:rPr>
              <w:t>1</w:t>
            </w:r>
          </w:p>
        </w:tc>
        <w:tc>
          <w:tcPr>
            <w:tcW w:w="1045" w:type="dxa"/>
            <w:vAlign w:val="center"/>
          </w:tcPr>
          <w:p w14:paraId="515C02EA">
            <w:pPr>
              <w:jc w:val="center"/>
              <w:rPr>
                <w:i/>
                <w:color w:val="auto"/>
                <w:sz w:val="18"/>
                <w:szCs w:val="18"/>
                <w:highlight w:val="none"/>
              </w:rPr>
            </w:pPr>
            <w:r>
              <w:rPr>
                <w:rFonts w:hint="eastAsia"/>
                <w:color w:val="auto"/>
                <w:sz w:val="18"/>
                <w:szCs w:val="18"/>
                <w:highlight w:val="none"/>
              </w:rPr>
              <w:t>考查</w:t>
            </w:r>
          </w:p>
        </w:tc>
      </w:tr>
      <w:tr w14:paraId="7CD0B2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3006247">
            <w:pPr>
              <w:jc w:val="center"/>
              <w:rPr>
                <w:b/>
                <w:color w:val="auto"/>
                <w:sz w:val="18"/>
                <w:szCs w:val="18"/>
                <w:highlight w:val="none"/>
              </w:rPr>
            </w:pPr>
          </w:p>
        </w:tc>
        <w:tc>
          <w:tcPr>
            <w:tcW w:w="1226" w:type="dxa"/>
            <w:vMerge w:val="restart"/>
            <w:vAlign w:val="center"/>
          </w:tcPr>
          <w:p w14:paraId="5E3ADF2A">
            <w:pPr>
              <w:jc w:val="center"/>
              <w:rPr>
                <w:b/>
                <w:color w:val="auto"/>
                <w:sz w:val="18"/>
                <w:szCs w:val="18"/>
                <w:highlight w:val="none"/>
              </w:rPr>
            </w:pPr>
            <w:r>
              <w:rPr>
                <w:b/>
                <w:color w:val="auto"/>
                <w:sz w:val="18"/>
                <w:szCs w:val="18"/>
                <w:highlight w:val="none"/>
              </w:rPr>
              <w:t>专业必修课</w:t>
            </w:r>
          </w:p>
          <w:p w14:paraId="4A411862">
            <w:pPr>
              <w:jc w:val="center"/>
              <w:rPr>
                <w:b/>
                <w:color w:val="auto"/>
                <w:sz w:val="18"/>
                <w:szCs w:val="18"/>
                <w:highlight w:val="none"/>
              </w:rPr>
            </w:pPr>
            <w:r>
              <w:rPr>
                <w:b/>
                <w:color w:val="auto"/>
                <w:sz w:val="18"/>
                <w:szCs w:val="18"/>
                <w:highlight w:val="none"/>
              </w:rPr>
              <w:t>（</w:t>
            </w:r>
            <w:r>
              <w:rPr>
                <w:rFonts w:hint="eastAsia"/>
                <w:b/>
                <w:color w:val="auto"/>
                <w:sz w:val="18"/>
                <w:szCs w:val="18"/>
                <w:highlight w:val="none"/>
              </w:rPr>
              <w:t>8</w:t>
            </w:r>
            <w:r>
              <w:rPr>
                <w:b/>
                <w:color w:val="auto"/>
                <w:sz w:val="18"/>
                <w:szCs w:val="18"/>
                <w:highlight w:val="none"/>
              </w:rPr>
              <w:t>学分）</w:t>
            </w:r>
          </w:p>
        </w:tc>
        <w:tc>
          <w:tcPr>
            <w:tcW w:w="3516" w:type="dxa"/>
            <w:vAlign w:val="center"/>
          </w:tcPr>
          <w:p w14:paraId="267DDE17">
            <w:pPr>
              <w:spacing w:line="360" w:lineRule="exact"/>
              <w:jc w:val="left"/>
              <w:rPr>
                <w:color w:val="auto"/>
                <w:highlight w:val="none"/>
              </w:rPr>
            </w:pPr>
            <w:r>
              <w:rPr>
                <w:rFonts w:hint="eastAsia"/>
                <w:color w:val="auto"/>
                <w:sz w:val="18"/>
                <w:szCs w:val="18"/>
                <w:highlight w:val="none"/>
              </w:rPr>
              <w:t>公共卫生理论与实践</w:t>
            </w:r>
          </w:p>
        </w:tc>
        <w:tc>
          <w:tcPr>
            <w:tcW w:w="1244" w:type="dxa"/>
            <w:vAlign w:val="center"/>
          </w:tcPr>
          <w:p w14:paraId="0D087C30">
            <w:pPr>
              <w:spacing w:line="360" w:lineRule="exact"/>
              <w:jc w:val="center"/>
              <w:rPr>
                <w:color w:val="auto"/>
                <w:sz w:val="18"/>
                <w:szCs w:val="18"/>
                <w:highlight w:val="none"/>
              </w:rPr>
            </w:pPr>
            <w:r>
              <w:rPr>
                <w:rFonts w:hint="eastAsia"/>
                <w:color w:val="auto"/>
                <w:sz w:val="18"/>
                <w:szCs w:val="18"/>
                <w:highlight w:val="none"/>
              </w:rPr>
              <w:t>ZS2103002</w:t>
            </w:r>
          </w:p>
        </w:tc>
        <w:tc>
          <w:tcPr>
            <w:tcW w:w="546" w:type="dxa"/>
            <w:vAlign w:val="center"/>
          </w:tcPr>
          <w:p w14:paraId="21921038">
            <w:pPr>
              <w:spacing w:line="360" w:lineRule="exact"/>
              <w:jc w:val="center"/>
              <w:rPr>
                <w:color w:val="auto"/>
                <w:sz w:val="18"/>
                <w:szCs w:val="18"/>
                <w:highlight w:val="none"/>
              </w:rPr>
            </w:pPr>
            <w:r>
              <w:rPr>
                <w:rFonts w:hint="eastAsia"/>
                <w:color w:val="auto"/>
                <w:sz w:val="18"/>
                <w:szCs w:val="18"/>
                <w:highlight w:val="none"/>
              </w:rPr>
              <w:t>2</w:t>
            </w:r>
          </w:p>
        </w:tc>
        <w:tc>
          <w:tcPr>
            <w:tcW w:w="709" w:type="dxa"/>
            <w:vAlign w:val="center"/>
          </w:tcPr>
          <w:p w14:paraId="3618894F">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5E988153">
            <w:pPr>
              <w:spacing w:line="360" w:lineRule="auto"/>
              <w:jc w:val="center"/>
              <w:rPr>
                <w:color w:val="auto"/>
                <w:sz w:val="18"/>
                <w:szCs w:val="18"/>
                <w:highlight w:val="none"/>
              </w:rPr>
            </w:pPr>
            <w:r>
              <w:rPr>
                <w:rFonts w:hint="eastAsia"/>
                <w:color w:val="auto"/>
                <w:sz w:val="18"/>
                <w:szCs w:val="18"/>
                <w:highlight w:val="none"/>
              </w:rPr>
              <w:t>考试</w:t>
            </w:r>
          </w:p>
        </w:tc>
      </w:tr>
      <w:tr w14:paraId="079AB9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248BA5A">
            <w:pPr>
              <w:jc w:val="center"/>
              <w:rPr>
                <w:b/>
                <w:color w:val="auto"/>
                <w:sz w:val="18"/>
                <w:szCs w:val="18"/>
                <w:highlight w:val="none"/>
              </w:rPr>
            </w:pPr>
          </w:p>
        </w:tc>
        <w:tc>
          <w:tcPr>
            <w:tcW w:w="1226" w:type="dxa"/>
            <w:vMerge w:val="continue"/>
            <w:vAlign w:val="center"/>
          </w:tcPr>
          <w:p w14:paraId="4A917F43">
            <w:pPr>
              <w:jc w:val="center"/>
              <w:rPr>
                <w:b/>
                <w:color w:val="auto"/>
                <w:sz w:val="18"/>
                <w:szCs w:val="18"/>
                <w:highlight w:val="none"/>
              </w:rPr>
            </w:pPr>
          </w:p>
        </w:tc>
        <w:tc>
          <w:tcPr>
            <w:tcW w:w="3516" w:type="dxa"/>
            <w:vAlign w:val="center"/>
          </w:tcPr>
          <w:p w14:paraId="28447BE0">
            <w:pPr>
              <w:adjustRightInd w:val="0"/>
              <w:snapToGrid w:val="0"/>
              <w:rPr>
                <w:i/>
                <w:color w:val="auto"/>
                <w:sz w:val="18"/>
                <w:szCs w:val="18"/>
                <w:highlight w:val="none"/>
              </w:rPr>
            </w:pPr>
            <w:r>
              <w:rPr>
                <w:rFonts w:hint="eastAsia"/>
                <w:color w:val="auto"/>
                <w:sz w:val="18"/>
                <w:szCs w:val="18"/>
                <w:highlight w:val="none"/>
              </w:rPr>
              <w:t>流行病学Ⅱ</w:t>
            </w:r>
          </w:p>
        </w:tc>
        <w:tc>
          <w:tcPr>
            <w:tcW w:w="1244" w:type="dxa"/>
            <w:vAlign w:val="center"/>
          </w:tcPr>
          <w:p w14:paraId="21D7EDD2">
            <w:pPr>
              <w:jc w:val="center"/>
              <w:rPr>
                <w:i/>
                <w:color w:val="auto"/>
                <w:sz w:val="18"/>
                <w:szCs w:val="18"/>
                <w:highlight w:val="none"/>
              </w:rPr>
            </w:pPr>
            <w:r>
              <w:rPr>
                <w:rFonts w:hint="eastAsia"/>
                <w:color w:val="auto"/>
                <w:sz w:val="18"/>
                <w:szCs w:val="18"/>
                <w:highlight w:val="none"/>
              </w:rPr>
              <w:t>ZS2103003</w:t>
            </w:r>
          </w:p>
        </w:tc>
        <w:tc>
          <w:tcPr>
            <w:tcW w:w="546" w:type="dxa"/>
            <w:vAlign w:val="center"/>
          </w:tcPr>
          <w:p w14:paraId="38E31654">
            <w:pPr>
              <w:spacing w:line="360" w:lineRule="exact"/>
              <w:jc w:val="center"/>
              <w:rPr>
                <w:color w:val="auto"/>
                <w:sz w:val="18"/>
                <w:szCs w:val="18"/>
                <w:highlight w:val="none"/>
              </w:rPr>
            </w:pPr>
            <w:r>
              <w:rPr>
                <w:rFonts w:hint="eastAsia"/>
                <w:color w:val="auto"/>
                <w:sz w:val="18"/>
                <w:szCs w:val="18"/>
                <w:highlight w:val="none"/>
              </w:rPr>
              <w:t>3</w:t>
            </w:r>
          </w:p>
        </w:tc>
        <w:tc>
          <w:tcPr>
            <w:tcW w:w="709" w:type="dxa"/>
            <w:vAlign w:val="center"/>
          </w:tcPr>
          <w:p w14:paraId="5BB7D880">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6F151694">
            <w:pPr>
              <w:spacing w:line="360" w:lineRule="auto"/>
              <w:jc w:val="center"/>
              <w:rPr>
                <w:i/>
                <w:color w:val="auto"/>
                <w:sz w:val="18"/>
                <w:szCs w:val="18"/>
                <w:highlight w:val="none"/>
              </w:rPr>
            </w:pPr>
            <w:r>
              <w:rPr>
                <w:rFonts w:hint="eastAsia"/>
                <w:color w:val="auto"/>
                <w:sz w:val="18"/>
                <w:szCs w:val="18"/>
                <w:highlight w:val="none"/>
              </w:rPr>
              <w:t>考试</w:t>
            </w:r>
          </w:p>
        </w:tc>
      </w:tr>
      <w:tr w14:paraId="5D2F14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341BF51">
            <w:pPr>
              <w:jc w:val="center"/>
              <w:rPr>
                <w:b/>
                <w:color w:val="auto"/>
                <w:sz w:val="18"/>
                <w:szCs w:val="18"/>
                <w:highlight w:val="none"/>
              </w:rPr>
            </w:pPr>
          </w:p>
        </w:tc>
        <w:tc>
          <w:tcPr>
            <w:tcW w:w="1226" w:type="dxa"/>
            <w:vMerge w:val="continue"/>
            <w:vAlign w:val="center"/>
          </w:tcPr>
          <w:p w14:paraId="083DC496">
            <w:pPr>
              <w:jc w:val="center"/>
              <w:rPr>
                <w:b/>
                <w:color w:val="auto"/>
                <w:sz w:val="18"/>
                <w:szCs w:val="18"/>
                <w:highlight w:val="none"/>
              </w:rPr>
            </w:pPr>
          </w:p>
        </w:tc>
        <w:tc>
          <w:tcPr>
            <w:tcW w:w="3516" w:type="dxa"/>
            <w:vAlign w:val="center"/>
          </w:tcPr>
          <w:p w14:paraId="52A35A08">
            <w:pPr>
              <w:adjustRightInd w:val="0"/>
              <w:snapToGrid w:val="0"/>
              <w:rPr>
                <w:color w:val="auto"/>
                <w:highlight w:val="none"/>
              </w:rPr>
            </w:pPr>
            <w:r>
              <w:rPr>
                <w:rFonts w:hint="eastAsia"/>
                <w:color w:val="auto"/>
                <w:sz w:val="18"/>
                <w:szCs w:val="18"/>
                <w:highlight w:val="none"/>
              </w:rPr>
              <w:t>生物统计学Ⅱ</w:t>
            </w:r>
          </w:p>
        </w:tc>
        <w:tc>
          <w:tcPr>
            <w:tcW w:w="1244" w:type="dxa"/>
            <w:vAlign w:val="center"/>
          </w:tcPr>
          <w:p w14:paraId="0784892D">
            <w:pPr>
              <w:jc w:val="center"/>
              <w:rPr>
                <w:color w:val="auto"/>
                <w:sz w:val="18"/>
                <w:szCs w:val="18"/>
                <w:highlight w:val="none"/>
              </w:rPr>
            </w:pPr>
            <w:r>
              <w:rPr>
                <w:rFonts w:hint="eastAsia"/>
                <w:color w:val="auto"/>
                <w:sz w:val="18"/>
                <w:szCs w:val="18"/>
                <w:highlight w:val="none"/>
              </w:rPr>
              <w:t>ZS2103004</w:t>
            </w:r>
          </w:p>
        </w:tc>
        <w:tc>
          <w:tcPr>
            <w:tcW w:w="546" w:type="dxa"/>
            <w:vAlign w:val="center"/>
          </w:tcPr>
          <w:p w14:paraId="7EB075D1">
            <w:pPr>
              <w:spacing w:line="360" w:lineRule="exact"/>
              <w:jc w:val="center"/>
              <w:rPr>
                <w:color w:val="auto"/>
                <w:sz w:val="18"/>
                <w:szCs w:val="18"/>
                <w:highlight w:val="none"/>
              </w:rPr>
            </w:pPr>
            <w:r>
              <w:rPr>
                <w:rFonts w:hint="eastAsia"/>
                <w:color w:val="auto"/>
                <w:sz w:val="18"/>
                <w:szCs w:val="18"/>
                <w:highlight w:val="none"/>
              </w:rPr>
              <w:t>3</w:t>
            </w:r>
          </w:p>
        </w:tc>
        <w:tc>
          <w:tcPr>
            <w:tcW w:w="709" w:type="dxa"/>
            <w:vAlign w:val="center"/>
          </w:tcPr>
          <w:p w14:paraId="2BD6F87B">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7C375444">
            <w:pPr>
              <w:spacing w:line="360" w:lineRule="auto"/>
              <w:jc w:val="center"/>
              <w:rPr>
                <w:color w:val="auto"/>
                <w:sz w:val="18"/>
                <w:szCs w:val="18"/>
                <w:highlight w:val="none"/>
              </w:rPr>
            </w:pPr>
            <w:r>
              <w:rPr>
                <w:rFonts w:hint="eastAsia"/>
                <w:color w:val="auto"/>
                <w:sz w:val="18"/>
                <w:szCs w:val="18"/>
                <w:highlight w:val="none"/>
              </w:rPr>
              <w:t>考试</w:t>
            </w:r>
          </w:p>
        </w:tc>
      </w:tr>
      <w:tr w14:paraId="3387FB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48" w:hRule="atLeast"/>
          <w:jc w:val="center"/>
        </w:trPr>
        <w:tc>
          <w:tcPr>
            <w:tcW w:w="571" w:type="dxa"/>
            <w:vMerge w:val="restart"/>
            <w:vAlign w:val="center"/>
          </w:tcPr>
          <w:p w14:paraId="5CAA4D61">
            <w:pPr>
              <w:jc w:val="center"/>
              <w:rPr>
                <w:b/>
                <w:color w:val="auto"/>
                <w:sz w:val="18"/>
                <w:szCs w:val="18"/>
                <w:highlight w:val="none"/>
              </w:rPr>
            </w:pPr>
            <w:r>
              <w:rPr>
                <w:b/>
                <w:color w:val="auto"/>
                <w:sz w:val="18"/>
                <w:szCs w:val="18"/>
                <w:highlight w:val="none"/>
              </w:rPr>
              <w:t>非学位课</w:t>
            </w:r>
          </w:p>
        </w:tc>
        <w:tc>
          <w:tcPr>
            <w:tcW w:w="1226" w:type="dxa"/>
            <w:vMerge w:val="restart"/>
            <w:vAlign w:val="center"/>
          </w:tcPr>
          <w:p w14:paraId="1E724E18">
            <w:pPr>
              <w:jc w:val="center"/>
              <w:rPr>
                <w:b/>
                <w:color w:val="auto"/>
                <w:sz w:val="18"/>
                <w:szCs w:val="18"/>
                <w:highlight w:val="none"/>
              </w:rPr>
            </w:pPr>
            <w:r>
              <w:rPr>
                <w:b/>
                <w:color w:val="auto"/>
                <w:sz w:val="18"/>
                <w:szCs w:val="18"/>
                <w:highlight w:val="none"/>
              </w:rPr>
              <w:t>公共通识课</w:t>
            </w:r>
          </w:p>
          <w:p w14:paraId="2CA78421">
            <w:pPr>
              <w:jc w:val="center"/>
              <w:rPr>
                <w:b/>
                <w:color w:val="auto"/>
                <w:sz w:val="18"/>
                <w:szCs w:val="18"/>
                <w:highlight w:val="none"/>
              </w:rPr>
            </w:pPr>
            <w:r>
              <w:rPr>
                <w:b/>
                <w:color w:val="auto"/>
                <w:sz w:val="18"/>
                <w:szCs w:val="18"/>
                <w:highlight w:val="none"/>
              </w:rPr>
              <w:t>（2学分）</w:t>
            </w:r>
          </w:p>
        </w:tc>
        <w:tc>
          <w:tcPr>
            <w:tcW w:w="3516" w:type="dxa"/>
            <w:vAlign w:val="center"/>
          </w:tcPr>
          <w:p w14:paraId="1529BCC7">
            <w:pPr>
              <w:rPr>
                <w:color w:val="auto"/>
                <w:sz w:val="18"/>
                <w:szCs w:val="18"/>
                <w:highlight w:val="none"/>
              </w:rPr>
            </w:pPr>
            <w:r>
              <w:rPr>
                <w:color w:val="auto"/>
                <w:sz w:val="18"/>
                <w:szCs w:val="18"/>
                <w:highlight w:val="none"/>
              </w:rPr>
              <w:t>《习近平谈治国理政》研读</w:t>
            </w:r>
          </w:p>
        </w:tc>
        <w:tc>
          <w:tcPr>
            <w:tcW w:w="1244" w:type="dxa"/>
            <w:vAlign w:val="center"/>
          </w:tcPr>
          <w:p w14:paraId="07797EDE">
            <w:pPr>
              <w:jc w:val="center"/>
              <w:rPr>
                <w:color w:val="auto"/>
                <w:sz w:val="18"/>
                <w:szCs w:val="18"/>
                <w:highlight w:val="none"/>
              </w:rPr>
            </w:pPr>
            <w:r>
              <w:rPr>
                <w:color w:val="auto"/>
                <w:sz w:val="18"/>
                <w:szCs w:val="18"/>
                <w:highlight w:val="none"/>
              </w:rPr>
              <w:t>TT0000101</w:t>
            </w:r>
          </w:p>
        </w:tc>
        <w:tc>
          <w:tcPr>
            <w:tcW w:w="546" w:type="dxa"/>
            <w:vAlign w:val="center"/>
          </w:tcPr>
          <w:p w14:paraId="5B32E12D">
            <w:pPr>
              <w:jc w:val="center"/>
              <w:rPr>
                <w:color w:val="auto"/>
                <w:sz w:val="18"/>
                <w:szCs w:val="18"/>
                <w:highlight w:val="none"/>
              </w:rPr>
            </w:pPr>
            <w:r>
              <w:rPr>
                <w:color w:val="auto"/>
                <w:sz w:val="18"/>
                <w:szCs w:val="18"/>
                <w:highlight w:val="none"/>
              </w:rPr>
              <w:t>1</w:t>
            </w:r>
          </w:p>
        </w:tc>
        <w:tc>
          <w:tcPr>
            <w:tcW w:w="709" w:type="dxa"/>
            <w:vAlign w:val="center"/>
          </w:tcPr>
          <w:p w14:paraId="4B9E55AB">
            <w:pPr>
              <w:jc w:val="center"/>
              <w:rPr>
                <w:color w:val="auto"/>
                <w:sz w:val="18"/>
                <w:szCs w:val="18"/>
                <w:highlight w:val="none"/>
              </w:rPr>
            </w:pPr>
            <w:r>
              <w:rPr>
                <w:color w:val="auto"/>
                <w:sz w:val="18"/>
                <w:szCs w:val="18"/>
                <w:highlight w:val="none"/>
              </w:rPr>
              <w:t>2</w:t>
            </w:r>
          </w:p>
        </w:tc>
        <w:tc>
          <w:tcPr>
            <w:tcW w:w="1045" w:type="dxa"/>
            <w:vAlign w:val="center"/>
          </w:tcPr>
          <w:p w14:paraId="7461C246">
            <w:pPr>
              <w:jc w:val="center"/>
              <w:rPr>
                <w:color w:val="auto"/>
                <w:sz w:val="18"/>
                <w:szCs w:val="18"/>
                <w:highlight w:val="none"/>
              </w:rPr>
            </w:pPr>
            <w:r>
              <w:rPr>
                <w:color w:val="auto"/>
                <w:sz w:val="18"/>
                <w:szCs w:val="18"/>
                <w:highlight w:val="none"/>
              </w:rPr>
              <w:t>考查</w:t>
            </w:r>
          </w:p>
        </w:tc>
      </w:tr>
      <w:tr w14:paraId="107E9D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3E10F488">
            <w:pPr>
              <w:jc w:val="center"/>
              <w:rPr>
                <w:b/>
                <w:color w:val="auto"/>
                <w:sz w:val="18"/>
                <w:szCs w:val="18"/>
                <w:highlight w:val="none"/>
              </w:rPr>
            </w:pPr>
          </w:p>
        </w:tc>
        <w:tc>
          <w:tcPr>
            <w:tcW w:w="1226" w:type="dxa"/>
            <w:vMerge w:val="continue"/>
            <w:vAlign w:val="center"/>
          </w:tcPr>
          <w:p w14:paraId="614E9C8C">
            <w:pPr>
              <w:jc w:val="center"/>
              <w:rPr>
                <w:b/>
                <w:color w:val="auto"/>
                <w:sz w:val="18"/>
                <w:szCs w:val="18"/>
                <w:highlight w:val="none"/>
              </w:rPr>
            </w:pPr>
          </w:p>
        </w:tc>
        <w:tc>
          <w:tcPr>
            <w:tcW w:w="3516" w:type="dxa"/>
            <w:vAlign w:val="center"/>
          </w:tcPr>
          <w:p w14:paraId="7449D185">
            <w:pPr>
              <w:adjustRightInd w:val="0"/>
              <w:rPr>
                <w:color w:val="auto"/>
                <w:sz w:val="18"/>
                <w:szCs w:val="18"/>
                <w:highlight w:val="none"/>
              </w:rPr>
            </w:pPr>
            <w:r>
              <w:rPr>
                <w:color w:val="auto"/>
                <w:sz w:val="18"/>
                <w:szCs w:val="18"/>
                <w:highlight w:val="none"/>
              </w:rPr>
              <w:t>自然辩证法概论</w:t>
            </w:r>
          </w:p>
        </w:tc>
        <w:tc>
          <w:tcPr>
            <w:tcW w:w="1244" w:type="dxa"/>
            <w:vAlign w:val="center"/>
          </w:tcPr>
          <w:p w14:paraId="02A9BF08">
            <w:pPr>
              <w:jc w:val="center"/>
              <w:rPr>
                <w:color w:val="auto"/>
                <w:sz w:val="18"/>
                <w:szCs w:val="18"/>
                <w:highlight w:val="none"/>
              </w:rPr>
            </w:pPr>
            <w:r>
              <w:rPr>
                <w:color w:val="auto"/>
                <w:sz w:val="18"/>
                <w:szCs w:val="18"/>
                <w:highlight w:val="none"/>
              </w:rPr>
              <w:t>TS0000102</w:t>
            </w:r>
          </w:p>
        </w:tc>
        <w:tc>
          <w:tcPr>
            <w:tcW w:w="546" w:type="dxa"/>
            <w:vAlign w:val="center"/>
          </w:tcPr>
          <w:p w14:paraId="6BA1F7FD">
            <w:pPr>
              <w:jc w:val="center"/>
              <w:rPr>
                <w:color w:val="auto"/>
                <w:sz w:val="18"/>
                <w:szCs w:val="18"/>
                <w:highlight w:val="none"/>
              </w:rPr>
            </w:pPr>
            <w:r>
              <w:rPr>
                <w:color w:val="auto"/>
                <w:sz w:val="18"/>
                <w:szCs w:val="18"/>
                <w:highlight w:val="none"/>
              </w:rPr>
              <w:t>1</w:t>
            </w:r>
          </w:p>
        </w:tc>
        <w:tc>
          <w:tcPr>
            <w:tcW w:w="709" w:type="dxa"/>
            <w:vAlign w:val="center"/>
          </w:tcPr>
          <w:p w14:paraId="208472E2">
            <w:pPr>
              <w:jc w:val="center"/>
              <w:rPr>
                <w:color w:val="auto"/>
                <w:sz w:val="18"/>
                <w:szCs w:val="18"/>
                <w:highlight w:val="none"/>
              </w:rPr>
            </w:pPr>
            <w:r>
              <w:rPr>
                <w:color w:val="auto"/>
                <w:sz w:val="18"/>
                <w:szCs w:val="18"/>
                <w:highlight w:val="none"/>
              </w:rPr>
              <w:t>2</w:t>
            </w:r>
          </w:p>
        </w:tc>
        <w:tc>
          <w:tcPr>
            <w:tcW w:w="1045" w:type="dxa"/>
            <w:vAlign w:val="center"/>
          </w:tcPr>
          <w:p w14:paraId="2CD178FC">
            <w:pPr>
              <w:jc w:val="center"/>
              <w:rPr>
                <w:color w:val="auto"/>
                <w:sz w:val="18"/>
                <w:szCs w:val="18"/>
                <w:highlight w:val="none"/>
              </w:rPr>
            </w:pPr>
            <w:r>
              <w:rPr>
                <w:color w:val="auto"/>
                <w:sz w:val="18"/>
                <w:szCs w:val="18"/>
                <w:highlight w:val="none"/>
              </w:rPr>
              <w:t>考查</w:t>
            </w:r>
          </w:p>
        </w:tc>
      </w:tr>
      <w:tr w14:paraId="70171D4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8" w:hRule="atLeast"/>
          <w:jc w:val="center"/>
        </w:trPr>
        <w:tc>
          <w:tcPr>
            <w:tcW w:w="571" w:type="dxa"/>
            <w:vMerge w:val="continue"/>
          </w:tcPr>
          <w:p w14:paraId="770A44DF">
            <w:pPr>
              <w:rPr>
                <w:b/>
                <w:color w:val="auto"/>
                <w:sz w:val="18"/>
                <w:szCs w:val="18"/>
                <w:highlight w:val="none"/>
              </w:rPr>
            </w:pPr>
          </w:p>
        </w:tc>
        <w:tc>
          <w:tcPr>
            <w:tcW w:w="1226" w:type="dxa"/>
            <w:vMerge w:val="restart"/>
            <w:vAlign w:val="center"/>
          </w:tcPr>
          <w:p w14:paraId="39249F88">
            <w:pPr>
              <w:adjustRightInd w:val="0"/>
              <w:snapToGrid w:val="0"/>
              <w:jc w:val="center"/>
              <w:rPr>
                <w:b/>
                <w:color w:val="auto"/>
                <w:sz w:val="18"/>
                <w:szCs w:val="18"/>
                <w:highlight w:val="none"/>
              </w:rPr>
            </w:pPr>
            <w:r>
              <w:rPr>
                <w:b/>
                <w:color w:val="auto"/>
                <w:sz w:val="18"/>
                <w:szCs w:val="18"/>
                <w:highlight w:val="none"/>
              </w:rPr>
              <w:t>专业</w:t>
            </w:r>
          </w:p>
          <w:p w14:paraId="49FDCAFD">
            <w:pPr>
              <w:adjustRightInd w:val="0"/>
              <w:snapToGrid w:val="0"/>
              <w:jc w:val="center"/>
              <w:rPr>
                <w:b/>
                <w:color w:val="auto"/>
                <w:sz w:val="18"/>
                <w:szCs w:val="18"/>
                <w:highlight w:val="none"/>
              </w:rPr>
            </w:pPr>
            <w:r>
              <w:rPr>
                <w:b/>
                <w:color w:val="auto"/>
                <w:sz w:val="18"/>
                <w:szCs w:val="18"/>
                <w:highlight w:val="none"/>
              </w:rPr>
              <w:t>选修课</w:t>
            </w:r>
          </w:p>
          <w:p w14:paraId="4DE135BE">
            <w:pPr>
              <w:adjustRightInd w:val="0"/>
              <w:snapToGrid w:val="0"/>
              <w:jc w:val="center"/>
              <w:rPr>
                <w:b/>
                <w:color w:val="auto"/>
                <w:sz w:val="18"/>
                <w:szCs w:val="18"/>
                <w:highlight w:val="none"/>
              </w:rPr>
            </w:pPr>
            <w:r>
              <w:rPr>
                <w:b/>
                <w:color w:val="auto"/>
                <w:sz w:val="18"/>
                <w:szCs w:val="18"/>
                <w:highlight w:val="none"/>
              </w:rPr>
              <w:t>（至少选修</w:t>
            </w:r>
          </w:p>
          <w:p w14:paraId="28352401">
            <w:pPr>
              <w:adjustRightInd w:val="0"/>
              <w:snapToGrid w:val="0"/>
              <w:jc w:val="center"/>
              <w:rPr>
                <w:b/>
                <w:color w:val="auto"/>
                <w:sz w:val="18"/>
                <w:szCs w:val="18"/>
                <w:highlight w:val="none"/>
              </w:rPr>
            </w:pPr>
            <w:r>
              <w:rPr>
                <w:b/>
                <w:color w:val="auto"/>
                <w:sz w:val="18"/>
                <w:szCs w:val="18"/>
                <w:highlight w:val="none"/>
              </w:rPr>
              <w:t>6学分）</w:t>
            </w:r>
          </w:p>
          <w:p w14:paraId="5397D647">
            <w:pPr>
              <w:jc w:val="center"/>
              <w:rPr>
                <w:b/>
                <w:color w:val="auto"/>
                <w:sz w:val="18"/>
                <w:szCs w:val="18"/>
                <w:highlight w:val="none"/>
              </w:rPr>
            </w:pPr>
          </w:p>
          <w:p w14:paraId="545D76B5">
            <w:pPr>
              <w:adjustRightInd w:val="0"/>
              <w:snapToGrid w:val="0"/>
              <w:jc w:val="center"/>
              <w:rPr>
                <w:b/>
                <w:color w:val="auto"/>
                <w:sz w:val="18"/>
                <w:szCs w:val="18"/>
                <w:highlight w:val="none"/>
              </w:rPr>
            </w:pPr>
          </w:p>
        </w:tc>
        <w:tc>
          <w:tcPr>
            <w:tcW w:w="3516" w:type="dxa"/>
            <w:vAlign w:val="center"/>
          </w:tcPr>
          <w:p w14:paraId="46FA9D70">
            <w:pPr>
              <w:spacing w:line="360" w:lineRule="exact"/>
              <w:rPr>
                <w:iCs/>
                <w:color w:val="auto"/>
                <w:sz w:val="18"/>
                <w:szCs w:val="18"/>
                <w:highlight w:val="none"/>
              </w:rPr>
            </w:pPr>
            <w:r>
              <w:rPr>
                <w:rFonts w:hint="eastAsia"/>
                <w:iCs/>
                <w:color w:val="auto"/>
                <w:sz w:val="18"/>
                <w:szCs w:val="18"/>
                <w:highlight w:val="none"/>
              </w:rPr>
              <w:t>R语言实战</w:t>
            </w:r>
          </w:p>
        </w:tc>
        <w:tc>
          <w:tcPr>
            <w:tcW w:w="1244" w:type="dxa"/>
            <w:vAlign w:val="center"/>
          </w:tcPr>
          <w:p w14:paraId="5AE76B98">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03101</w:t>
            </w:r>
          </w:p>
        </w:tc>
        <w:tc>
          <w:tcPr>
            <w:tcW w:w="546" w:type="dxa"/>
            <w:vAlign w:val="center"/>
          </w:tcPr>
          <w:p w14:paraId="1B6B7391">
            <w:pPr>
              <w:spacing w:line="360" w:lineRule="exact"/>
              <w:jc w:val="center"/>
              <w:rPr>
                <w:color w:val="auto"/>
                <w:sz w:val="18"/>
                <w:szCs w:val="18"/>
                <w:highlight w:val="none"/>
              </w:rPr>
            </w:pPr>
            <w:r>
              <w:rPr>
                <w:rFonts w:hint="eastAsia"/>
                <w:color w:val="auto"/>
                <w:sz w:val="18"/>
                <w:szCs w:val="18"/>
                <w:highlight w:val="none"/>
              </w:rPr>
              <w:t>2</w:t>
            </w:r>
          </w:p>
        </w:tc>
        <w:tc>
          <w:tcPr>
            <w:tcW w:w="709" w:type="dxa"/>
            <w:vAlign w:val="center"/>
          </w:tcPr>
          <w:p w14:paraId="13BDFD57">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39F452EC">
            <w:pPr>
              <w:rPr>
                <w:color w:val="auto"/>
                <w:highlight w:val="none"/>
              </w:rPr>
            </w:pPr>
          </w:p>
          <w:p w14:paraId="3FF91EED">
            <w:pPr>
              <w:adjustRightInd w:val="0"/>
              <w:snapToGrid w:val="0"/>
              <w:jc w:val="center"/>
              <w:rPr>
                <w:color w:val="auto"/>
                <w:sz w:val="18"/>
                <w:szCs w:val="18"/>
                <w:highlight w:val="none"/>
              </w:rPr>
            </w:pPr>
            <w:r>
              <w:rPr>
                <w:color w:val="auto"/>
                <w:sz w:val="18"/>
                <w:szCs w:val="18"/>
                <w:highlight w:val="none"/>
              </w:rPr>
              <w:t>考查</w:t>
            </w:r>
          </w:p>
        </w:tc>
      </w:tr>
      <w:tr w14:paraId="2F88B17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8" w:hRule="atLeast"/>
          <w:jc w:val="center"/>
        </w:trPr>
        <w:tc>
          <w:tcPr>
            <w:tcW w:w="571" w:type="dxa"/>
            <w:vMerge w:val="continue"/>
          </w:tcPr>
          <w:p w14:paraId="3184BA97">
            <w:pPr>
              <w:rPr>
                <w:b/>
                <w:color w:val="auto"/>
                <w:sz w:val="18"/>
                <w:szCs w:val="18"/>
                <w:highlight w:val="none"/>
              </w:rPr>
            </w:pPr>
          </w:p>
        </w:tc>
        <w:tc>
          <w:tcPr>
            <w:tcW w:w="1226" w:type="dxa"/>
            <w:vMerge w:val="continue"/>
            <w:vAlign w:val="center"/>
          </w:tcPr>
          <w:p w14:paraId="0321C34E">
            <w:pPr>
              <w:adjustRightInd w:val="0"/>
              <w:snapToGrid w:val="0"/>
              <w:jc w:val="center"/>
              <w:rPr>
                <w:b/>
                <w:color w:val="auto"/>
                <w:sz w:val="18"/>
                <w:szCs w:val="18"/>
                <w:highlight w:val="none"/>
              </w:rPr>
            </w:pPr>
          </w:p>
        </w:tc>
        <w:tc>
          <w:tcPr>
            <w:tcW w:w="3516" w:type="dxa"/>
            <w:vAlign w:val="center"/>
          </w:tcPr>
          <w:p w14:paraId="6F1D3E40">
            <w:pPr>
              <w:spacing w:line="360" w:lineRule="exact"/>
              <w:rPr>
                <w:iCs/>
                <w:color w:val="auto"/>
                <w:sz w:val="18"/>
                <w:szCs w:val="18"/>
                <w:highlight w:val="none"/>
              </w:rPr>
            </w:pPr>
            <w:r>
              <w:rPr>
                <w:rFonts w:hint="eastAsia"/>
                <w:iCs/>
                <w:color w:val="auto"/>
                <w:sz w:val="18"/>
                <w:szCs w:val="18"/>
                <w:highlight w:val="none"/>
              </w:rPr>
              <w:t>现场流行病学</w:t>
            </w:r>
          </w:p>
        </w:tc>
        <w:tc>
          <w:tcPr>
            <w:tcW w:w="1244" w:type="dxa"/>
            <w:vAlign w:val="center"/>
          </w:tcPr>
          <w:p w14:paraId="7F1AE21C">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03102</w:t>
            </w:r>
          </w:p>
        </w:tc>
        <w:tc>
          <w:tcPr>
            <w:tcW w:w="546" w:type="dxa"/>
            <w:vAlign w:val="center"/>
          </w:tcPr>
          <w:p w14:paraId="27F6885E">
            <w:pPr>
              <w:spacing w:line="360" w:lineRule="exact"/>
              <w:jc w:val="center"/>
              <w:rPr>
                <w:color w:val="auto"/>
                <w:sz w:val="18"/>
                <w:szCs w:val="18"/>
                <w:highlight w:val="none"/>
              </w:rPr>
            </w:pPr>
            <w:r>
              <w:rPr>
                <w:rFonts w:hint="eastAsia"/>
                <w:color w:val="auto"/>
                <w:sz w:val="18"/>
                <w:szCs w:val="18"/>
                <w:highlight w:val="none"/>
              </w:rPr>
              <w:t>2</w:t>
            </w:r>
          </w:p>
        </w:tc>
        <w:tc>
          <w:tcPr>
            <w:tcW w:w="709" w:type="dxa"/>
            <w:vAlign w:val="center"/>
          </w:tcPr>
          <w:p w14:paraId="1AAB318A">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0F16915D">
            <w:pPr>
              <w:adjustRightInd w:val="0"/>
              <w:snapToGrid w:val="0"/>
              <w:jc w:val="center"/>
              <w:rPr>
                <w:color w:val="auto"/>
                <w:sz w:val="18"/>
                <w:szCs w:val="18"/>
                <w:highlight w:val="none"/>
              </w:rPr>
            </w:pPr>
            <w:r>
              <w:rPr>
                <w:color w:val="auto"/>
                <w:sz w:val="18"/>
                <w:szCs w:val="18"/>
                <w:highlight w:val="none"/>
              </w:rPr>
              <w:t>考查</w:t>
            </w:r>
          </w:p>
        </w:tc>
      </w:tr>
      <w:tr w14:paraId="22F3D3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8" w:hRule="atLeast"/>
          <w:jc w:val="center"/>
        </w:trPr>
        <w:tc>
          <w:tcPr>
            <w:tcW w:w="571" w:type="dxa"/>
            <w:vMerge w:val="continue"/>
          </w:tcPr>
          <w:p w14:paraId="53E0FBE4">
            <w:pPr>
              <w:rPr>
                <w:b/>
                <w:color w:val="auto"/>
                <w:sz w:val="18"/>
                <w:szCs w:val="18"/>
                <w:highlight w:val="none"/>
              </w:rPr>
            </w:pPr>
          </w:p>
        </w:tc>
        <w:tc>
          <w:tcPr>
            <w:tcW w:w="1226" w:type="dxa"/>
            <w:vMerge w:val="continue"/>
            <w:vAlign w:val="center"/>
          </w:tcPr>
          <w:p w14:paraId="2BED54F9">
            <w:pPr>
              <w:adjustRightInd w:val="0"/>
              <w:snapToGrid w:val="0"/>
              <w:jc w:val="center"/>
              <w:rPr>
                <w:b/>
                <w:color w:val="auto"/>
                <w:sz w:val="18"/>
                <w:szCs w:val="18"/>
                <w:highlight w:val="none"/>
              </w:rPr>
            </w:pPr>
          </w:p>
        </w:tc>
        <w:tc>
          <w:tcPr>
            <w:tcW w:w="3516" w:type="dxa"/>
            <w:shd w:val="clear" w:color="auto" w:fill="auto"/>
            <w:vAlign w:val="center"/>
          </w:tcPr>
          <w:p w14:paraId="0F23256F">
            <w:pPr>
              <w:spacing w:line="360" w:lineRule="exact"/>
              <w:rPr>
                <w:color w:val="auto"/>
                <w:sz w:val="18"/>
                <w:szCs w:val="18"/>
                <w:highlight w:val="none"/>
              </w:rPr>
            </w:pPr>
            <w:r>
              <w:rPr>
                <w:rFonts w:hint="eastAsia"/>
                <w:color w:val="auto"/>
                <w:sz w:val="18"/>
                <w:szCs w:val="18"/>
                <w:highlight w:val="none"/>
              </w:rPr>
              <w:t>环境健康科学概论</w:t>
            </w:r>
          </w:p>
        </w:tc>
        <w:tc>
          <w:tcPr>
            <w:tcW w:w="1244" w:type="dxa"/>
            <w:shd w:val="clear" w:color="auto" w:fill="auto"/>
            <w:vAlign w:val="center"/>
          </w:tcPr>
          <w:p w14:paraId="36AA55C1">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03201</w:t>
            </w:r>
          </w:p>
        </w:tc>
        <w:tc>
          <w:tcPr>
            <w:tcW w:w="546" w:type="dxa"/>
            <w:shd w:val="clear" w:color="auto" w:fill="auto"/>
            <w:vAlign w:val="center"/>
          </w:tcPr>
          <w:p w14:paraId="368E0E4B">
            <w:pPr>
              <w:spacing w:line="360" w:lineRule="exact"/>
              <w:jc w:val="center"/>
              <w:rPr>
                <w:color w:val="auto"/>
                <w:sz w:val="18"/>
                <w:szCs w:val="18"/>
                <w:highlight w:val="none"/>
              </w:rPr>
            </w:pPr>
            <w:r>
              <w:rPr>
                <w:rFonts w:hint="eastAsia"/>
                <w:color w:val="auto"/>
                <w:sz w:val="18"/>
                <w:szCs w:val="18"/>
                <w:highlight w:val="none"/>
              </w:rPr>
              <w:t>2</w:t>
            </w:r>
          </w:p>
        </w:tc>
        <w:tc>
          <w:tcPr>
            <w:tcW w:w="709" w:type="dxa"/>
            <w:shd w:val="clear" w:color="auto" w:fill="auto"/>
            <w:vAlign w:val="center"/>
          </w:tcPr>
          <w:p w14:paraId="70FB3219">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172FA804">
            <w:pPr>
              <w:adjustRightInd w:val="0"/>
              <w:snapToGrid w:val="0"/>
              <w:jc w:val="center"/>
              <w:rPr>
                <w:color w:val="auto"/>
                <w:sz w:val="18"/>
                <w:szCs w:val="18"/>
                <w:highlight w:val="none"/>
              </w:rPr>
            </w:pPr>
            <w:r>
              <w:rPr>
                <w:color w:val="auto"/>
                <w:sz w:val="18"/>
                <w:szCs w:val="18"/>
                <w:highlight w:val="none"/>
              </w:rPr>
              <w:t>考查</w:t>
            </w:r>
          </w:p>
        </w:tc>
      </w:tr>
      <w:tr w14:paraId="6FFB99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jc w:val="center"/>
        </w:trPr>
        <w:tc>
          <w:tcPr>
            <w:tcW w:w="571" w:type="dxa"/>
            <w:vMerge w:val="continue"/>
          </w:tcPr>
          <w:p w14:paraId="5425EC41">
            <w:pPr>
              <w:rPr>
                <w:b/>
                <w:color w:val="auto"/>
                <w:sz w:val="18"/>
                <w:szCs w:val="18"/>
                <w:highlight w:val="none"/>
              </w:rPr>
            </w:pPr>
          </w:p>
        </w:tc>
        <w:tc>
          <w:tcPr>
            <w:tcW w:w="1226" w:type="dxa"/>
            <w:vMerge w:val="continue"/>
            <w:vAlign w:val="center"/>
          </w:tcPr>
          <w:p w14:paraId="6DC9017B">
            <w:pPr>
              <w:adjustRightInd w:val="0"/>
              <w:snapToGrid w:val="0"/>
              <w:jc w:val="center"/>
              <w:rPr>
                <w:b/>
                <w:color w:val="auto"/>
                <w:sz w:val="18"/>
                <w:szCs w:val="18"/>
                <w:highlight w:val="none"/>
              </w:rPr>
            </w:pPr>
          </w:p>
        </w:tc>
        <w:tc>
          <w:tcPr>
            <w:tcW w:w="3516" w:type="dxa"/>
            <w:shd w:val="clear" w:color="auto" w:fill="auto"/>
            <w:vAlign w:val="center"/>
          </w:tcPr>
          <w:p w14:paraId="2E1D8889">
            <w:pPr>
              <w:spacing w:line="360" w:lineRule="exact"/>
              <w:rPr>
                <w:i/>
                <w:color w:val="auto"/>
                <w:sz w:val="18"/>
                <w:szCs w:val="18"/>
                <w:highlight w:val="none"/>
              </w:rPr>
            </w:pPr>
            <w:r>
              <w:rPr>
                <w:rFonts w:hint="eastAsia"/>
                <w:color w:val="auto"/>
                <w:sz w:val="18"/>
                <w:szCs w:val="18"/>
                <w:highlight w:val="none"/>
              </w:rPr>
              <w:t>环境与健康</w:t>
            </w:r>
          </w:p>
        </w:tc>
        <w:tc>
          <w:tcPr>
            <w:tcW w:w="1244" w:type="dxa"/>
            <w:shd w:val="clear" w:color="auto" w:fill="auto"/>
            <w:vAlign w:val="center"/>
          </w:tcPr>
          <w:p w14:paraId="3A854DCD">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03202</w:t>
            </w:r>
          </w:p>
        </w:tc>
        <w:tc>
          <w:tcPr>
            <w:tcW w:w="546" w:type="dxa"/>
            <w:shd w:val="clear" w:color="auto" w:fill="auto"/>
            <w:vAlign w:val="center"/>
          </w:tcPr>
          <w:p w14:paraId="0662087C">
            <w:pPr>
              <w:spacing w:line="360" w:lineRule="exact"/>
              <w:jc w:val="center"/>
              <w:rPr>
                <w:color w:val="auto"/>
                <w:sz w:val="18"/>
                <w:szCs w:val="18"/>
                <w:highlight w:val="none"/>
              </w:rPr>
            </w:pPr>
            <w:r>
              <w:rPr>
                <w:rFonts w:hint="eastAsia"/>
                <w:color w:val="auto"/>
                <w:sz w:val="18"/>
                <w:szCs w:val="18"/>
                <w:highlight w:val="none"/>
              </w:rPr>
              <w:t>2</w:t>
            </w:r>
          </w:p>
        </w:tc>
        <w:tc>
          <w:tcPr>
            <w:tcW w:w="709" w:type="dxa"/>
            <w:shd w:val="clear" w:color="auto" w:fill="auto"/>
            <w:vAlign w:val="center"/>
          </w:tcPr>
          <w:p w14:paraId="6B1ED96A">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0E387AC5">
            <w:pPr>
              <w:adjustRightInd w:val="0"/>
              <w:snapToGrid w:val="0"/>
              <w:jc w:val="center"/>
              <w:rPr>
                <w:color w:val="auto"/>
                <w:sz w:val="18"/>
                <w:szCs w:val="18"/>
                <w:highlight w:val="none"/>
              </w:rPr>
            </w:pPr>
            <w:r>
              <w:rPr>
                <w:color w:val="auto"/>
                <w:sz w:val="18"/>
                <w:szCs w:val="18"/>
                <w:highlight w:val="none"/>
              </w:rPr>
              <w:t>考查</w:t>
            </w:r>
          </w:p>
        </w:tc>
      </w:tr>
      <w:tr w14:paraId="117AB2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00DC95F">
            <w:pPr>
              <w:rPr>
                <w:b/>
                <w:color w:val="auto"/>
                <w:sz w:val="18"/>
                <w:szCs w:val="18"/>
                <w:highlight w:val="none"/>
              </w:rPr>
            </w:pPr>
          </w:p>
        </w:tc>
        <w:tc>
          <w:tcPr>
            <w:tcW w:w="1226" w:type="dxa"/>
            <w:vMerge w:val="continue"/>
            <w:vAlign w:val="center"/>
          </w:tcPr>
          <w:p w14:paraId="4BD31A7D">
            <w:pPr>
              <w:adjustRightInd w:val="0"/>
              <w:snapToGrid w:val="0"/>
              <w:jc w:val="center"/>
              <w:rPr>
                <w:b/>
                <w:color w:val="auto"/>
                <w:sz w:val="18"/>
                <w:szCs w:val="18"/>
                <w:highlight w:val="none"/>
              </w:rPr>
            </w:pPr>
          </w:p>
        </w:tc>
        <w:tc>
          <w:tcPr>
            <w:tcW w:w="3516" w:type="dxa"/>
            <w:vAlign w:val="center"/>
          </w:tcPr>
          <w:p w14:paraId="30A94521">
            <w:pPr>
              <w:spacing w:line="360" w:lineRule="exact"/>
              <w:rPr>
                <w:i/>
                <w:color w:val="auto"/>
                <w:sz w:val="18"/>
                <w:szCs w:val="18"/>
                <w:highlight w:val="none"/>
              </w:rPr>
            </w:pPr>
            <w:r>
              <w:rPr>
                <w:rFonts w:hint="eastAsia"/>
                <w:iCs/>
                <w:color w:val="auto"/>
                <w:sz w:val="18"/>
                <w:szCs w:val="18"/>
                <w:highlight w:val="none"/>
              </w:rPr>
              <w:t>食物、营养与健康</w:t>
            </w:r>
          </w:p>
        </w:tc>
        <w:tc>
          <w:tcPr>
            <w:tcW w:w="1244" w:type="dxa"/>
            <w:vAlign w:val="center"/>
          </w:tcPr>
          <w:p w14:paraId="5C0C469D">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03203</w:t>
            </w:r>
          </w:p>
        </w:tc>
        <w:tc>
          <w:tcPr>
            <w:tcW w:w="546" w:type="dxa"/>
            <w:vAlign w:val="center"/>
          </w:tcPr>
          <w:p w14:paraId="00395A7C">
            <w:pPr>
              <w:spacing w:line="360" w:lineRule="exact"/>
              <w:jc w:val="center"/>
              <w:rPr>
                <w:color w:val="auto"/>
                <w:sz w:val="18"/>
                <w:szCs w:val="18"/>
                <w:highlight w:val="none"/>
              </w:rPr>
            </w:pPr>
            <w:r>
              <w:rPr>
                <w:rFonts w:hint="eastAsia"/>
                <w:color w:val="auto"/>
                <w:sz w:val="18"/>
                <w:szCs w:val="18"/>
                <w:highlight w:val="none"/>
              </w:rPr>
              <w:t>2</w:t>
            </w:r>
          </w:p>
        </w:tc>
        <w:tc>
          <w:tcPr>
            <w:tcW w:w="709" w:type="dxa"/>
            <w:vAlign w:val="center"/>
          </w:tcPr>
          <w:p w14:paraId="4896D569">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5ED4D8A4">
            <w:pPr>
              <w:adjustRightInd w:val="0"/>
              <w:snapToGrid w:val="0"/>
              <w:jc w:val="center"/>
              <w:rPr>
                <w:color w:val="auto"/>
                <w:sz w:val="18"/>
                <w:szCs w:val="18"/>
                <w:highlight w:val="none"/>
              </w:rPr>
            </w:pPr>
            <w:r>
              <w:rPr>
                <w:color w:val="auto"/>
                <w:sz w:val="18"/>
                <w:szCs w:val="18"/>
                <w:highlight w:val="none"/>
              </w:rPr>
              <w:t>考查</w:t>
            </w:r>
          </w:p>
        </w:tc>
      </w:tr>
      <w:tr w14:paraId="7E4803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C3A7F0">
            <w:pPr>
              <w:rPr>
                <w:b/>
                <w:color w:val="auto"/>
                <w:sz w:val="18"/>
                <w:szCs w:val="18"/>
                <w:highlight w:val="none"/>
              </w:rPr>
            </w:pPr>
          </w:p>
        </w:tc>
        <w:tc>
          <w:tcPr>
            <w:tcW w:w="1226" w:type="dxa"/>
            <w:vMerge w:val="continue"/>
            <w:vAlign w:val="center"/>
          </w:tcPr>
          <w:p w14:paraId="5A31C624">
            <w:pPr>
              <w:jc w:val="center"/>
              <w:rPr>
                <w:b/>
                <w:color w:val="auto"/>
                <w:sz w:val="18"/>
                <w:szCs w:val="18"/>
                <w:highlight w:val="none"/>
              </w:rPr>
            </w:pPr>
          </w:p>
        </w:tc>
        <w:tc>
          <w:tcPr>
            <w:tcW w:w="3516" w:type="dxa"/>
            <w:shd w:val="clear" w:color="auto" w:fill="auto"/>
            <w:vAlign w:val="center"/>
          </w:tcPr>
          <w:p w14:paraId="35B58AB0">
            <w:pPr>
              <w:spacing w:line="360" w:lineRule="exact"/>
              <w:rPr>
                <w:rFonts w:hint="default" w:eastAsiaTheme="minorEastAsia"/>
                <w:bCs/>
                <w:color w:val="auto"/>
                <w:sz w:val="18"/>
                <w:szCs w:val="18"/>
                <w:highlight w:val="none"/>
                <w:lang w:val="en-US" w:eastAsia="zh-CN"/>
              </w:rPr>
            </w:pPr>
            <w:r>
              <w:rPr>
                <w:rFonts w:hint="eastAsia" w:eastAsiaTheme="minorEastAsia"/>
                <w:bCs/>
                <w:color w:val="auto"/>
                <w:sz w:val="18"/>
                <w:szCs w:val="18"/>
                <w:highlight w:val="none"/>
                <w:lang w:val="en-US" w:eastAsia="zh-CN"/>
              </w:rPr>
              <w:t>现代</w:t>
            </w:r>
            <w:r>
              <w:rPr>
                <w:rFonts w:hint="eastAsia" w:eastAsiaTheme="minorEastAsia"/>
                <w:bCs/>
                <w:color w:val="auto"/>
                <w:sz w:val="18"/>
                <w:szCs w:val="18"/>
                <w:highlight w:val="none"/>
              </w:rPr>
              <w:t>营养学</w:t>
            </w:r>
            <w:r>
              <w:rPr>
                <w:rFonts w:hint="eastAsia" w:eastAsiaTheme="minorEastAsia"/>
                <w:bCs/>
                <w:color w:val="auto"/>
                <w:sz w:val="18"/>
                <w:szCs w:val="18"/>
                <w:highlight w:val="none"/>
                <w:lang w:val="en-US" w:eastAsia="zh-CN"/>
              </w:rPr>
              <w:t>研究方法与技术</w:t>
            </w:r>
          </w:p>
        </w:tc>
        <w:tc>
          <w:tcPr>
            <w:tcW w:w="1244" w:type="dxa"/>
            <w:vAlign w:val="center"/>
          </w:tcPr>
          <w:p w14:paraId="53FBA1EC">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03204</w:t>
            </w:r>
          </w:p>
        </w:tc>
        <w:tc>
          <w:tcPr>
            <w:tcW w:w="546" w:type="dxa"/>
            <w:vAlign w:val="center"/>
          </w:tcPr>
          <w:p w14:paraId="51352AEB">
            <w:pPr>
              <w:spacing w:line="360" w:lineRule="exact"/>
              <w:jc w:val="center"/>
              <w:rPr>
                <w:color w:val="auto"/>
                <w:sz w:val="18"/>
                <w:szCs w:val="18"/>
                <w:highlight w:val="none"/>
              </w:rPr>
            </w:pPr>
            <w:r>
              <w:rPr>
                <w:rFonts w:hint="eastAsia"/>
                <w:color w:val="auto"/>
                <w:sz w:val="18"/>
                <w:szCs w:val="18"/>
                <w:highlight w:val="none"/>
              </w:rPr>
              <w:t>2</w:t>
            </w:r>
          </w:p>
        </w:tc>
        <w:tc>
          <w:tcPr>
            <w:tcW w:w="709" w:type="dxa"/>
            <w:vAlign w:val="center"/>
          </w:tcPr>
          <w:p w14:paraId="253E7A1E">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7C2DBB9D">
            <w:pPr>
              <w:jc w:val="center"/>
              <w:rPr>
                <w:color w:val="auto"/>
                <w:sz w:val="18"/>
                <w:szCs w:val="18"/>
                <w:highlight w:val="none"/>
              </w:rPr>
            </w:pPr>
            <w:r>
              <w:rPr>
                <w:color w:val="auto"/>
                <w:sz w:val="18"/>
                <w:szCs w:val="18"/>
                <w:highlight w:val="none"/>
              </w:rPr>
              <w:t>考查</w:t>
            </w:r>
          </w:p>
        </w:tc>
      </w:tr>
      <w:tr w14:paraId="0E2EBF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A706C04">
            <w:pPr>
              <w:rPr>
                <w:b/>
                <w:color w:val="auto"/>
                <w:sz w:val="18"/>
                <w:szCs w:val="18"/>
                <w:highlight w:val="none"/>
              </w:rPr>
            </w:pPr>
          </w:p>
        </w:tc>
        <w:tc>
          <w:tcPr>
            <w:tcW w:w="1226" w:type="dxa"/>
            <w:vMerge w:val="continue"/>
            <w:vAlign w:val="center"/>
          </w:tcPr>
          <w:p w14:paraId="34B89D67">
            <w:pPr>
              <w:jc w:val="center"/>
              <w:rPr>
                <w:b/>
                <w:color w:val="auto"/>
                <w:sz w:val="18"/>
                <w:szCs w:val="18"/>
                <w:highlight w:val="none"/>
              </w:rPr>
            </w:pPr>
          </w:p>
        </w:tc>
        <w:tc>
          <w:tcPr>
            <w:tcW w:w="3516" w:type="dxa"/>
            <w:shd w:val="clear" w:color="auto" w:fill="auto"/>
            <w:vAlign w:val="center"/>
          </w:tcPr>
          <w:p w14:paraId="7BC81793">
            <w:pPr>
              <w:spacing w:line="360" w:lineRule="exact"/>
              <w:rPr>
                <w:rFonts w:hint="eastAsia" w:eastAsiaTheme="minorEastAsia"/>
                <w:bCs/>
                <w:color w:val="auto"/>
                <w:sz w:val="18"/>
                <w:szCs w:val="18"/>
                <w:highlight w:val="none"/>
                <w:lang w:val="en-US" w:eastAsia="zh-CN"/>
              </w:rPr>
            </w:pPr>
            <w:r>
              <w:rPr>
                <w:rFonts w:hint="eastAsia" w:eastAsiaTheme="minorEastAsia"/>
                <w:bCs/>
                <w:color w:val="auto"/>
                <w:sz w:val="18"/>
                <w:szCs w:val="18"/>
                <w:highlight w:val="none"/>
                <w:lang w:val="en-US" w:eastAsia="zh-CN"/>
              </w:rPr>
              <w:t>现代</w:t>
            </w:r>
            <w:r>
              <w:rPr>
                <w:rFonts w:hint="eastAsia" w:eastAsiaTheme="minorEastAsia"/>
                <w:bCs/>
                <w:color w:val="auto"/>
                <w:sz w:val="18"/>
                <w:szCs w:val="18"/>
                <w:highlight w:val="none"/>
              </w:rPr>
              <w:t>食品卫生与安全</w:t>
            </w:r>
            <w:r>
              <w:rPr>
                <w:rFonts w:hint="eastAsia" w:eastAsiaTheme="minorEastAsia"/>
                <w:bCs/>
                <w:color w:val="auto"/>
                <w:sz w:val="18"/>
                <w:szCs w:val="18"/>
                <w:highlight w:val="none"/>
                <w:lang w:val="en-US" w:eastAsia="zh-CN"/>
              </w:rPr>
              <w:t>技术</w:t>
            </w:r>
          </w:p>
        </w:tc>
        <w:tc>
          <w:tcPr>
            <w:tcW w:w="1244" w:type="dxa"/>
            <w:vAlign w:val="center"/>
          </w:tcPr>
          <w:p w14:paraId="6AE639F4">
            <w:pPr>
              <w:jc w:val="center"/>
              <w:rPr>
                <w:i/>
                <w:color w:val="auto"/>
                <w:sz w:val="18"/>
                <w:szCs w:val="18"/>
                <w:highlight w:val="none"/>
              </w:rPr>
            </w:pPr>
            <w:r>
              <w:rPr>
                <w:color w:val="auto"/>
                <w:sz w:val="18"/>
                <w:szCs w:val="18"/>
                <w:highlight w:val="none"/>
              </w:rPr>
              <w:t>ZS21</w:t>
            </w:r>
            <w:r>
              <w:rPr>
                <w:rFonts w:hint="eastAsia"/>
                <w:color w:val="auto"/>
                <w:sz w:val="18"/>
                <w:szCs w:val="18"/>
                <w:highlight w:val="none"/>
              </w:rPr>
              <w:t>03205</w:t>
            </w:r>
          </w:p>
        </w:tc>
        <w:tc>
          <w:tcPr>
            <w:tcW w:w="546" w:type="dxa"/>
            <w:vAlign w:val="center"/>
          </w:tcPr>
          <w:p w14:paraId="0825EA7F">
            <w:pPr>
              <w:jc w:val="center"/>
              <w:rPr>
                <w:color w:val="auto"/>
                <w:sz w:val="18"/>
                <w:szCs w:val="18"/>
                <w:highlight w:val="none"/>
              </w:rPr>
            </w:pPr>
            <w:r>
              <w:rPr>
                <w:rFonts w:hint="eastAsia"/>
                <w:color w:val="auto"/>
                <w:sz w:val="18"/>
                <w:szCs w:val="18"/>
                <w:highlight w:val="none"/>
              </w:rPr>
              <w:t>2</w:t>
            </w:r>
          </w:p>
        </w:tc>
        <w:tc>
          <w:tcPr>
            <w:tcW w:w="709" w:type="dxa"/>
            <w:vAlign w:val="center"/>
          </w:tcPr>
          <w:p w14:paraId="0585BF3E">
            <w:pPr>
              <w:jc w:val="center"/>
              <w:rPr>
                <w:color w:val="auto"/>
                <w:sz w:val="18"/>
                <w:szCs w:val="18"/>
                <w:highlight w:val="none"/>
              </w:rPr>
            </w:pPr>
            <w:r>
              <w:rPr>
                <w:rFonts w:hint="eastAsia"/>
                <w:color w:val="auto"/>
                <w:sz w:val="18"/>
                <w:szCs w:val="18"/>
                <w:highlight w:val="none"/>
              </w:rPr>
              <w:t>1</w:t>
            </w:r>
          </w:p>
        </w:tc>
        <w:tc>
          <w:tcPr>
            <w:tcW w:w="1045" w:type="dxa"/>
            <w:vAlign w:val="center"/>
          </w:tcPr>
          <w:p w14:paraId="25FB8B29">
            <w:pPr>
              <w:jc w:val="center"/>
              <w:rPr>
                <w:color w:val="auto"/>
                <w:sz w:val="18"/>
                <w:szCs w:val="18"/>
                <w:highlight w:val="none"/>
              </w:rPr>
            </w:pPr>
            <w:r>
              <w:rPr>
                <w:color w:val="auto"/>
                <w:sz w:val="18"/>
                <w:szCs w:val="18"/>
                <w:highlight w:val="none"/>
              </w:rPr>
              <w:t>考查</w:t>
            </w:r>
          </w:p>
        </w:tc>
      </w:tr>
      <w:tr w14:paraId="57A049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418EF32">
            <w:pPr>
              <w:rPr>
                <w:b/>
                <w:color w:val="auto"/>
                <w:sz w:val="18"/>
                <w:szCs w:val="18"/>
                <w:highlight w:val="none"/>
              </w:rPr>
            </w:pPr>
          </w:p>
        </w:tc>
        <w:tc>
          <w:tcPr>
            <w:tcW w:w="1226" w:type="dxa"/>
            <w:vMerge w:val="continue"/>
            <w:vAlign w:val="center"/>
          </w:tcPr>
          <w:p w14:paraId="11C2DB4B">
            <w:pPr>
              <w:jc w:val="center"/>
              <w:rPr>
                <w:b/>
                <w:color w:val="auto"/>
                <w:sz w:val="18"/>
                <w:szCs w:val="18"/>
                <w:highlight w:val="none"/>
              </w:rPr>
            </w:pPr>
          </w:p>
        </w:tc>
        <w:tc>
          <w:tcPr>
            <w:tcW w:w="3516" w:type="dxa"/>
            <w:shd w:val="clear" w:color="auto" w:fill="auto"/>
            <w:vAlign w:val="center"/>
          </w:tcPr>
          <w:p w14:paraId="21AEFB07">
            <w:pPr>
              <w:spacing w:line="360" w:lineRule="exact"/>
              <w:rPr>
                <w:i/>
                <w:color w:val="auto"/>
                <w:sz w:val="18"/>
                <w:szCs w:val="18"/>
                <w:highlight w:val="none"/>
              </w:rPr>
            </w:pPr>
            <w:r>
              <w:rPr>
                <w:rFonts w:hint="eastAsia"/>
                <w:color w:val="auto"/>
                <w:sz w:val="18"/>
                <w:szCs w:val="18"/>
                <w:highlight w:val="none"/>
              </w:rPr>
              <w:t>毒理学原理与方法</w:t>
            </w:r>
          </w:p>
        </w:tc>
        <w:tc>
          <w:tcPr>
            <w:tcW w:w="1244" w:type="dxa"/>
            <w:shd w:val="clear" w:color="auto" w:fill="auto"/>
            <w:vAlign w:val="center"/>
          </w:tcPr>
          <w:p w14:paraId="05F7B998">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03103</w:t>
            </w:r>
          </w:p>
        </w:tc>
        <w:tc>
          <w:tcPr>
            <w:tcW w:w="546" w:type="dxa"/>
            <w:shd w:val="clear" w:color="auto" w:fill="auto"/>
            <w:vAlign w:val="center"/>
          </w:tcPr>
          <w:p w14:paraId="08A4219F">
            <w:pPr>
              <w:spacing w:line="360" w:lineRule="exact"/>
              <w:jc w:val="center"/>
              <w:rPr>
                <w:color w:val="auto"/>
                <w:sz w:val="18"/>
                <w:szCs w:val="18"/>
                <w:highlight w:val="none"/>
              </w:rPr>
            </w:pPr>
            <w:r>
              <w:rPr>
                <w:rFonts w:hint="eastAsia"/>
                <w:color w:val="auto"/>
                <w:sz w:val="18"/>
                <w:szCs w:val="18"/>
                <w:highlight w:val="none"/>
              </w:rPr>
              <w:t>2</w:t>
            </w:r>
          </w:p>
        </w:tc>
        <w:tc>
          <w:tcPr>
            <w:tcW w:w="709" w:type="dxa"/>
            <w:shd w:val="clear" w:color="auto" w:fill="auto"/>
            <w:vAlign w:val="center"/>
          </w:tcPr>
          <w:p w14:paraId="40366098">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09ECB6D5">
            <w:pPr>
              <w:jc w:val="center"/>
              <w:rPr>
                <w:color w:val="auto"/>
                <w:sz w:val="18"/>
                <w:szCs w:val="18"/>
                <w:highlight w:val="none"/>
              </w:rPr>
            </w:pPr>
            <w:r>
              <w:rPr>
                <w:color w:val="auto"/>
                <w:sz w:val="18"/>
                <w:szCs w:val="18"/>
                <w:highlight w:val="none"/>
              </w:rPr>
              <w:t>考查</w:t>
            </w:r>
          </w:p>
        </w:tc>
      </w:tr>
      <w:tr w14:paraId="306A0D6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DCA2916">
            <w:pPr>
              <w:rPr>
                <w:b/>
                <w:color w:val="auto"/>
                <w:sz w:val="18"/>
                <w:szCs w:val="18"/>
                <w:highlight w:val="none"/>
              </w:rPr>
            </w:pPr>
          </w:p>
        </w:tc>
        <w:tc>
          <w:tcPr>
            <w:tcW w:w="1226" w:type="dxa"/>
            <w:vMerge w:val="continue"/>
            <w:vAlign w:val="center"/>
          </w:tcPr>
          <w:p w14:paraId="346C3EEA">
            <w:pPr>
              <w:jc w:val="center"/>
              <w:rPr>
                <w:b/>
                <w:color w:val="auto"/>
                <w:sz w:val="18"/>
                <w:szCs w:val="18"/>
                <w:highlight w:val="none"/>
              </w:rPr>
            </w:pPr>
          </w:p>
        </w:tc>
        <w:tc>
          <w:tcPr>
            <w:tcW w:w="3516" w:type="dxa"/>
            <w:shd w:val="clear" w:color="auto" w:fill="auto"/>
            <w:vAlign w:val="center"/>
          </w:tcPr>
          <w:p w14:paraId="7312B2EF">
            <w:pPr>
              <w:spacing w:line="360" w:lineRule="exact"/>
              <w:rPr>
                <w:color w:val="auto"/>
                <w:sz w:val="18"/>
                <w:szCs w:val="18"/>
                <w:highlight w:val="none"/>
              </w:rPr>
            </w:pPr>
            <w:r>
              <w:rPr>
                <w:rFonts w:hint="eastAsia"/>
                <w:iCs/>
                <w:color w:val="auto"/>
                <w:sz w:val="18"/>
                <w:szCs w:val="18"/>
                <w:highlight w:val="none"/>
              </w:rPr>
              <w:t>现代卫生检验技术</w:t>
            </w:r>
          </w:p>
        </w:tc>
        <w:tc>
          <w:tcPr>
            <w:tcW w:w="1244" w:type="dxa"/>
            <w:shd w:val="clear" w:color="auto" w:fill="auto"/>
            <w:vAlign w:val="center"/>
          </w:tcPr>
          <w:p w14:paraId="5B27668B">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03206</w:t>
            </w:r>
          </w:p>
        </w:tc>
        <w:tc>
          <w:tcPr>
            <w:tcW w:w="546" w:type="dxa"/>
            <w:shd w:val="clear" w:color="auto" w:fill="auto"/>
            <w:vAlign w:val="center"/>
          </w:tcPr>
          <w:p w14:paraId="2B8AE0E4">
            <w:pPr>
              <w:spacing w:line="360" w:lineRule="exact"/>
              <w:jc w:val="center"/>
              <w:rPr>
                <w:color w:val="auto"/>
                <w:sz w:val="18"/>
                <w:szCs w:val="18"/>
                <w:highlight w:val="none"/>
              </w:rPr>
            </w:pPr>
            <w:r>
              <w:rPr>
                <w:rFonts w:hint="eastAsia"/>
                <w:color w:val="auto"/>
                <w:sz w:val="18"/>
                <w:szCs w:val="18"/>
                <w:highlight w:val="none"/>
              </w:rPr>
              <w:t>2</w:t>
            </w:r>
          </w:p>
        </w:tc>
        <w:tc>
          <w:tcPr>
            <w:tcW w:w="709" w:type="dxa"/>
            <w:shd w:val="clear" w:color="auto" w:fill="auto"/>
            <w:vAlign w:val="center"/>
          </w:tcPr>
          <w:p w14:paraId="1DAFD0E8">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3D42BA7E">
            <w:pPr>
              <w:jc w:val="center"/>
              <w:rPr>
                <w:color w:val="auto"/>
                <w:sz w:val="18"/>
                <w:szCs w:val="18"/>
                <w:highlight w:val="none"/>
              </w:rPr>
            </w:pPr>
            <w:r>
              <w:rPr>
                <w:color w:val="auto"/>
                <w:sz w:val="18"/>
                <w:szCs w:val="18"/>
                <w:highlight w:val="none"/>
              </w:rPr>
              <w:t>考查</w:t>
            </w:r>
          </w:p>
        </w:tc>
      </w:tr>
      <w:tr w14:paraId="629694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FE02413">
            <w:pPr>
              <w:rPr>
                <w:b/>
                <w:color w:val="auto"/>
                <w:sz w:val="18"/>
                <w:szCs w:val="18"/>
                <w:highlight w:val="none"/>
              </w:rPr>
            </w:pPr>
          </w:p>
        </w:tc>
        <w:tc>
          <w:tcPr>
            <w:tcW w:w="1226" w:type="dxa"/>
            <w:vMerge w:val="continue"/>
            <w:vAlign w:val="center"/>
          </w:tcPr>
          <w:p w14:paraId="720ED522">
            <w:pPr>
              <w:jc w:val="center"/>
              <w:rPr>
                <w:b/>
                <w:color w:val="auto"/>
                <w:sz w:val="18"/>
                <w:szCs w:val="18"/>
                <w:highlight w:val="none"/>
              </w:rPr>
            </w:pPr>
          </w:p>
        </w:tc>
        <w:tc>
          <w:tcPr>
            <w:tcW w:w="3516" w:type="dxa"/>
            <w:shd w:val="clear" w:color="auto" w:fill="auto"/>
            <w:vAlign w:val="center"/>
          </w:tcPr>
          <w:p w14:paraId="6C4DC5B6">
            <w:pPr>
              <w:spacing w:line="360" w:lineRule="exact"/>
              <w:rPr>
                <w:iCs/>
                <w:color w:val="auto"/>
                <w:sz w:val="18"/>
                <w:szCs w:val="18"/>
                <w:highlight w:val="none"/>
              </w:rPr>
            </w:pPr>
            <w:r>
              <w:rPr>
                <w:rFonts w:hint="eastAsia" w:eastAsiaTheme="minorEastAsia"/>
                <w:bCs/>
                <w:color w:val="auto"/>
                <w:sz w:val="18"/>
                <w:szCs w:val="18"/>
                <w:highlight w:val="none"/>
              </w:rPr>
              <w:t>公共卫生实用生物检验技术</w:t>
            </w:r>
          </w:p>
        </w:tc>
        <w:tc>
          <w:tcPr>
            <w:tcW w:w="1244" w:type="dxa"/>
            <w:vAlign w:val="center"/>
          </w:tcPr>
          <w:p w14:paraId="4989CCB0">
            <w:pPr>
              <w:jc w:val="center"/>
              <w:rPr>
                <w:i/>
                <w:color w:val="auto"/>
                <w:sz w:val="18"/>
                <w:szCs w:val="18"/>
                <w:highlight w:val="none"/>
              </w:rPr>
            </w:pPr>
            <w:r>
              <w:rPr>
                <w:color w:val="auto"/>
                <w:sz w:val="18"/>
                <w:szCs w:val="18"/>
                <w:highlight w:val="none"/>
              </w:rPr>
              <w:t>ZS21</w:t>
            </w:r>
            <w:r>
              <w:rPr>
                <w:rFonts w:hint="eastAsia"/>
                <w:color w:val="auto"/>
                <w:sz w:val="18"/>
                <w:szCs w:val="18"/>
                <w:highlight w:val="none"/>
              </w:rPr>
              <w:t>03104</w:t>
            </w:r>
          </w:p>
        </w:tc>
        <w:tc>
          <w:tcPr>
            <w:tcW w:w="546" w:type="dxa"/>
            <w:vAlign w:val="center"/>
          </w:tcPr>
          <w:p w14:paraId="639982F6">
            <w:pPr>
              <w:jc w:val="center"/>
              <w:rPr>
                <w:color w:val="auto"/>
                <w:sz w:val="18"/>
                <w:szCs w:val="18"/>
                <w:highlight w:val="none"/>
              </w:rPr>
            </w:pPr>
            <w:r>
              <w:rPr>
                <w:rFonts w:hint="eastAsia"/>
                <w:color w:val="auto"/>
                <w:sz w:val="18"/>
                <w:szCs w:val="18"/>
                <w:highlight w:val="none"/>
              </w:rPr>
              <w:t>2</w:t>
            </w:r>
          </w:p>
        </w:tc>
        <w:tc>
          <w:tcPr>
            <w:tcW w:w="709" w:type="dxa"/>
            <w:vAlign w:val="center"/>
          </w:tcPr>
          <w:p w14:paraId="79001A5D">
            <w:pPr>
              <w:jc w:val="center"/>
              <w:rPr>
                <w:color w:val="auto"/>
                <w:sz w:val="18"/>
                <w:szCs w:val="18"/>
                <w:highlight w:val="none"/>
              </w:rPr>
            </w:pPr>
            <w:r>
              <w:rPr>
                <w:rFonts w:hint="eastAsia"/>
                <w:color w:val="auto"/>
                <w:sz w:val="18"/>
                <w:szCs w:val="18"/>
                <w:highlight w:val="none"/>
              </w:rPr>
              <w:t>1</w:t>
            </w:r>
          </w:p>
        </w:tc>
        <w:tc>
          <w:tcPr>
            <w:tcW w:w="1045" w:type="dxa"/>
            <w:vAlign w:val="center"/>
          </w:tcPr>
          <w:p w14:paraId="30CE0467">
            <w:pPr>
              <w:jc w:val="center"/>
              <w:rPr>
                <w:color w:val="auto"/>
                <w:sz w:val="18"/>
                <w:szCs w:val="18"/>
                <w:highlight w:val="none"/>
              </w:rPr>
            </w:pPr>
            <w:r>
              <w:rPr>
                <w:color w:val="auto"/>
                <w:sz w:val="18"/>
                <w:szCs w:val="18"/>
                <w:highlight w:val="none"/>
              </w:rPr>
              <w:t>考查</w:t>
            </w:r>
          </w:p>
        </w:tc>
      </w:tr>
      <w:tr w14:paraId="5CFD14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4519758">
            <w:pPr>
              <w:rPr>
                <w:b/>
                <w:color w:val="auto"/>
                <w:sz w:val="18"/>
                <w:szCs w:val="18"/>
                <w:highlight w:val="none"/>
              </w:rPr>
            </w:pPr>
          </w:p>
        </w:tc>
        <w:tc>
          <w:tcPr>
            <w:tcW w:w="1226" w:type="dxa"/>
            <w:vMerge w:val="continue"/>
            <w:vAlign w:val="center"/>
          </w:tcPr>
          <w:p w14:paraId="0D3C7423">
            <w:pPr>
              <w:adjustRightInd w:val="0"/>
              <w:snapToGrid w:val="0"/>
              <w:jc w:val="center"/>
              <w:rPr>
                <w:b/>
                <w:color w:val="auto"/>
                <w:sz w:val="18"/>
                <w:szCs w:val="18"/>
                <w:highlight w:val="none"/>
              </w:rPr>
            </w:pPr>
          </w:p>
        </w:tc>
        <w:tc>
          <w:tcPr>
            <w:tcW w:w="3516" w:type="dxa"/>
            <w:vAlign w:val="center"/>
          </w:tcPr>
          <w:p w14:paraId="33790712">
            <w:pPr>
              <w:spacing w:line="360" w:lineRule="exact"/>
              <w:rPr>
                <w:color w:val="auto"/>
                <w:sz w:val="18"/>
                <w:szCs w:val="18"/>
                <w:highlight w:val="none"/>
              </w:rPr>
            </w:pPr>
            <w:r>
              <w:rPr>
                <w:rFonts w:hint="eastAsia"/>
                <w:color w:val="auto"/>
                <w:sz w:val="18"/>
                <w:szCs w:val="18"/>
                <w:highlight w:val="none"/>
              </w:rPr>
              <w:t>卫生法</w:t>
            </w:r>
          </w:p>
        </w:tc>
        <w:tc>
          <w:tcPr>
            <w:tcW w:w="1244" w:type="dxa"/>
            <w:vAlign w:val="center"/>
          </w:tcPr>
          <w:p w14:paraId="4179EF1D">
            <w:pPr>
              <w:spacing w:line="360" w:lineRule="exact"/>
              <w:jc w:val="center"/>
              <w:rPr>
                <w:rFonts w:hint="eastAsia" w:eastAsia="宋体"/>
                <w:color w:val="auto"/>
                <w:sz w:val="18"/>
                <w:szCs w:val="18"/>
                <w:highlight w:val="none"/>
                <w:lang w:eastAsia="zh-CN"/>
              </w:rPr>
            </w:pPr>
            <w:r>
              <w:rPr>
                <w:color w:val="auto"/>
                <w:sz w:val="18"/>
                <w:szCs w:val="18"/>
                <w:highlight w:val="none"/>
              </w:rPr>
              <w:t>ZS21</w:t>
            </w:r>
            <w:r>
              <w:rPr>
                <w:rFonts w:hint="eastAsia"/>
                <w:color w:val="auto"/>
                <w:sz w:val="18"/>
                <w:szCs w:val="18"/>
                <w:highlight w:val="none"/>
              </w:rPr>
              <w:t>0320</w:t>
            </w:r>
            <w:r>
              <w:rPr>
                <w:rFonts w:hint="eastAsia"/>
                <w:color w:val="auto"/>
                <w:sz w:val="18"/>
                <w:szCs w:val="18"/>
                <w:highlight w:val="none"/>
                <w:lang w:val="en-US" w:eastAsia="zh-CN"/>
              </w:rPr>
              <w:t>7</w:t>
            </w:r>
          </w:p>
        </w:tc>
        <w:tc>
          <w:tcPr>
            <w:tcW w:w="546" w:type="dxa"/>
            <w:vAlign w:val="center"/>
          </w:tcPr>
          <w:p w14:paraId="6677A10B">
            <w:pPr>
              <w:spacing w:line="360" w:lineRule="exact"/>
              <w:jc w:val="center"/>
              <w:rPr>
                <w:color w:val="auto"/>
                <w:sz w:val="18"/>
                <w:szCs w:val="18"/>
                <w:highlight w:val="none"/>
              </w:rPr>
            </w:pPr>
            <w:r>
              <w:rPr>
                <w:rFonts w:hint="eastAsia"/>
                <w:color w:val="auto"/>
                <w:sz w:val="18"/>
                <w:szCs w:val="18"/>
                <w:highlight w:val="none"/>
              </w:rPr>
              <w:t>1</w:t>
            </w:r>
          </w:p>
        </w:tc>
        <w:tc>
          <w:tcPr>
            <w:tcW w:w="709" w:type="dxa"/>
            <w:vAlign w:val="center"/>
          </w:tcPr>
          <w:p w14:paraId="6C1D4E19">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1295A75B">
            <w:pPr>
              <w:adjustRightInd w:val="0"/>
              <w:snapToGrid w:val="0"/>
              <w:jc w:val="center"/>
              <w:rPr>
                <w:color w:val="auto"/>
                <w:sz w:val="18"/>
                <w:szCs w:val="18"/>
                <w:highlight w:val="none"/>
              </w:rPr>
            </w:pPr>
            <w:r>
              <w:rPr>
                <w:color w:val="auto"/>
                <w:sz w:val="18"/>
                <w:szCs w:val="18"/>
                <w:highlight w:val="none"/>
              </w:rPr>
              <w:t>考查</w:t>
            </w:r>
          </w:p>
        </w:tc>
      </w:tr>
      <w:tr w14:paraId="20359A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01855E4">
            <w:pPr>
              <w:rPr>
                <w:b/>
                <w:color w:val="auto"/>
                <w:sz w:val="18"/>
                <w:szCs w:val="18"/>
                <w:highlight w:val="none"/>
              </w:rPr>
            </w:pPr>
          </w:p>
        </w:tc>
        <w:tc>
          <w:tcPr>
            <w:tcW w:w="1226" w:type="dxa"/>
            <w:vMerge w:val="continue"/>
            <w:vAlign w:val="center"/>
          </w:tcPr>
          <w:p w14:paraId="0F286735">
            <w:pPr>
              <w:adjustRightInd w:val="0"/>
              <w:snapToGrid w:val="0"/>
              <w:jc w:val="center"/>
              <w:rPr>
                <w:b/>
                <w:color w:val="auto"/>
                <w:sz w:val="18"/>
                <w:szCs w:val="18"/>
                <w:highlight w:val="none"/>
              </w:rPr>
            </w:pPr>
          </w:p>
        </w:tc>
        <w:tc>
          <w:tcPr>
            <w:tcW w:w="3516" w:type="dxa"/>
            <w:vAlign w:val="center"/>
          </w:tcPr>
          <w:p w14:paraId="62E823E2">
            <w:pPr>
              <w:spacing w:line="360" w:lineRule="exact"/>
              <w:rPr>
                <w:color w:val="auto"/>
                <w:sz w:val="18"/>
                <w:szCs w:val="18"/>
                <w:highlight w:val="none"/>
              </w:rPr>
            </w:pPr>
            <w:r>
              <w:rPr>
                <w:rFonts w:hint="eastAsia"/>
                <w:color w:val="auto"/>
                <w:sz w:val="18"/>
                <w:szCs w:val="18"/>
                <w:highlight w:val="none"/>
              </w:rPr>
              <w:t>社会心理学</w:t>
            </w:r>
          </w:p>
        </w:tc>
        <w:tc>
          <w:tcPr>
            <w:tcW w:w="1244" w:type="dxa"/>
            <w:vAlign w:val="center"/>
          </w:tcPr>
          <w:p w14:paraId="4B0D11DC">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03105</w:t>
            </w:r>
          </w:p>
        </w:tc>
        <w:tc>
          <w:tcPr>
            <w:tcW w:w="546" w:type="dxa"/>
            <w:vAlign w:val="center"/>
          </w:tcPr>
          <w:p w14:paraId="510C66FB">
            <w:pPr>
              <w:spacing w:line="360" w:lineRule="exact"/>
              <w:jc w:val="center"/>
              <w:rPr>
                <w:color w:val="auto"/>
                <w:sz w:val="18"/>
                <w:szCs w:val="18"/>
                <w:highlight w:val="none"/>
              </w:rPr>
            </w:pPr>
            <w:r>
              <w:rPr>
                <w:rFonts w:hint="eastAsia"/>
                <w:color w:val="auto"/>
                <w:sz w:val="18"/>
                <w:szCs w:val="18"/>
                <w:highlight w:val="none"/>
              </w:rPr>
              <w:t>1</w:t>
            </w:r>
          </w:p>
        </w:tc>
        <w:tc>
          <w:tcPr>
            <w:tcW w:w="709" w:type="dxa"/>
            <w:vAlign w:val="center"/>
          </w:tcPr>
          <w:p w14:paraId="16155F51">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6D6F7C20">
            <w:pPr>
              <w:adjustRightInd w:val="0"/>
              <w:snapToGrid w:val="0"/>
              <w:jc w:val="center"/>
              <w:rPr>
                <w:color w:val="auto"/>
                <w:sz w:val="18"/>
                <w:szCs w:val="18"/>
                <w:highlight w:val="none"/>
              </w:rPr>
            </w:pPr>
            <w:r>
              <w:rPr>
                <w:color w:val="auto"/>
                <w:sz w:val="18"/>
                <w:szCs w:val="18"/>
                <w:highlight w:val="none"/>
              </w:rPr>
              <w:t>考查</w:t>
            </w:r>
          </w:p>
        </w:tc>
      </w:tr>
      <w:tr w14:paraId="5BB4C7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7576D4E">
            <w:pPr>
              <w:rPr>
                <w:b/>
                <w:color w:val="auto"/>
                <w:sz w:val="18"/>
                <w:szCs w:val="18"/>
                <w:highlight w:val="none"/>
              </w:rPr>
            </w:pPr>
          </w:p>
        </w:tc>
        <w:tc>
          <w:tcPr>
            <w:tcW w:w="1226" w:type="dxa"/>
            <w:vMerge w:val="continue"/>
            <w:vAlign w:val="center"/>
          </w:tcPr>
          <w:p w14:paraId="0C6241BC">
            <w:pPr>
              <w:adjustRightInd w:val="0"/>
              <w:snapToGrid w:val="0"/>
              <w:jc w:val="center"/>
              <w:rPr>
                <w:b/>
                <w:color w:val="auto"/>
                <w:sz w:val="18"/>
                <w:szCs w:val="18"/>
                <w:highlight w:val="none"/>
              </w:rPr>
            </w:pPr>
          </w:p>
        </w:tc>
        <w:tc>
          <w:tcPr>
            <w:tcW w:w="3516" w:type="dxa"/>
            <w:vAlign w:val="center"/>
          </w:tcPr>
          <w:p w14:paraId="4970B415">
            <w:pPr>
              <w:spacing w:line="360" w:lineRule="exact"/>
              <w:rPr>
                <w:i/>
                <w:color w:val="auto"/>
                <w:sz w:val="18"/>
                <w:szCs w:val="18"/>
                <w:highlight w:val="none"/>
              </w:rPr>
            </w:pPr>
            <w:r>
              <w:rPr>
                <w:rFonts w:hint="eastAsia"/>
                <w:color w:val="auto"/>
                <w:sz w:val="18"/>
                <w:szCs w:val="18"/>
                <w:highlight w:val="none"/>
              </w:rPr>
              <w:t>卫生政策与管理</w:t>
            </w:r>
          </w:p>
        </w:tc>
        <w:tc>
          <w:tcPr>
            <w:tcW w:w="1244" w:type="dxa"/>
            <w:vAlign w:val="center"/>
          </w:tcPr>
          <w:p w14:paraId="52A40D8D">
            <w:pPr>
              <w:spacing w:line="360" w:lineRule="exact"/>
              <w:jc w:val="center"/>
              <w:rPr>
                <w:rFonts w:hint="eastAsia" w:eastAsia="宋体"/>
                <w:color w:val="auto"/>
                <w:sz w:val="18"/>
                <w:szCs w:val="18"/>
                <w:highlight w:val="none"/>
                <w:lang w:eastAsia="zh-CN"/>
              </w:rPr>
            </w:pPr>
            <w:r>
              <w:rPr>
                <w:color w:val="auto"/>
                <w:sz w:val="18"/>
                <w:szCs w:val="18"/>
                <w:highlight w:val="none"/>
              </w:rPr>
              <w:t>ZS21</w:t>
            </w:r>
            <w:r>
              <w:rPr>
                <w:rFonts w:hint="eastAsia"/>
                <w:color w:val="auto"/>
                <w:sz w:val="18"/>
                <w:szCs w:val="18"/>
                <w:highlight w:val="none"/>
              </w:rPr>
              <w:t>0320</w:t>
            </w:r>
            <w:r>
              <w:rPr>
                <w:rFonts w:hint="eastAsia"/>
                <w:color w:val="auto"/>
                <w:sz w:val="18"/>
                <w:szCs w:val="18"/>
                <w:highlight w:val="none"/>
                <w:lang w:val="en-US" w:eastAsia="zh-CN"/>
              </w:rPr>
              <w:t>8</w:t>
            </w:r>
          </w:p>
        </w:tc>
        <w:tc>
          <w:tcPr>
            <w:tcW w:w="546" w:type="dxa"/>
            <w:vAlign w:val="center"/>
          </w:tcPr>
          <w:p w14:paraId="78495CF2">
            <w:pPr>
              <w:spacing w:line="360" w:lineRule="exact"/>
              <w:jc w:val="center"/>
              <w:rPr>
                <w:color w:val="auto"/>
                <w:sz w:val="18"/>
                <w:szCs w:val="18"/>
                <w:highlight w:val="none"/>
              </w:rPr>
            </w:pPr>
            <w:r>
              <w:rPr>
                <w:rFonts w:hint="eastAsia"/>
                <w:color w:val="auto"/>
                <w:sz w:val="18"/>
                <w:szCs w:val="18"/>
                <w:highlight w:val="none"/>
              </w:rPr>
              <w:t>2</w:t>
            </w:r>
          </w:p>
        </w:tc>
        <w:tc>
          <w:tcPr>
            <w:tcW w:w="709" w:type="dxa"/>
            <w:vAlign w:val="center"/>
          </w:tcPr>
          <w:p w14:paraId="67F65427">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4734A2EA">
            <w:pPr>
              <w:adjustRightInd w:val="0"/>
              <w:snapToGrid w:val="0"/>
              <w:jc w:val="center"/>
              <w:rPr>
                <w:color w:val="auto"/>
                <w:sz w:val="18"/>
                <w:szCs w:val="18"/>
                <w:highlight w:val="none"/>
              </w:rPr>
            </w:pPr>
            <w:r>
              <w:rPr>
                <w:color w:val="auto"/>
                <w:sz w:val="18"/>
                <w:szCs w:val="18"/>
                <w:highlight w:val="none"/>
              </w:rPr>
              <w:t>考查</w:t>
            </w:r>
          </w:p>
        </w:tc>
      </w:tr>
      <w:tr w14:paraId="0FC149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5B6812C">
            <w:pPr>
              <w:rPr>
                <w:b/>
                <w:color w:val="auto"/>
                <w:sz w:val="18"/>
                <w:szCs w:val="18"/>
                <w:highlight w:val="none"/>
              </w:rPr>
            </w:pPr>
          </w:p>
        </w:tc>
        <w:tc>
          <w:tcPr>
            <w:tcW w:w="1226" w:type="dxa"/>
            <w:vMerge w:val="continue"/>
            <w:vAlign w:val="center"/>
          </w:tcPr>
          <w:p w14:paraId="174C4EC2">
            <w:pPr>
              <w:adjustRightInd w:val="0"/>
              <w:snapToGrid w:val="0"/>
              <w:jc w:val="center"/>
              <w:rPr>
                <w:b/>
                <w:color w:val="auto"/>
                <w:sz w:val="18"/>
                <w:szCs w:val="18"/>
                <w:highlight w:val="none"/>
              </w:rPr>
            </w:pPr>
          </w:p>
        </w:tc>
        <w:tc>
          <w:tcPr>
            <w:tcW w:w="3516" w:type="dxa"/>
            <w:vAlign w:val="center"/>
          </w:tcPr>
          <w:p w14:paraId="1F534B34">
            <w:pPr>
              <w:spacing w:line="360" w:lineRule="exact"/>
              <w:rPr>
                <w:i/>
                <w:color w:val="auto"/>
                <w:sz w:val="18"/>
                <w:szCs w:val="18"/>
                <w:highlight w:val="none"/>
              </w:rPr>
            </w:pPr>
            <w:r>
              <w:rPr>
                <w:rFonts w:hint="eastAsia"/>
                <w:iCs/>
                <w:color w:val="auto"/>
                <w:sz w:val="18"/>
                <w:szCs w:val="18"/>
                <w:highlight w:val="none"/>
              </w:rPr>
              <w:t>卫生经济学</w:t>
            </w:r>
          </w:p>
        </w:tc>
        <w:tc>
          <w:tcPr>
            <w:tcW w:w="1244" w:type="dxa"/>
            <w:vAlign w:val="center"/>
          </w:tcPr>
          <w:p w14:paraId="3D2AE88B">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03106</w:t>
            </w:r>
          </w:p>
        </w:tc>
        <w:tc>
          <w:tcPr>
            <w:tcW w:w="546" w:type="dxa"/>
            <w:vAlign w:val="center"/>
          </w:tcPr>
          <w:p w14:paraId="7351BB1A">
            <w:pPr>
              <w:spacing w:line="360" w:lineRule="exact"/>
              <w:jc w:val="center"/>
              <w:rPr>
                <w:color w:val="auto"/>
                <w:sz w:val="18"/>
                <w:szCs w:val="18"/>
                <w:highlight w:val="none"/>
              </w:rPr>
            </w:pPr>
            <w:r>
              <w:rPr>
                <w:rFonts w:hint="eastAsia"/>
                <w:color w:val="auto"/>
                <w:sz w:val="18"/>
                <w:szCs w:val="18"/>
                <w:highlight w:val="none"/>
              </w:rPr>
              <w:t>2</w:t>
            </w:r>
          </w:p>
        </w:tc>
        <w:tc>
          <w:tcPr>
            <w:tcW w:w="709" w:type="dxa"/>
            <w:vAlign w:val="center"/>
          </w:tcPr>
          <w:p w14:paraId="4F3B185B">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276AC35E">
            <w:pPr>
              <w:adjustRightInd w:val="0"/>
              <w:snapToGrid w:val="0"/>
              <w:jc w:val="center"/>
              <w:rPr>
                <w:color w:val="auto"/>
                <w:sz w:val="18"/>
                <w:szCs w:val="18"/>
                <w:highlight w:val="none"/>
              </w:rPr>
            </w:pPr>
            <w:r>
              <w:rPr>
                <w:color w:val="auto"/>
                <w:sz w:val="18"/>
                <w:szCs w:val="18"/>
                <w:highlight w:val="none"/>
              </w:rPr>
              <w:t>考查</w:t>
            </w:r>
          </w:p>
        </w:tc>
      </w:tr>
      <w:tr w14:paraId="3AEAFC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63CF80E">
            <w:pPr>
              <w:rPr>
                <w:b/>
                <w:color w:val="auto"/>
                <w:sz w:val="18"/>
                <w:szCs w:val="18"/>
                <w:highlight w:val="none"/>
              </w:rPr>
            </w:pPr>
          </w:p>
        </w:tc>
        <w:tc>
          <w:tcPr>
            <w:tcW w:w="1226" w:type="dxa"/>
            <w:vMerge w:val="continue"/>
          </w:tcPr>
          <w:p w14:paraId="02170332">
            <w:pPr>
              <w:jc w:val="center"/>
              <w:rPr>
                <w:b/>
                <w:color w:val="auto"/>
                <w:sz w:val="18"/>
                <w:szCs w:val="18"/>
                <w:highlight w:val="none"/>
              </w:rPr>
            </w:pPr>
          </w:p>
        </w:tc>
        <w:tc>
          <w:tcPr>
            <w:tcW w:w="3516" w:type="dxa"/>
            <w:shd w:val="clear" w:color="auto" w:fill="auto"/>
            <w:vAlign w:val="center"/>
          </w:tcPr>
          <w:p w14:paraId="4061DB8E">
            <w:pPr>
              <w:spacing w:line="360" w:lineRule="exact"/>
              <w:rPr>
                <w:i/>
                <w:color w:val="auto"/>
                <w:sz w:val="18"/>
                <w:szCs w:val="18"/>
                <w:highlight w:val="none"/>
              </w:rPr>
            </w:pPr>
            <w:r>
              <w:rPr>
                <w:rFonts w:hint="eastAsia"/>
                <w:color w:val="auto"/>
                <w:sz w:val="18"/>
                <w:szCs w:val="18"/>
                <w:highlight w:val="none"/>
              </w:rPr>
              <w:t>卫生服务研究</w:t>
            </w:r>
          </w:p>
        </w:tc>
        <w:tc>
          <w:tcPr>
            <w:tcW w:w="1244" w:type="dxa"/>
            <w:shd w:val="clear" w:color="auto" w:fill="auto"/>
            <w:vAlign w:val="center"/>
          </w:tcPr>
          <w:p w14:paraId="65B0A760">
            <w:pPr>
              <w:spacing w:line="360" w:lineRule="exact"/>
              <w:jc w:val="center"/>
              <w:rPr>
                <w:rFonts w:hint="default" w:eastAsia="宋体"/>
                <w:color w:val="auto"/>
                <w:sz w:val="18"/>
                <w:szCs w:val="18"/>
                <w:highlight w:val="none"/>
                <w:lang w:val="en-US" w:eastAsia="zh-CN"/>
              </w:rPr>
            </w:pPr>
            <w:r>
              <w:rPr>
                <w:color w:val="auto"/>
                <w:sz w:val="18"/>
                <w:szCs w:val="18"/>
                <w:highlight w:val="none"/>
              </w:rPr>
              <w:t>ZS21</w:t>
            </w:r>
            <w:r>
              <w:rPr>
                <w:rFonts w:hint="eastAsia"/>
                <w:color w:val="auto"/>
                <w:sz w:val="18"/>
                <w:szCs w:val="18"/>
                <w:highlight w:val="none"/>
              </w:rPr>
              <w:t>032</w:t>
            </w:r>
            <w:r>
              <w:rPr>
                <w:rFonts w:hint="eastAsia"/>
                <w:color w:val="auto"/>
                <w:sz w:val="18"/>
                <w:szCs w:val="18"/>
                <w:highlight w:val="none"/>
                <w:lang w:val="en-US" w:eastAsia="zh-CN"/>
              </w:rPr>
              <w:t>09</w:t>
            </w:r>
          </w:p>
        </w:tc>
        <w:tc>
          <w:tcPr>
            <w:tcW w:w="546" w:type="dxa"/>
            <w:shd w:val="clear" w:color="auto" w:fill="auto"/>
            <w:vAlign w:val="center"/>
          </w:tcPr>
          <w:p w14:paraId="5DC04626">
            <w:pPr>
              <w:spacing w:line="360" w:lineRule="exact"/>
              <w:jc w:val="center"/>
              <w:rPr>
                <w:color w:val="auto"/>
                <w:sz w:val="18"/>
                <w:szCs w:val="18"/>
                <w:highlight w:val="none"/>
              </w:rPr>
            </w:pPr>
            <w:r>
              <w:rPr>
                <w:rFonts w:hint="eastAsia"/>
                <w:color w:val="auto"/>
                <w:sz w:val="18"/>
                <w:szCs w:val="18"/>
                <w:highlight w:val="none"/>
              </w:rPr>
              <w:t>2</w:t>
            </w:r>
          </w:p>
        </w:tc>
        <w:tc>
          <w:tcPr>
            <w:tcW w:w="709" w:type="dxa"/>
            <w:shd w:val="clear" w:color="auto" w:fill="auto"/>
            <w:vAlign w:val="center"/>
          </w:tcPr>
          <w:p w14:paraId="5B395A7F">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1B935C48">
            <w:pPr>
              <w:jc w:val="center"/>
              <w:rPr>
                <w:color w:val="auto"/>
                <w:sz w:val="18"/>
                <w:szCs w:val="18"/>
                <w:highlight w:val="none"/>
              </w:rPr>
            </w:pPr>
            <w:r>
              <w:rPr>
                <w:color w:val="auto"/>
                <w:sz w:val="18"/>
                <w:szCs w:val="18"/>
                <w:highlight w:val="none"/>
              </w:rPr>
              <w:t>考查</w:t>
            </w:r>
          </w:p>
        </w:tc>
      </w:tr>
      <w:tr w14:paraId="2D7082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89A99D0">
            <w:pPr>
              <w:rPr>
                <w:b/>
                <w:color w:val="auto"/>
                <w:sz w:val="18"/>
                <w:szCs w:val="18"/>
                <w:highlight w:val="none"/>
              </w:rPr>
            </w:pPr>
          </w:p>
        </w:tc>
        <w:tc>
          <w:tcPr>
            <w:tcW w:w="1226" w:type="dxa"/>
            <w:vMerge w:val="continue"/>
          </w:tcPr>
          <w:p w14:paraId="51776B5E">
            <w:pPr>
              <w:jc w:val="center"/>
              <w:rPr>
                <w:b/>
                <w:color w:val="auto"/>
                <w:sz w:val="18"/>
                <w:szCs w:val="18"/>
                <w:highlight w:val="none"/>
              </w:rPr>
            </w:pPr>
          </w:p>
        </w:tc>
        <w:tc>
          <w:tcPr>
            <w:tcW w:w="3516" w:type="dxa"/>
            <w:vAlign w:val="center"/>
          </w:tcPr>
          <w:p w14:paraId="354E5379">
            <w:pPr>
              <w:spacing w:line="360" w:lineRule="exact"/>
              <w:rPr>
                <w:iCs/>
                <w:color w:val="auto"/>
                <w:sz w:val="18"/>
                <w:szCs w:val="18"/>
                <w:highlight w:val="none"/>
              </w:rPr>
            </w:pPr>
            <w:r>
              <w:rPr>
                <w:rFonts w:hint="eastAsia"/>
                <w:iCs/>
                <w:color w:val="auto"/>
                <w:sz w:val="18"/>
                <w:szCs w:val="18"/>
                <w:highlight w:val="none"/>
              </w:rPr>
              <w:t>突发公共卫生事件应急与管理</w:t>
            </w:r>
          </w:p>
        </w:tc>
        <w:tc>
          <w:tcPr>
            <w:tcW w:w="1244" w:type="dxa"/>
            <w:vAlign w:val="center"/>
          </w:tcPr>
          <w:p w14:paraId="0FAADEE5">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03107</w:t>
            </w:r>
          </w:p>
        </w:tc>
        <w:tc>
          <w:tcPr>
            <w:tcW w:w="546" w:type="dxa"/>
            <w:vAlign w:val="center"/>
          </w:tcPr>
          <w:p w14:paraId="6A9B2F63">
            <w:pPr>
              <w:spacing w:line="360" w:lineRule="exact"/>
              <w:jc w:val="center"/>
              <w:rPr>
                <w:color w:val="auto"/>
                <w:sz w:val="18"/>
                <w:szCs w:val="18"/>
                <w:highlight w:val="none"/>
              </w:rPr>
            </w:pPr>
            <w:r>
              <w:rPr>
                <w:rFonts w:hint="eastAsia"/>
                <w:color w:val="auto"/>
                <w:sz w:val="18"/>
                <w:szCs w:val="18"/>
                <w:highlight w:val="none"/>
              </w:rPr>
              <w:t>2</w:t>
            </w:r>
          </w:p>
        </w:tc>
        <w:tc>
          <w:tcPr>
            <w:tcW w:w="709" w:type="dxa"/>
            <w:vAlign w:val="center"/>
          </w:tcPr>
          <w:p w14:paraId="13E6374A">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5174AB36">
            <w:pPr>
              <w:jc w:val="center"/>
              <w:rPr>
                <w:color w:val="auto"/>
                <w:sz w:val="18"/>
                <w:szCs w:val="18"/>
                <w:highlight w:val="none"/>
              </w:rPr>
            </w:pPr>
            <w:r>
              <w:rPr>
                <w:color w:val="auto"/>
                <w:sz w:val="18"/>
                <w:szCs w:val="18"/>
                <w:highlight w:val="none"/>
              </w:rPr>
              <w:t>考查</w:t>
            </w:r>
          </w:p>
        </w:tc>
      </w:tr>
      <w:tr w14:paraId="3BE7EA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2" w:hRule="atLeast"/>
          <w:jc w:val="center"/>
        </w:trPr>
        <w:tc>
          <w:tcPr>
            <w:tcW w:w="571" w:type="dxa"/>
            <w:vMerge w:val="continue"/>
          </w:tcPr>
          <w:p w14:paraId="59C96A63">
            <w:pPr>
              <w:rPr>
                <w:b/>
                <w:color w:val="auto"/>
                <w:sz w:val="18"/>
                <w:szCs w:val="18"/>
                <w:highlight w:val="none"/>
              </w:rPr>
            </w:pPr>
          </w:p>
        </w:tc>
        <w:tc>
          <w:tcPr>
            <w:tcW w:w="1226" w:type="dxa"/>
            <w:vMerge w:val="continue"/>
          </w:tcPr>
          <w:p w14:paraId="6CE16EC7">
            <w:pPr>
              <w:jc w:val="center"/>
              <w:rPr>
                <w:b/>
                <w:color w:val="auto"/>
                <w:sz w:val="18"/>
                <w:szCs w:val="18"/>
                <w:highlight w:val="none"/>
              </w:rPr>
            </w:pPr>
          </w:p>
        </w:tc>
        <w:tc>
          <w:tcPr>
            <w:tcW w:w="3516" w:type="dxa"/>
            <w:vAlign w:val="center"/>
          </w:tcPr>
          <w:p w14:paraId="410A99BF">
            <w:pPr>
              <w:spacing w:line="360" w:lineRule="exact"/>
              <w:rPr>
                <w:i/>
                <w:color w:val="auto"/>
                <w:sz w:val="18"/>
                <w:szCs w:val="18"/>
                <w:highlight w:val="none"/>
              </w:rPr>
            </w:pPr>
            <w:r>
              <w:rPr>
                <w:rFonts w:hint="eastAsia"/>
                <w:iCs/>
                <w:color w:val="auto"/>
                <w:sz w:val="18"/>
                <w:szCs w:val="18"/>
                <w:highlight w:val="none"/>
              </w:rPr>
              <w:t>学科前沿进展</w:t>
            </w:r>
          </w:p>
        </w:tc>
        <w:tc>
          <w:tcPr>
            <w:tcW w:w="1244" w:type="dxa"/>
            <w:vAlign w:val="center"/>
          </w:tcPr>
          <w:p w14:paraId="11E2DA99">
            <w:pPr>
              <w:spacing w:line="360" w:lineRule="exact"/>
              <w:jc w:val="center"/>
              <w:rPr>
                <w:color w:val="auto"/>
                <w:sz w:val="18"/>
                <w:szCs w:val="18"/>
                <w:highlight w:val="none"/>
              </w:rPr>
            </w:pPr>
            <w:r>
              <w:rPr>
                <w:color w:val="auto"/>
                <w:sz w:val="18"/>
                <w:szCs w:val="18"/>
                <w:highlight w:val="none"/>
              </w:rPr>
              <w:t>ZS21</w:t>
            </w:r>
            <w:r>
              <w:rPr>
                <w:rFonts w:hint="eastAsia"/>
                <w:color w:val="auto"/>
                <w:sz w:val="18"/>
                <w:szCs w:val="18"/>
                <w:highlight w:val="none"/>
              </w:rPr>
              <w:t>03108</w:t>
            </w:r>
          </w:p>
        </w:tc>
        <w:tc>
          <w:tcPr>
            <w:tcW w:w="546" w:type="dxa"/>
            <w:vAlign w:val="center"/>
          </w:tcPr>
          <w:p w14:paraId="3D9B29CA">
            <w:pPr>
              <w:spacing w:line="360" w:lineRule="exact"/>
              <w:jc w:val="center"/>
              <w:rPr>
                <w:color w:val="auto"/>
                <w:sz w:val="18"/>
                <w:szCs w:val="18"/>
                <w:highlight w:val="none"/>
              </w:rPr>
            </w:pPr>
            <w:r>
              <w:rPr>
                <w:rFonts w:hint="eastAsia"/>
                <w:color w:val="auto"/>
                <w:sz w:val="18"/>
                <w:szCs w:val="18"/>
                <w:highlight w:val="none"/>
              </w:rPr>
              <w:t>2</w:t>
            </w:r>
          </w:p>
        </w:tc>
        <w:tc>
          <w:tcPr>
            <w:tcW w:w="709" w:type="dxa"/>
            <w:vAlign w:val="center"/>
          </w:tcPr>
          <w:p w14:paraId="63245A75">
            <w:pPr>
              <w:spacing w:line="360" w:lineRule="exact"/>
              <w:jc w:val="center"/>
              <w:rPr>
                <w:color w:val="auto"/>
                <w:sz w:val="18"/>
                <w:szCs w:val="18"/>
                <w:highlight w:val="none"/>
              </w:rPr>
            </w:pPr>
            <w:r>
              <w:rPr>
                <w:rFonts w:hint="eastAsia"/>
                <w:color w:val="auto"/>
                <w:sz w:val="18"/>
                <w:szCs w:val="18"/>
                <w:highlight w:val="none"/>
              </w:rPr>
              <w:t>1</w:t>
            </w:r>
          </w:p>
        </w:tc>
        <w:tc>
          <w:tcPr>
            <w:tcW w:w="1045" w:type="dxa"/>
            <w:vAlign w:val="center"/>
          </w:tcPr>
          <w:p w14:paraId="73005602">
            <w:pPr>
              <w:jc w:val="center"/>
              <w:rPr>
                <w:color w:val="auto"/>
                <w:sz w:val="18"/>
                <w:szCs w:val="18"/>
                <w:highlight w:val="none"/>
              </w:rPr>
            </w:pPr>
            <w:r>
              <w:rPr>
                <w:color w:val="auto"/>
                <w:sz w:val="18"/>
                <w:szCs w:val="18"/>
                <w:highlight w:val="none"/>
              </w:rPr>
              <w:t>考查</w:t>
            </w:r>
          </w:p>
        </w:tc>
      </w:tr>
      <w:tr w14:paraId="76E51B8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4A1B152">
            <w:pPr>
              <w:rPr>
                <w:b/>
                <w:color w:val="auto"/>
                <w:sz w:val="18"/>
                <w:szCs w:val="18"/>
                <w:highlight w:val="none"/>
              </w:rPr>
            </w:pPr>
          </w:p>
        </w:tc>
        <w:tc>
          <w:tcPr>
            <w:tcW w:w="1226" w:type="dxa"/>
            <w:vMerge w:val="continue"/>
          </w:tcPr>
          <w:p w14:paraId="46A9D57D">
            <w:pPr>
              <w:jc w:val="center"/>
              <w:rPr>
                <w:b/>
                <w:color w:val="auto"/>
                <w:sz w:val="18"/>
                <w:szCs w:val="18"/>
                <w:highlight w:val="none"/>
              </w:rPr>
            </w:pPr>
          </w:p>
        </w:tc>
        <w:tc>
          <w:tcPr>
            <w:tcW w:w="3516" w:type="dxa"/>
            <w:shd w:val="clear" w:color="auto" w:fill="FFFFFF"/>
            <w:vAlign w:val="center"/>
          </w:tcPr>
          <w:p w14:paraId="3A2F3CE2">
            <w:pPr>
              <w:widowControl/>
              <w:jc w:val="left"/>
              <w:rPr>
                <w:rFonts w:hint="default" w:ascii="Times New Roman" w:hAnsi="Times New Roman" w:eastAsia="宋体" w:cs="Times New Roman"/>
                <w:color w:val="auto"/>
                <w:kern w:val="2"/>
                <w:sz w:val="18"/>
                <w:szCs w:val="18"/>
                <w:highlight w:val="none"/>
                <w:lang w:val="en-US" w:eastAsia="zh-CN" w:bidi="ar-SA"/>
              </w:rPr>
            </w:pPr>
            <w:r>
              <w:rPr>
                <w:rFonts w:hint="default"/>
                <w:color w:val="auto"/>
                <w:sz w:val="18"/>
                <w:szCs w:val="18"/>
                <w:highlight w:val="none"/>
              </w:rPr>
              <w:t>大数据技术与应用</w:t>
            </w:r>
          </w:p>
        </w:tc>
        <w:tc>
          <w:tcPr>
            <w:tcW w:w="1244" w:type="dxa"/>
            <w:shd w:val="clear" w:color="auto" w:fill="auto"/>
            <w:vAlign w:val="center"/>
          </w:tcPr>
          <w:p w14:paraId="6B595427">
            <w:pPr>
              <w:spacing w:line="360" w:lineRule="exact"/>
              <w:jc w:val="center"/>
              <w:rPr>
                <w:rFonts w:hint="default" w:ascii="Times New Roman" w:hAnsi="Times New Roman" w:eastAsia="宋体" w:cs="Times New Roman"/>
                <w:color w:val="auto"/>
                <w:kern w:val="2"/>
                <w:sz w:val="18"/>
                <w:szCs w:val="18"/>
                <w:highlight w:val="none"/>
                <w:lang w:val="en-US" w:eastAsia="zh-CN" w:bidi="ar-SA"/>
              </w:rPr>
            </w:pPr>
            <w:r>
              <w:rPr>
                <w:color w:val="auto"/>
                <w:sz w:val="18"/>
                <w:szCs w:val="18"/>
                <w:highlight w:val="none"/>
              </w:rPr>
              <w:t>ZS21</w:t>
            </w:r>
            <w:r>
              <w:rPr>
                <w:rFonts w:hint="eastAsia"/>
                <w:color w:val="auto"/>
                <w:sz w:val="18"/>
                <w:szCs w:val="18"/>
                <w:highlight w:val="none"/>
              </w:rPr>
              <w:t>032</w:t>
            </w:r>
            <w:r>
              <w:rPr>
                <w:rFonts w:hint="eastAsia"/>
                <w:color w:val="auto"/>
                <w:sz w:val="18"/>
                <w:szCs w:val="18"/>
                <w:highlight w:val="none"/>
                <w:lang w:val="en-US" w:eastAsia="zh-CN"/>
              </w:rPr>
              <w:t>10</w:t>
            </w:r>
          </w:p>
        </w:tc>
        <w:tc>
          <w:tcPr>
            <w:tcW w:w="546" w:type="dxa"/>
            <w:shd w:val="clear" w:color="auto" w:fill="auto"/>
            <w:vAlign w:val="center"/>
          </w:tcPr>
          <w:p w14:paraId="45F8B5AB">
            <w:pPr>
              <w:spacing w:line="360" w:lineRule="exact"/>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5410F8BA">
            <w:pPr>
              <w:spacing w:line="360" w:lineRule="exact"/>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045" w:type="dxa"/>
            <w:shd w:val="clear" w:color="auto" w:fill="auto"/>
            <w:vAlign w:val="center"/>
          </w:tcPr>
          <w:p w14:paraId="3339771C">
            <w:pPr>
              <w:jc w:val="center"/>
              <w:rPr>
                <w:rFonts w:ascii="Times New Roman" w:hAnsi="Times New Roman" w:eastAsia="宋体" w:cs="Times New Roman"/>
                <w:color w:val="auto"/>
                <w:kern w:val="2"/>
                <w:sz w:val="18"/>
                <w:szCs w:val="18"/>
                <w:highlight w:val="none"/>
                <w:lang w:val="en-US" w:eastAsia="zh-CN" w:bidi="ar-SA"/>
              </w:rPr>
            </w:pPr>
            <w:r>
              <w:rPr>
                <w:color w:val="auto"/>
                <w:sz w:val="18"/>
                <w:szCs w:val="18"/>
                <w:highlight w:val="none"/>
              </w:rPr>
              <w:t>考查</w:t>
            </w:r>
          </w:p>
        </w:tc>
      </w:tr>
      <w:tr w14:paraId="52B583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4E46131">
            <w:pPr>
              <w:rPr>
                <w:b/>
                <w:color w:val="auto"/>
                <w:sz w:val="18"/>
                <w:szCs w:val="18"/>
                <w:highlight w:val="none"/>
              </w:rPr>
            </w:pPr>
          </w:p>
        </w:tc>
        <w:tc>
          <w:tcPr>
            <w:tcW w:w="1226" w:type="dxa"/>
            <w:vMerge w:val="continue"/>
          </w:tcPr>
          <w:p w14:paraId="2E7A3CD6">
            <w:pPr>
              <w:jc w:val="center"/>
              <w:rPr>
                <w:b/>
                <w:color w:val="auto"/>
                <w:sz w:val="18"/>
                <w:szCs w:val="18"/>
                <w:highlight w:val="none"/>
              </w:rPr>
            </w:pPr>
          </w:p>
        </w:tc>
        <w:tc>
          <w:tcPr>
            <w:tcW w:w="3516" w:type="dxa"/>
            <w:shd w:val="clear" w:color="auto" w:fill="FFFFFF"/>
            <w:vAlign w:val="center"/>
          </w:tcPr>
          <w:p w14:paraId="0E6C09B9">
            <w:pPr>
              <w:widowControl/>
              <w:jc w:val="left"/>
              <w:rPr>
                <w:rFonts w:hint="default" w:ascii="Times New Roman" w:hAnsi="Times New Roman" w:eastAsia="宋体" w:cs="Times New Roman"/>
                <w:color w:val="auto"/>
                <w:kern w:val="0"/>
                <w:sz w:val="18"/>
                <w:szCs w:val="18"/>
                <w:highlight w:val="none"/>
                <w:lang w:val="en-US" w:eastAsia="zh-CN" w:bidi="ar"/>
              </w:rPr>
            </w:pPr>
            <w:r>
              <w:rPr>
                <w:rFonts w:hint="default" w:ascii="Times New Roman" w:hAnsi="Times New Roman" w:eastAsia="宋体" w:cs="Times New Roman"/>
                <w:color w:val="auto"/>
                <w:kern w:val="0"/>
                <w:sz w:val="18"/>
                <w:szCs w:val="18"/>
                <w:highlight w:val="none"/>
                <w:lang w:val="en-US" w:eastAsia="zh-CN" w:bidi="ar"/>
              </w:rPr>
              <w:t>生物信息学</w:t>
            </w:r>
          </w:p>
        </w:tc>
        <w:tc>
          <w:tcPr>
            <w:tcW w:w="1244" w:type="dxa"/>
            <w:vAlign w:val="center"/>
          </w:tcPr>
          <w:p w14:paraId="14A87553">
            <w:pPr>
              <w:spacing w:line="360" w:lineRule="exact"/>
              <w:jc w:val="center"/>
              <w:rPr>
                <w:rFonts w:hint="default" w:eastAsia="宋体"/>
                <w:color w:val="auto"/>
                <w:sz w:val="18"/>
                <w:szCs w:val="18"/>
                <w:highlight w:val="none"/>
                <w:lang w:val="en-US" w:eastAsia="zh-CN"/>
              </w:rPr>
            </w:pPr>
            <w:r>
              <w:rPr>
                <w:color w:val="auto"/>
                <w:sz w:val="18"/>
                <w:szCs w:val="18"/>
                <w:highlight w:val="none"/>
              </w:rPr>
              <w:t>ZS21</w:t>
            </w:r>
            <w:r>
              <w:rPr>
                <w:rFonts w:hint="eastAsia"/>
                <w:color w:val="auto"/>
                <w:sz w:val="18"/>
                <w:szCs w:val="18"/>
                <w:highlight w:val="none"/>
              </w:rPr>
              <w:t>032</w:t>
            </w:r>
            <w:r>
              <w:rPr>
                <w:rFonts w:hint="eastAsia"/>
                <w:color w:val="auto"/>
                <w:sz w:val="18"/>
                <w:szCs w:val="18"/>
                <w:highlight w:val="none"/>
                <w:lang w:val="en-US" w:eastAsia="zh-CN"/>
              </w:rPr>
              <w:t>17</w:t>
            </w:r>
          </w:p>
        </w:tc>
        <w:tc>
          <w:tcPr>
            <w:tcW w:w="546" w:type="dxa"/>
            <w:vAlign w:val="center"/>
          </w:tcPr>
          <w:p w14:paraId="32E4F481">
            <w:pPr>
              <w:spacing w:line="360" w:lineRule="exact"/>
              <w:jc w:val="center"/>
              <w:rPr>
                <w:rFonts w:hint="eastAsia"/>
                <w:color w:val="auto"/>
                <w:sz w:val="18"/>
                <w:szCs w:val="18"/>
                <w:highlight w:val="none"/>
              </w:rPr>
            </w:pPr>
            <w:r>
              <w:rPr>
                <w:rFonts w:hint="eastAsia"/>
                <w:color w:val="auto"/>
                <w:sz w:val="18"/>
                <w:szCs w:val="18"/>
                <w:highlight w:val="none"/>
              </w:rPr>
              <w:t>2</w:t>
            </w:r>
          </w:p>
        </w:tc>
        <w:tc>
          <w:tcPr>
            <w:tcW w:w="709" w:type="dxa"/>
            <w:vAlign w:val="center"/>
          </w:tcPr>
          <w:p w14:paraId="43112446">
            <w:pPr>
              <w:spacing w:line="360" w:lineRule="exact"/>
              <w:jc w:val="center"/>
              <w:rPr>
                <w:rFonts w:hint="eastAsia"/>
                <w:color w:val="auto"/>
                <w:sz w:val="18"/>
                <w:szCs w:val="18"/>
                <w:highlight w:val="none"/>
              </w:rPr>
            </w:pPr>
            <w:r>
              <w:rPr>
                <w:rFonts w:hint="eastAsia"/>
                <w:color w:val="auto"/>
                <w:sz w:val="18"/>
                <w:szCs w:val="18"/>
                <w:highlight w:val="none"/>
              </w:rPr>
              <w:t>1</w:t>
            </w:r>
          </w:p>
        </w:tc>
        <w:tc>
          <w:tcPr>
            <w:tcW w:w="1045" w:type="dxa"/>
            <w:vAlign w:val="center"/>
          </w:tcPr>
          <w:p w14:paraId="30FF0EEF">
            <w:pPr>
              <w:jc w:val="center"/>
              <w:rPr>
                <w:color w:val="auto"/>
                <w:sz w:val="18"/>
                <w:szCs w:val="18"/>
                <w:highlight w:val="none"/>
              </w:rPr>
            </w:pPr>
            <w:r>
              <w:rPr>
                <w:color w:val="auto"/>
                <w:sz w:val="18"/>
                <w:szCs w:val="18"/>
                <w:highlight w:val="none"/>
              </w:rPr>
              <w:t>考查</w:t>
            </w:r>
          </w:p>
        </w:tc>
      </w:tr>
      <w:tr w14:paraId="3C6D41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387118B">
            <w:pPr>
              <w:rPr>
                <w:b/>
                <w:color w:val="auto"/>
                <w:sz w:val="18"/>
                <w:szCs w:val="18"/>
                <w:highlight w:val="none"/>
              </w:rPr>
            </w:pPr>
          </w:p>
        </w:tc>
        <w:tc>
          <w:tcPr>
            <w:tcW w:w="1226" w:type="dxa"/>
            <w:vMerge w:val="continue"/>
          </w:tcPr>
          <w:p w14:paraId="68E74D38">
            <w:pPr>
              <w:jc w:val="center"/>
              <w:rPr>
                <w:b/>
                <w:color w:val="auto"/>
                <w:sz w:val="18"/>
                <w:szCs w:val="18"/>
                <w:highlight w:val="none"/>
              </w:rPr>
            </w:pPr>
          </w:p>
        </w:tc>
        <w:tc>
          <w:tcPr>
            <w:tcW w:w="3516" w:type="dxa"/>
            <w:shd w:val="clear" w:color="auto" w:fill="FFFFFF"/>
            <w:vAlign w:val="center"/>
          </w:tcPr>
          <w:p w14:paraId="773DB34A">
            <w:pPr>
              <w:widowControl/>
              <w:jc w:val="left"/>
              <w:rPr>
                <w:rFonts w:hint="default" w:ascii="Times New Roman" w:hAnsi="Times New Roman" w:eastAsia="宋体" w:cs="Times New Roman"/>
                <w:color w:val="auto"/>
                <w:kern w:val="0"/>
                <w:sz w:val="18"/>
                <w:szCs w:val="18"/>
                <w:highlight w:val="none"/>
                <w:lang w:val="en-US" w:eastAsia="zh-CN" w:bidi="ar"/>
              </w:rPr>
            </w:pPr>
            <w:r>
              <w:rPr>
                <w:rFonts w:hint="default" w:ascii="Times New Roman" w:hAnsi="Times New Roman" w:eastAsia="宋体" w:cs="Times New Roman"/>
                <w:color w:val="auto"/>
                <w:kern w:val="0"/>
                <w:sz w:val="18"/>
                <w:szCs w:val="18"/>
                <w:highlight w:val="none"/>
                <w:lang w:val="en-US" w:eastAsia="zh-CN" w:bidi="ar"/>
              </w:rPr>
              <w:t>公共卫生案例分析（专题讲座）</w:t>
            </w:r>
          </w:p>
        </w:tc>
        <w:tc>
          <w:tcPr>
            <w:tcW w:w="1244" w:type="dxa"/>
            <w:vAlign w:val="center"/>
          </w:tcPr>
          <w:p w14:paraId="6C3D4850">
            <w:pPr>
              <w:spacing w:line="360" w:lineRule="exact"/>
              <w:jc w:val="center"/>
              <w:rPr>
                <w:rFonts w:hint="default" w:eastAsia="宋体"/>
                <w:color w:val="auto"/>
                <w:sz w:val="18"/>
                <w:szCs w:val="18"/>
                <w:highlight w:val="none"/>
                <w:lang w:val="en-US" w:eastAsia="zh-CN"/>
              </w:rPr>
            </w:pPr>
            <w:r>
              <w:rPr>
                <w:color w:val="auto"/>
                <w:sz w:val="18"/>
                <w:szCs w:val="18"/>
                <w:highlight w:val="none"/>
              </w:rPr>
              <w:t>ZS21</w:t>
            </w:r>
            <w:r>
              <w:rPr>
                <w:rFonts w:hint="eastAsia"/>
                <w:color w:val="auto"/>
                <w:sz w:val="18"/>
                <w:szCs w:val="18"/>
                <w:highlight w:val="none"/>
              </w:rPr>
              <w:t>032</w:t>
            </w:r>
            <w:r>
              <w:rPr>
                <w:rFonts w:hint="eastAsia"/>
                <w:color w:val="auto"/>
                <w:sz w:val="18"/>
                <w:szCs w:val="18"/>
                <w:highlight w:val="none"/>
                <w:lang w:val="en-US" w:eastAsia="zh-CN"/>
              </w:rPr>
              <w:t>18</w:t>
            </w:r>
          </w:p>
        </w:tc>
        <w:tc>
          <w:tcPr>
            <w:tcW w:w="546" w:type="dxa"/>
            <w:vAlign w:val="center"/>
          </w:tcPr>
          <w:p w14:paraId="269E8242">
            <w:pPr>
              <w:spacing w:line="360" w:lineRule="exact"/>
              <w:jc w:val="center"/>
              <w:rPr>
                <w:rFonts w:hint="eastAsia"/>
                <w:color w:val="auto"/>
                <w:sz w:val="18"/>
                <w:szCs w:val="18"/>
                <w:highlight w:val="none"/>
              </w:rPr>
            </w:pPr>
            <w:r>
              <w:rPr>
                <w:rFonts w:hint="eastAsia"/>
                <w:color w:val="auto"/>
                <w:sz w:val="18"/>
                <w:szCs w:val="18"/>
                <w:highlight w:val="none"/>
              </w:rPr>
              <w:t>2</w:t>
            </w:r>
          </w:p>
        </w:tc>
        <w:tc>
          <w:tcPr>
            <w:tcW w:w="709" w:type="dxa"/>
            <w:vAlign w:val="center"/>
          </w:tcPr>
          <w:p w14:paraId="180661FA">
            <w:pPr>
              <w:spacing w:line="360" w:lineRule="exact"/>
              <w:jc w:val="center"/>
              <w:rPr>
                <w:rFonts w:hint="eastAsia"/>
                <w:color w:val="auto"/>
                <w:sz w:val="18"/>
                <w:szCs w:val="18"/>
                <w:highlight w:val="none"/>
              </w:rPr>
            </w:pPr>
            <w:r>
              <w:rPr>
                <w:rFonts w:hint="eastAsia"/>
                <w:color w:val="auto"/>
                <w:sz w:val="18"/>
                <w:szCs w:val="18"/>
                <w:highlight w:val="none"/>
              </w:rPr>
              <w:t>1</w:t>
            </w:r>
          </w:p>
        </w:tc>
        <w:tc>
          <w:tcPr>
            <w:tcW w:w="1045" w:type="dxa"/>
            <w:vAlign w:val="center"/>
          </w:tcPr>
          <w:p w14:paraId="2AE9BFB4">
            <w:pPr>
              <w:jc w:val="center"/>
              <w:rPr>
                <w:color w:val="auto"/>
                <w:sz w:val="18"/>
                <w:szCs w:val="18"/>
                <w:highlight w:val="none"/>
              </w:rPr>
            </w:pPr>
            <w:r>
              <w:rPr>
                <w:color w:val="auto"/>
                <w:sz w:val="18"/>
                <w:szCs w:val="18"/>
                <w:highlight w:val="none"/>
              </w:rPr>
              <w:t>考查</w:t>
            </w:r>
          </w:p>
        </w:tc>
      </w:tr>
      <w:tr w14:paraId="1A7A02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1" w:hRule="atLeast"/>
          <w:jc w:val="center"/>
        </w:trPr>
        <w:tc>
          <w:tcPr>
            <w:tcW w:w="571" w:type="dxa"/>
            <w:vMerge w:val="restart"/>
            <w:vAlign w:val="center"/>
          </w:tcPr>
          <w:p w14:paraId="7DF7CC4C">
            <w:pPr>
              <w:jc w:val="center"/>
              <w:rPr>
                <w:b/>
                <w:color w:val="auto"/>
                <w:sz w:val="18"/>
                <w:szCs w:val="18"/>
                <w:highlight w:val="none"/>
              </w:rPr>
            </w:pPr>
            <w:r>
              <w:rPr>
                <w:b/>
                <w:color w:val="auto"/>
                <w:sz w:val="18"/>
                <w:szCs w:val="18"/>
                <w:highlight w:val="none"/>
              </w:rPr>
              <w:t>必修环节</w:t>
            </w:r>
          </w:p>
          <w:p w14:paraId="4673AC83">
            <w:pPr>
              <w:jc w:val="center"/>
              <w:rPr>
                <w:b/>
                <w:color w:val="auto"/>
                <w:sz w:val="18"/>
                <w:szCs w:val="18"/>
                <w:highlight w:val="none"/>
              </w:rPr>
            </w:pPr>
          </w:p>
        </w:tc>
        <w:tc>
          <w:tcPr>
            <w:tcW w:w="1226" w:type="dxa"/>
            <w:vMerge w:val="restart"/>
            <w:vAlign w:val="center"/>
          </w:tcPr>
          <w:p w14:paraId="0C0155EA">
            <w:pPr>
              <w:jc w:val="center"/>
              <w:rPr>
                <w:b/>
                <w:color w:val="auto"/>
                <w:sz w:val="18"/>
                <w:szCs w:val="18"/>
                <w:highlight w:val="none"/>
              </w:rPr>
            </w:pPr>
            <w:r>
              <w:rPr>
                <w:b/>
                <w:color w:val="auto"/>
                <w:sz w:val="18"/>
                <w:szCs w:val="18"/>
                <w:highlight w:val="none"/>
              </w:rPr>
              <w:t>素质拓展</w:t>
            </w:r>
          </w:p>
        </w:tc>
        <w:tc>
          <w:tcPr>
            <w:tcW w:w="3516" w:type="dxa"/>
            <w:vAlign w:val="center"/>
          </w:tcPr>
          <w:p w14:paraId="5C1D9832">
            <w:pPr>
              <w:rPr>
                <w:color w:val="auto"/>
                <w:sz w:val="18"/>
                <w:szCs w:val="18"/>
                <w:highlight w:val="none"/>
              </w:rPr>
            </w:pPr>
            <w:r>
              <w:rPr>
                <w:color w:val="auto"/>
                <w:sz w:val="18"/>
                <w:szCs w:val="18"/>
                <w:highlight w:val="none"/>
              </w:rPr>
              <w:t>入学教育</w:t>
            </w:r>
          </w:p>
        </w:tc>
        <w:tc>
          <w:tcPr>
            <w:tcW w:w="1244" w:type="dxa"/>
            <w:vAlign w:val="center"/>
          </w:tcPr>
          <w:p w14:paraId="07D54A99">
            <w:pPr>
              <w:jc w:val="center"/>
              <w:rPr>
                <w:rFonts w:hint="default" w:eastAsia="宋体"/>
                <w:color w:val="auto"/>
                <w:sz w:val="18"/>
                <w:szCs w:val="18"/>
                <w:highlight w:val="none"/>
                <w:lang w:val="en-US" w:eastAsia="zh-CN"/>
              </w:rPr>
            </w:pPr>
            <w:r>
              <w:rPr>
                <w:color w:val="auto"/>
                <w:sz w:val="18"/>
                <w:szCs w:val="18"/>
                <w:highlight w:val="none"/>
              </w:rPr>
              <w:t>ZS21</w:t>
            </w:r>
            <w:r>
              <w:rPr>
                <w:rFonts w:hint="eastAsia"/>
                <w:color w:val="auto"/>
                <w:sz w:val="18"/>
                <w:szCs w:val="18"/>
                <w:highlight w:val="none"/>
              </w:rPr>
              <w:t>03</w:t>
            </w:r>
            <w:r>
              <w:rPr>
                <w:rFonts w:hint="eastAsia"/>
                <w:color w:val="auto"/>
                <w:sz w:val="18"/>
                <w:szCs w:val="18"/>
                <w:highlight w:val="none"/>
                <w:lang w:val="en-US" w:eastAsia="zh-CN"/>
              </w:rPr>
              <w:t>109</w:t>
            </w:r>
          </w:p>
        </w:tc>
        <w:tc>
          <w:tcPr>
            <w:tcW w:w="546" w:type="dxa"/>
            <w:vAlign w:val="center"/>
          </w:tcPr>
          <w:p w14:paraId="6FD2C9AE">
            <w:pPr>
              <w:jc w:val="center"/>
              <w:rPr>
                <w:color w:val="auto"/>
                <w:sz w:val="18"/>
                <w:szCs w:val="18"/>
                <w:highlight w:val="none"/>
              </w:rPr>
            </w:pPr>
            <w:r>
              <w:rPr>
                <w:rFonts w:hint="eastAsia"/>
                <w:color w:val="auto"/>
                <w:sz w:val="18"/>
                <w:szCs w:val="18"/>
                <w:highlight w:val="none"/>
              </w:rPr>
              <w:t>1</w:t>
            </w:r>
          </w:p>
        </w:tc>
        <w:tc>
          <w:tcPr>
            <w:tcW w:w="709" w:type="dxa"/>
            <w:vAlign w:val="center"/>
          </w:tcPr>
          <w:p w14:paraId="63EA548D">
            <w:pPr>
              <w:jc w:val="center"/>
              <w:rPr>
                <w:color w:val="auto"/>
                <w:sz w:val="18"/>
                <w:szCs w:val="18"/>
                <w:highlight w:val="none"/>
              </w:rPr>
            </w:pPr>
            <w:r>
              <w:rPr>
                <w:color w:val="auto"/>
                <w:sz w:val="18"/>
                <w:szCs w:val="18"/>
                <w:highlight w:val="none"/>
              </w:rPr>
              <w:t>1</w:t>
            </w:r>
          </w:p>
        </w:tc>
        <w:tc>
          <w:tcPr>
            <w:tcW w:w="1045" w:type="dxa"/>
            <w:vMerge w:val="restart"/>
            <w:vAlign w:val="center"/>
          </w:tcPr>
          <w:p w14:paraId="2C6B2D2B">
            <w:pPr>
              <w:jc w:val="center"/>
              <w:rPr>
                <w:i/>
                <w:color w:val="auto"/>
                <w:sz w:val="18"/>
                <w:szCs w:val="18"/>
                <w:highlight w:val="none"/>
              </w:rPr>
            </w:pPr>
          </w:p>
        </w:tc>
      </w:tr>
      <w:tr w14:paraId="03988B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1" w:hRule="atLeast"/>
          <w:jc w:val="center"/>
        </w:trPr>
        <w:tc>
          <w:tcPr>
            <w:tcW w:w="571" w:type="dxa"/>
            <w:vMerge w:val="continue"/>
            <w:vAlign w:val="center"/>
          </w:tcPr>
          <w:p w14:paraId="0183CE27">
            <w:pPr>
              <w:jc w:val="center"/>
              <w:rPr>
                <w:b/>
                <w:color w:val="auto"/>
                <w:sz w:val="18"/>
                <w:szCs w:val="18"/>
                <w:highlight w:val="none"/>
              </w:rPr>
            </w:pPr>
          </w:p>
        </w:tc>
        <w:tc>
          <w:tcPr>
            <w:tcW w:w="1226" w:type="dxa"/>
            <w:vMerge w:val="continue"/>
            <w:vAlign w:val="center"/>
          </w:tcPr>
          <w:p w14:paraId="55EA4631">
            <w:pPr>
              <w:jc w:val="center"/>
              <w:rPr>
                <w:b/>
                <w:color w:val="auto"/>
                <w:sz w:val="18"/>
                <w:szCs w:val="18"/>
                <w:highlight w:val="none"/>
              </w:rPr>
            </w:pPr>
          </w:p>
        </w:tc>
        <w:tc>
          <w:tcPr>
            <w:tcW w:w="3516" w:type="dxa"/>
            <w:shd w:val="clear" w:color="auto" w:fill="auto"/>
            <w:vAlign w:val="center"/>
          </w:tcPr>
          <w:p w14:paraId="09483D03">
            <w:pPr>
              <w:rPr>
                <w:color w:val="auto"/>
                <w:sz w:val="18"/>
                <w:szCs w:val="18"/>
                <w:highlight w:val="none"/>
              </w:rPr>
            </w:pPr>
            <w:r>
              <w:rPr>
                <w:rFonts w:hint="eastAsia"/>
                <w:color w:val="auto"/>
                <w:sz w:val="18"/>
                <w:szCs w:val="18"/>
                <w:highlight w:val="none"/>
                <w:lang w:val="en-US" w:eastAsia="zh-CN"/>
              </w:rPr>
              <w:t>专业</w:t>
            </w:r>
            <w:r>
              <w:rPr>
                <w:color w:val="auto"/>
                <w:sz w:val="18"/>
                <w:szCs w:val="18"/>
                <w:highlight w:val="none"/>
              </w:rPr>
              <w:t>实践</w:t>
            </w:r>
          </w:p>
        </w:tc>
        <w:tc>
          <w:tcPr>
            <w:tcW w:w="1244" w:type="dxa"/>
            <w:shd w:val="clear" w:color="auto" w:fill="auto"/>
            <w:vAlign w:val="center"/>
          </w:tcPr>
          <w:p w14:paraId="00E5A408">
            <w:pPr>
              <w:jc w:val="center"/>
              <w:rPr>
                <w:color w:val="auto"/>
                <w:sz w:val="18"/>
                <w:szCs w:val="18"/>
                <w:highlight w:val="none"/>
              </w:rPr>
            </w:pPr>
          </w:p>
        </w:tc>
        <w:tc>
          <w:tcPr>
            <w:tcW w:w="546" w:type="dxa"/>
            <w:shd w:val="clear" w:color="auto" w:fill="auto"/>
            <w:vAlign w:val="center"/>
          </w:tcPr>
          <w:p w14:paraId="4F58A912">
            <w:pPr>
              <w:jc w:val="center"/>
              <w:rPr>
                <w:rFonts w:hint="eastAsia" w:eastAsia="宋体"/>
                <w:color w:val="auto"/>
                <w:sz w:val="18"/>
                <w:szCs w:val="18"/>
                <w:highlight w:val="none"/>
                <w:lang w:eastAsia="zh-CN"/>
              </w:rPr>
            </w:pPr>
            <w:r>
              <w:rPr>
                <w:rFonts w:hint="eastAsia"/>
                <w:color w:val="auto"/>
                <w:sz w:val="18"/>
                <w:szCs w:val="18"/>
                <w:highlight w:val="none"/>
                <w:lang w:val="en-US" w:eastAsia="zh-CN"/>
              </w:rPr>
              <w:t>1</w:t>
            </w:r>
          </w:p>
        </w:tc>
        <w:tc>
          <w:tcPr>
            <w:tcW w:w="709" w:type="dxa"/>
            <w:shd w:val="clear" w:color="auto" w:fill="auto"/>
            <w:vAlign w:val="center"/>
          </w:tcPr>
          <w:p w14:paraId="1340EB78">
            <w:pPr>
              <w:jc w:val="center"/>
              <w:rPr>
                <w:rFonts w:hint="eastAsia" w:eastAsia="宋体"/>
                <w:color w:val="auto"/>
                <w:sz w:val="18"/>
                <w:szCs w:val="18"/>
                <w:highlight w:val="none"/>
                <w:lang w:eastAsia="zh-CN"/>
              </w:rPr>
            </w:pPr>
            <w:r>
              <w:rPr>
                <w:rFonts w:hint="eastAsia"/>
                <w:color w:val="auto"/>
                <w:sz w:val="18"/>
                <w:szCs w:val="18"/>
                <w:highlight w:val="none"/>
                <w:lang w:val="en-US" w:eastAsia="zh-CN"/>
              </w:rPr>
              <w:t>2</w:t>
            </w:r>
          </w:p>
        </w:tc>
        <w:tc>
          <w:tcPr>
            <w:tcW w:w="1045" w:type="dxa"/>
            <w:vMerge w:val="continue"/>
            <w:vAlign w:val="center"/>
          </w:tcPr>
          <w:p w14:paraId="3E4F3CEF">
            <w:pPr>
              <w:jc w:val="center"/>
              <w:rPr>
                <w:color w:val="auto"/>
                <w:sz w:val="18"/>
                <w:szCs w:val="18"/>
                <w:highlight w:val="none"/>
              </w:rPr>
            </w:pPr>
          </w:p>
        </w:tc>
      </w:tr>
      <w:tr w14:paraId="145EB77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751EEF5">
            <w:pPr>
              <w:rPr>
                <w:b/>
                <w:color w:val="auto"/>
                <w:sz w:val="18"/>
                <w:szCs w:val="18"/>
                <w:highlight w:val="none"/>
              </w:rPr>
            </w:pPr>
          </w:p>
        </w:tc>
        <w:tc>
          <w:tcPr>
            <w:tcW w:w="1226" w:type="dxa"/>
            <w:vMerge w:val="restart"/>
            <w:vAlign w:val="center"/>
          </w:tcPr>
          <w:p w14:paraId="676FD1AA">
            <w:pPr>
              <w:jc w:val="center"/>
              <w:rPr>
                <w:b/>
                <w:color w:val="auto"/>
                <w:sz w:val="18"/>
                <w:szCs w:val="18"/>
                <w:highlight w:val="none"/>
              </w:rPr>
            </w:pPr>
            <w:r>
              <w:rPr>
                <w:b/>
                <w:color w:val="auto"/>
                <w:sz w:val="18"/>
                <w:szCs w:val="18"/>
                <w:highlight w:val="none"/>
              </w:rPr>
              <w:t>学术训练</w:t>
            </w:r>
          </w:p>
        </w:tc>
        <w:tc>
          <w:tcPr>
            <w:tcW w:w="3516" w:type="dxa"/>
            <w:vAlign w:val="center"/>
          </w:tcPr>
          <w:p w14:paraId="3D396450">
            <w:pPr>
              <w:rPr>
                <w:color w:val="auto"/>
                <w:sz w:val="18"/>
                <w:szCs w:val="18"/>
                <w:highlight w:val="none"/>
              </w:rPr>
            </w:pPr>
            <w:r>
              <w:rPr>
                <w:color w:val="auto"/>
                <w:sz w:val="18"/>
                <w:szCs w:val="18"/>
                <w:highlight w:val="none"/>
              </w:rPr>
              <w:t>中期筛选</w:t>
            </w:r>
          </w:p>
        </w:tc>
        <w:tc>
          <w:tcPr>
            <w:tcW w:w="1244" w:type="dxa"/>
            <w:vAlign w:val="center"/>
          </w:tcPr>
          <w:p w14:paraId="11674941">
            <w:pPr>
              <w:jc w:val="center"/>
              <w:rPr>
                <w:color w:val="auto"/>
                <w:sz w:val="18"/>
                <w:szCs w:val="18"/>
                <w:highlight w:val="none"/>
              </w:rPr>
            </w:pPr>
          </w:p>
        </w:tc>
        <w:tc>
          <w:tcPr>
            <w:tcW w:w="546" w:type="dxa"/>
            <w:vAlign w:val="center"/>
          </w:tcPr>
          <w:p w14:paraId="1365630A">
            <w:pPr>
              <w:jc w:val="center"/>
              <w:rPr>
                <w:color w:val="auto"/>
                <w:sz w:val="18"/>
                <w:szCs w:val="18"/>
                <w:highlight w:val="none"/>
              </w:rPr>
            </w:pPr>
            <w:r>
              <w:rPr>
                <w:rFonts w:hint="eastAsia"/>
                <w:color w:val="auto"/>
                <w:sz w:val="18"/>
                <w:szCs w:val="18"/>
                <w:highlight w:val="none"/>
              </w:rPr>
              <w:t>0</w:t>
            </w:r>
          </w:p>
        </w:tc>
        <w:tc>
          <w:tcPr>
            <w:tcW w:w="709" w:type="dxa"/>
            <w:vAlign w:val="center"/>
          </w:tcPr>
          <w:p w14:paraId="4DEA0626">
            <w:pPr>
              <w:jc w:val="center"/>
              <w:rPr>
                <w:color w:val="auto"/>
                <w:sz w:val="18"/>
                <w:szCs w:val="18"/>
                <w:highlight w:val="none"/>
              </w:rPr>
            </w:pPr>
            <w:r>
              <w:rPr>
                <w:rFonts w:hint="eastAsia"/>
                <w:color w:val="auto"/>
                <w:sz w:val="18"/>
                <w:szCs w:val="18"/>
                <w:highlight w:val="none"/>
              </w:rPr>
              <w:t>2-3</w:t>
            </w:r>
          </w:p>
        </w:tc>
        <w:tc>
          <w:tcPr>
            <w:tcW w:w="1045" w:type="dxa"/>
            <w:vMerge w:val="restart"/>
            <w:vAlign w:val="center"/>
          </w:tcPr>
          <w:p w14:paraId="623EA5E7">
            <w:pPr>
              <w:jc w:val="center"/>
              <w:rPr>
                <w:color w:val="auto"/>
                <w:sz w:val="18"/>
                <w:szCs w:val="18"/>
                <w:highlight w:val="none"/>
              </w:rPr>
            </w:pPr>
            <w:r>
              <w:rPr>
                <w:color w:val="auto"/>
                <w:sz w:val="18"/>
                <w:szCs w:val="18"/>
                <w:highlight w:val="none"/>
              </w:rPr>
              <w:t>过程管理</w:t>
            </w:r>
          </w:p>
          <w:p w14:paraId="7824F0B7">
            <w:pPr>
              <w:jc w:val="center"/>
              <w:rPr>
                <w:color w:val="auto"/>
                <w:sz w:val="18"/>
                <w:szCs w:val="18"/>
                <w:highlight w:val="none"/>
              </w:rPr>
            </w:pPr>
            <w:r>
              <w:rPr>
                <w:color w:val="auto"/>
                <w:sz w:val="18"/>
                <w:szCs w:val="18"/>
                <w:highlight w:val="none"/>
              </w:rPr>
              <w:t>无学分</w:t>
            </w:r>
          </w:p>
        </w:tc>
      </w:tr>
      <w:tr w14:paraId="131FFD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3B281FD">
            <w:pPr>
              <w:rPr>
                <w:b/>
                <w:color w:val="auto"/>
                <w:sz w:val="18"/>
                <w:szCs w:val="18"/>
                <w:highlight w:val="none"/>
              </w:rPr>
            </w:pPr>
          </w:p>
        </w:tc>
        <w:tc>
          <w:tcPr>
            <w:tcW w:w="1226" w:type="dxa"/>
            <w:vMerge w:val="continue"/>
            <w:vAlign w:val="center"/>
          </w:tcPr>
          <w:p w14:paraId="4549B058">
            <w:pPr>
              <w:jc w:val="center"/>
              <w:rPr>
                <w:b/>
                <w:color w:val="auto"/>
                <w:sz w:val="18"/>
                <w:szCs w:val="18"/>
                <w:highlight w:val="none"/>
              </w:rPr>
            </w:pPr>
          </w:p>
        </w:tc>
        <w:tc>
          <w:tcPr>
            <w:tcW w:w="3516" w:type="dxa"/>
            <w:vAlign w:val="center"/>
          </w:tcPr>
          <w:p w14:paraId="4E1DFD31">
            <w:pPr>
              <w:rPr>
                <w:color w:val="auto"/>
                <w:sz w:val="18"/>
                <w:szCs w:val="18"/>
                <w:highlight w:val="none"/>
              </w:rPr>
            </w:pPr>
            <w:r>
              <w:rPr>
                <w:color w:val="auto"/>
                <w:sz w:val="18"/>
                <w:szCs w:val="18"/>
                <w:highlight w:val="none"/>
              </w:rPr>
              <w:t>论文开题</w:t>
            </w:r>
          </w:p>
        </w:tc>
        <w:tc>
          <w:tcPr>
            <w:tcW w:w="1244" w:type="dxa"/>
            <w:vAlign w:val="center"/>
          </w:tcPr>
          <w:p w14:paraId="267ECBB2">
            <w:pPr>
              <w:jc w:val="center"/>
              <w:rPr>
                <w:color w:val="auto"/>
                <w:sz w:val="18"/>
                <w:szCs w:val="18"/>
                <w:highlight w:val="none"/>
              </w:rPr>
            </w:pPr>
          </w:p>
        </w:tc>
        <w:tc>
          <w:tcPr>
            <w:tcW w:w="546" w:type="dxa"/>
            <w:vAlign w:val="center"/>
          </w:tcPr>
          <w:p w14:paraId="63FE0B1E">
            <w:pPr>
              <w:jc w:val="center"/>
              <w:rPr>
                <w:color w:val="auto"/>
                <w:sz w:val="18"/>
                <w:szCs w:val="18"/>
                <w:highlight w:val="none"/>
              </w:rPr>
            </w:pPr>
            <w:r>
              <w:rPr>
                <w:rFonts w:hint="eastAsia"/>
                <w:color w:val="auto"/>
                <w:sz w:val="18"/>
                <w:szCs w:val="18"/>
                <w:highlight w:val="none"/>
              </w:rPr>
              <w:t>0</w:t>
            </w:r>
          </w:p>
        </w:tc>
        <w:tc>
          <w:tcPr>
            <w:tcW w:w="709" w:type="dxa"/>
            <w:vAlign w:val="center"/>
          </w:tcPr>
          <w:p w14:paraId="666EB16D">
            <w:pPr>
              <w:jc w:val="center"/>
              <w:rPr>
                <w:color w:val="auto"/>
                <w:sz w:val="18"/>
                <w:szCs w:val="18"/>
                <w:highlight w:val="none"/>
              </w:rPr>
            </w:pPr>
            <w:r>
              <w:rPr>
                <w:rFonts w:hint="eastAsia"/>
                <w:color w:val="auto"/>
                <w:sz w:val="18"/>
                <w:szCs w:val="18"/>
                <w:highlight w:val="none"/>
              </w:rPr>
              <w:t>3</w:t>
            </w:r>
          </w:p>
        </w:tc>
        <w:tc>
          <w:tcPr>
            <w:tcW w:w="1045" w:type="dxa"/>
            <w:vMerge w:val="continue"/>
            <w:vAlign w:val="center"/>
          </w:tcPr>
          <w:p w14:paraId="5122FA6C">
            <w:pPr>
              <w:jc w:val="center"/>
              <w:rPr>
                <w:color w:val="auto"/>
                <w:sz w:val="18"/>
                <w:szCs w:val="18"/>
                <w:highlight w:val="none"/>
              </w:rPr>
            </w:pPr>
          </w:p>
        </w:tc>
      </w:tr>
      <w:tr w14:paraId="485D04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31814FD">
            <w:pPr>
              <w:rPr>
                <w:b/>
                <w:color w:val="auto"/>
                <w:sz w:val="18"/>
                <w:szCs w:val="18"/>
                <w:highlight w:val="none"/>
              </w:rPr>
            </w:pPr>
          </w:p>
        </w:tc>
        <w:tc>
          <w:tcPr>
            <w:tcW w:w="1226" w:type="dxa"/>
            <w:vMerge w:val="continue"/>
            <w:vAlign w:val="center"/>
          </w:tcPr>
          <w:p w14:paraId="56745449">
            <w:pPr>
              <w:jc w:val="center"/>
              <w:rPr>
                <w:b/>
                <w:color w:val="auto"/>
                <w:sz w:val="18"/>
                <w:szCs w:val="18"/>
                <w:highlight w:val="none"/>
              </w:rPr>
            </w:pPr>
          </w:p>
        </w:tc>
        <w:tc>
          <w:tcPr>
            <w:tcW w:w="3516" w:type="dxa"/>
            <w:vAlign w:val="center"/>
          </w:tcPr>
          <w:p w14:paraId="011E9F7F">
            <w:pPr>
              <w:rPr>
                <w:color w:val="auto"/>
                <w:sz w:val="18"/>
                <w:szCs w:val="18"/>
                <w:highlight w:val="none"/>
              </w:rPr>
            </w:pPr>
            <w:r>
              <w:rPr>
                <w:rFonts w:hint="eastAsia"/>
                <w:color w:val="auto"/>
                <w:sz w:val="18"/>
                <w:szCs w:val="18"/>
                <w:highlight w:val="none"/>
              </w:rPr>
              <w:t>论文阶段性进展报告</w:t>
            </w:r>
          </w:p>
        </w:tc>
        <w:tc>
          <w:tcPr>
            <w:tcW w:w="1244" w:type="dxa"/>
            <w:vAlign w:val="center"/>
          </w:tcPr>
          <w:p w14:paraId="02E49086">
            <w:pPr>
              <w:jc w:val="center"/>
              <w:rPr>
                <w:color w:val="auto"/>
                <w:sz w:val="18"/>
                <w:szCs w:val="18"/>
                <w:highlight w:val="none"/>
              </w:rPr>
            </w:pPr>
          </w:p>
        </w:tc>
        <w:tc>
          <w:tcPr>
            <w:tcW w:w="546" w:type="dxa"/>
            <w:vAlign w:val="center"/>
          </w:tcPr>
          <w:p w14:paraId="33135040">
            <w:pPr>
              <w:jc w:val="center"/>
              <w:rPr>
                <w:color w:val="auto"/>
                <w:sz w:val="18"/>
                <w:szCs w:val="18"/>
                <w:highlight w:val="none"/>
              </w:rPr>
            </w:pPr>
            <w:r>
              <w:rPr>
                <w:rFonts w:hint="eastAsia"/>
                <w:color w:val="auto"/>
                <w:sz w:val="18"/>
                <w:szCs w:val="18"/>
                <w:highlight w:val="none"/>
              </w:rPr>
              <w:t>0</w:t>
            </w:r>
          </w:p>
        </w:tc>
        <w:tc>
          <w:tcPr>
            <w:tcW w:w="709" w:type="dxa"/>
            <w:vAlign w:val="center"/>
          </w:tcPr>
          <w:p w14:paraId="3E4CB871">
            <w:pPr>
              <w:jc w:val="center"/>
              <w:rPr>
                <w:color w:val="auto"/>
                <w:sz w:val="18"/>
                <w:szCs w:val="18"/>
                <w:highlight w:val="none"/>
              </w:rPr>
            </w:pPr>
            <w:r>
              <w:rPr>
                <w:rFonts w:hint="eastAsia"/>
                <w:color w:val="auto"/>
                <w:sz w:val="18"/>
                <w:szCs w:val="18"/>
                <w:highlight w:val="none"/>
              </w:rPr>
              <w:t>4</w:t>
            </w:r>
          </w:p>
        </w:tc>
        <w:tc>
          <w:tcPr>
            <w:tcW w:w="1045" w:type="dxa"/>
            <w:vMerge w:val="continue"/>
            <w:vAlign w:val="center"/>
          </w:tcPr>
          <w:p w14:paraId="4E6AF675">
            <w:pPr>
              <w:jc w:val="center"/>
              <w:rPr>
                <w:color w:val="auto"/>
                <w:sz w:val="18"/>
                <w:szCs w:val="18"/>
                <w:highlight w:val="none"/>
              </w:rPr>
            </w:pPr>
          </w:p>
        </w:tc>
      </w:tr>
      <w:tr w14:paraId="6D3886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DC99C6F">
            <w:pPr>
              <w:rPr>
                <w:b/>
                <w:color w:val="auto"/>
                <w:sz w:val="18"/>
                <w:szCs w:val="18"/>
                <w:highlight w:val="none"/>
              </w:rPr>
            </w:pPr>
          </w:p>
        </w:tc>
        <w:tc>
          <w:tcPr>
            <w:tcW w:w="1226" w:type="dxa"/>
            <w:vMerge w:val="continue"/>
            <w:vAlign w:val="center"/>
          </w:tcPr>
          <w:p w14:paraId="3C7D7DC7">
            <w:pPr>
              <w:jc w:val="center"/>
              <w:rPr>
                <w:b/>
                <w:color w:val="auto"/>
                <w:sz w:val="18"/>
                <w:szCs w:val="18"/>
                <w:highlight w:val="none"/>
              </w:rPr>
            </w:pPr>
          </w:p>
        </w:tc>
        <w:tc>
          <w:tcPr>
            <w:tcW w:w="3516" w:type="dxa"/>
            <w:vAlign w:val="center"/>
          </w:tcPr>
          <w:p w14:paraId="1021BE29">
            <w:pPr>
              <w:rPr>
                <w:color w:val="auto"/>
                <w:sz w:val="18"/>
                <w:szCs w:val="18"/>
                <w:highlight w:val="none"/>
              </w:rPr>
            </w:pPr>
            <w:r>
              <w:rPr>
                <w:color w:val="auto"/>
                <w:sz w:val="18"/>
                <w:szCs w:val="18"/>
                <w:highlight w:val="none"/>
              </w:rPr>
              <w:t>论文中期进展报告</w:t>
            </w:r>
          </w:p>
        </w:tc>
        <w:tc>
          <w:tcPr>
            <w:tcW w:w="1244" w:type="dxa"/>
            <w:vAlign w:val="center"/>
          </w:tcPr>
          <w:p w14:paraId="5FB4F263">
            <w:pPr>
              <w:jc w:val="center"/>
              <w:rPr>
                <w:color w:val="auto"/>
                <w:sz w:val="18"/>
                <w:szCs w:val="18"/>
                <w:highlight w:val="none"/>
              </w:rPr>
            </w:pPr>
          </w:p>
        </w:tc>
        <w:tc>
          <w:tcPr>
            <w:tcW w:w="546" w:type="dxa"/>
            <w:vAlign w:val="center"/>
          </w:tcPr>
          <w:p w14:paraId="7AF6B153">
            <w:pPr>
              <w:jc w:val="center"/>
              <w:rPr>
                <w:color w:val="auto"/>
                <w:sz w:val="18"/>
                <w:szCs w:val="18"/>
                <w:highlight w:val="none"/>
              </w:rPr>
            </w:pPr>
            <w:r>
              <w:rPr>
                <w:rFonts w:hint="eastAsia"/>
                <w:color w:val="auto"/>
                <w:sz w:val="18"/>
                <w:szCs w:val="18"/>
                <w:highlight w:val="none"/>
              </w:rPr>
              <w:t>0</w:t>
            </w:r>
          </w:p>
        </w:tc>
        <w:tc>
          <w:tcPr>
            <w:tcW w:w="709" w:type="dxa"/>
            <w:vAlign w:val="center"/>
          </w:tcPr>
          <w:p w14:paraId="37575590">
            <w:pPr>
              <w:jc w:val="center"/>
              <w:rPr>
                <w:color w:val="auto"/>
                <w:sz w:val="18"/>
                <w:szCs w:val="18"/>
                <w:highlight w:val="none"/>
              </w:rPr>
            </w:pPr>
            <w:r>
              <w:rPr>
                <w:rFonts w:hint="eastAsia"/>
                <w:color w:val="auto"/>
                <w:sz w:val="18"/>
                <w:szCs w:val="18"/>
                <w:highlight w:val="none"/>
              </w:rPr>
              <w:t>5</w:t>
            </w:r>
          </w:p>
        </w:tc>
        <w:tc>
          <w:tcPr>
            <w:tcW w:w="1045" w:type="dxa"/>
            <w:vMerge w:val="continue"/>
          </w:tcPr>
          <w:p w14:paraId="38EEC717">
            <w:pPr>
              <w:jc w:val="center"/>
              <w:rPr>
                <w:color w:val="auto"/>
                <w:sz w:val="18"/>
                <w:szCs w:val="18"/>
                <w:highlight w:val="none"/>
              </w:rPr>
            </w:pPr>
          </w:p>
        </w:tc>
      </w:tr>
      <w:tr w14:paraId="0575A2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32D59F2">
            <w:pPr>
              <w:rPr>
                <w:b/>
                <w:color w:val="auto"/>
                <w:sz w:val="18"/>
                <w:szCs w:val="18"/>
                <w:highlight w:val="none"/>
              </w:rPr>
            </w:pPr>
          </w:p>
        </w:tc>
        <w:tc>
          <w:tcPr>
            <w:tcW w:w="1226" w:type="dxa"/>
            <w:vMerge w:val="continue"/>
            <w:vAlign w:val="center"/>
          </w:tcPr>
          <w:p w14:paraId="150E680C">
            <w:pPr>
              <w:jc w:val="center"/>
              <w:rPr>
                <w:b/>
                <w:color w:val="auto"/>
                <w:sz w:val="18"/>
                <w:szCs w:val="18"/>
                <w:highlight w:val="none"/>
              </w:rPr>
            </w:pPr>
          </w:p>
        </w:tc>
        <w:tc>
          <w:tcPr>
            <w:tcW w:w="3516" w:type="dxa"/>
            <w:vAlign w:val="center"/>
          </w:tcPr>
          <w:p w14:paraId="510CD74D">
            <w:pPr>
              <w:rPr>
                <w:color w:val="auto"/>
                <w:sz w:val="18"/>
                <w:szCs w:val="18"/>
                <w:highlight w:val="none"/>
              </w:rPr>
            </w:pPr>
            <w:r>
              <w:rPr>
                <w:color w:val="auto"/>
                <w:sz w:val="18"/>
                <w:szCs w:val="18"/>
                <w:highlight w:val="none"/>
              </w:rPr>
              <w:t>论文预答辩</w:t>
            </w:r>
          </w:p>
        </w:tc>
        <w:tc>
          <w:tcPr>
            <w:tcW w:w="1244" w:type="dxa"/>
            <w:vAlign w:val="center"/>
          </w:tcPr>
          <w:p w14:paraId="1BA7DAFE">
            <w:pPr>
              <w:jc w:val="center"/>
              <w:rPr>
                <w:color w:val="auto"/>
                <w:sz w:val="18"/>
                <w:szCs w:val="18"/>
                <w:highlight w:val="none"/>
              </w:rPr>
            </w:pPr>
          </w:p>
        </w:tc>
        <w:tc>
          <w:tcPr>
            <w:tcW w:w="546" w:type="dxa"/>
            <w:vAlign w:val="center"/>
          </w:tcPr>
          <w:p w14:paraId="7F887524">
            <w:pPr>
              <w:jc w:val="center"/>
              <w:rPr>
                <w:color w:val="auto"/>
                <w:sz w:val="18"/>
                <w:szCs w:val="18"/>
                <w:highlight w:val="none"/>
              </w:rPr>
            </w:pPr>
            <w:r>
              <w:rPr>
                <w:rFonts w:hint="eastAsia"/>
                <w:color w:val="auto"/>
                <w:sz w:val="18"/>
                <w:szCs w:val="18"/>
                <w:highlight w:val="none"/>
              </w:rPr>
              <w:t>0</w:t>
            </w:r>
          </w:p>
        </w:tc>
        <w:tc>
          <w:tcPr>
            <w:tcW w:w="709" w:type="dxa"/>
            <w:vAlign w:val="center"/>
          </w:tcPr>
          <w:p w14:paraId="56E905D2">
            <w:pPr>
              <w:jc w:val="center"/>
              <w:rPr>
                <w:color w:val="auto"/>
                <w:sz w:val="18"/>
                <w:szCs w:val="18"/>
                <w:highlight w:val="none"/>
              </w:rPr>
            </w:pPr>
            <w:r>
              <w:rPr>
                <w:rFonts w:hint="eastAsia"/>
                <w:color w:val="auto"/>
                <w:sz w:val="18"/>
                <w:szCs w:val="18"/>
                <w:highlight w:val="none"/>
              </w:rPr>
              <w:t>6</w:t>
            </w:r>
          </w:p>
        </w:tc>
        <w:tc>
          <w:tcPr>
            <w:tcW w:w="1045" w:type="dxa"/>
            <w:vMerge w:val="continue"/>
          </w:tcPr>
          <w:p w14:paraId="088DE57E">
            <w:pPr>
              <w:jc w:val="center"/>
              <w:rPr>
                <w:color w:val="auto"/>
                <w:sz w:val="18"/>
                <w:szCs w:val="18"/>
                <w:highlight w:val="none"/>
              </w:rPr>
            </w:pPr>
          </w:p>
        </w:tc>
      </w:tr>
      <w:tr w14:paraId="4395FF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87ACE5">
            <w:pPr>
              <w:rPr>
                <w:color w:val="auto"/>
                <w:sz w:val="18"/>
                <w:szCs w:val="18"/>
                <w:highlight w:val="none"/>
              </w:rPr>
            </w:pPr>
          </w:p>
        </w:tc>
        <w:tc>
          <w:tcPr>
            <w:tcW w:w="1226" w:type="dxa"/>
            <w:vMerge w:val="continue"/>
          </w:tcPr>
          <w:p w14:paraId="76642535">
            <w:pPr>
              <w:jc w:val="center"/>
              <w:rPr>
                <w:color w:val="auto"/>
                <w:sz w:val="18"/>
                <w:szCs w:val="18"/>
                <w:highlight w:val="none"/>
              </w:rPr>
            </w:pPr>
          </w:p>
        </w:tc>
        <w:tc>
          <w:tcPr>
            <w:tcW w:w="3516" w:type="dxa"/>
            <w:vAlign w:val="center"/>
          </w:tcPr>
          <w:p w14:paraId="0C2CE0EA">
            <w:pPr>
              <w:rPr>
                <w:color w:val="auto"/>
                <w:sz w:val="18"/>
                <w:szCs w:val="18"/>
                <w:highlight w:val="none"/>
              </w:rPr>
            </w:pPr>
            <w:r>
              <w:rPr>
                <w:color w:val="auto"/>
                <w:sz w:val="18"/>
                <w:szCs w:val="18"/>
                <w:highlight w:val="none"/>
              </w:rPr>
              <w:t>论文评审</w:t>
            </w:r>
          </w:p>
        </w:tc>
        <w:tc>
          <w:tcPr>
            <w:tcW w:w="1244" w:type="dxa"/>
            <w:vAlign w:val="center"/>
          </w:tcPr>
          <w:p w14:paraId="1B3D6C64">
            <w:pPr>
              <w:jc w:val="center"/>
              <w:rPr>
                <w:color w:val="auto"/>
                <w:sz w:val="18"/>
                <w:szCs w:val="18"/>
                <w:highlight w:val="none"/>
              </w:rPr>
            </w:pPr>
          </w:p>
        </w:tc>
        <w:tc>
          <w:tcPr>
            <w:tcW w:w="546" w:type="dxa"/>
            <w:vAlign w:val="center"/>
          </w:tcPr>
          <w:p w14:paraId="7A248C8F">
            <w:pPr>
              <w:jc w:val="center"/>
              <w:rPr>
                <w:color w:val="auto"/>
                <w:sz w:val="18"/>
                <w:szCs w:val="18"/>
                <w:highlight w:val="none"/>
              </w:rPr>
            </w:pPr>
            <w:r>
              <w:rPr>
                <w:rFonts w:hint="eastAsia"/>
                <w:color w:val="auto"/>
                <w:sz w:val="18"/>
                <w:szCs w:val="18"/>
                <w:highlight w:val="none"/>
              </w:rPr>
              <w:t>0</w:t>
            </w:r>
          </w:p>
        </w:tc>
        <w:tc>
          <w:tcPr>
            <w:tcW w:w="709" w:type="dxa"/>
            <w:vAlign w:val="center"/>
          </w:tcPr>
          <w:p w14:paraId="216AFEDC">
            <w:pPr>
              <w:jc w:val="center"/>
              <w:rPr>
                <w:color w:val="auto"/>
                <w:sz w:val="18"/>
                <w:szCs w:val="18"/>
                <w:highlight w:val="none"/>
              </w:rPr>
            </w:pPr>
            <w:r>
              <w:rPr>
                <w:color w:val="auto"/>
                <w:sz w:val="18"/>
                <w:szCs w:val="18"/>
                <w:highlight w:val="none"/>
              </w:rPr>
              <w:t>6</w:t>
            </w:r>
          </w:p>
        </w:tc>
        <w:tc>
          <w:tcPr>
            <w:tcW w:w="1045" w:type="dxa"/>
            <w:vMerge w:val="continue"/>
          </w:tcPr>
          <w:p w14:paraId="32541947">
            <w:pPr>
              <w:jc w:val="center"/>
              <w:rPr>
                <w:color w:val="auto"/>
                <w:sz w:val="18"/>
                <w:szCs w:val="18"/>
                <w:highlight w:val="none"/>
              </w:rPr>
            </w:pPr>
          </w:p>
        </w:tc>
      </w:tr>
      <w:tr w14:paraId="09E64F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2BAA973">
            <w:pPr>
              <w:rPr>
                <w:color w:val="auto"/>
                <w:sz w:val="18"/>
                <w:szCs w:val="18"/>
                <w:highlight w:val="none"/>
              </w:rPr>
            </w:pPr>
          </w:p>
        </w:tc>
        <w:tc>
          <w:tcPr>
            <w:tcW w:w="1226" w:type="dxa"/>
            <w:vMerge w:val="continue"/>
          </w:tcPr>
          <w:p w14:paraId="4496EDA8">
            <w:pPr>
              <w:jc w:val="center"/>
              <w:rPr>
                <w:color w:val="auto"/>
                <w:sz w:val="18"/>
                <w:szCs w:val="18"/>
                <w:highlight w:val="none"/>
              </w:rPr>
            </w:pPr>
          </w:p>
        </w:tc>
        <w:tc>
          <w:tcPr>
            <w:tcW w:w="3516" w:type="dxa"/>
            <w:vAlign w:val="center"/>
          </w:tcPr>
          <w:p w14:paraId="1445052C">
            <w:pPr>
              <w:rPr>
                <w:color w:val="auto"/>
                <w:sz w:val="18"/>
                <w:szCs w:val="18"/>
                <w:highlight w:val="none"/>
              </w:rPr>
            </w:pPr>
            <w:r>
              <w:rPr>
                <w:color w:val="auto"/>
                <w:sz w:val="18"/>
                <w:szCs w:val="18"/>
                <w:highlight w:val="none"/>
              </w:rPr>
              <w:t>论文答辩</w:t>
            </w:r>
          </w:p>
        </w:tc>
        <w:tc>
          <w:tcPr>
            <w:tcW w:w="1244" w:type="dxa"/>
            <w:vAlign w:val="center"/>
          </w:tcPr>
          <w:p w14:paraId="4BE90940">
            <w:pPr>
              <w:jc w:val="center"/>
              <w:rPr>
                <w:color w:val="auto"/>
                <w:sz w:val="18"/>
                <w:szCs w:val="18"/>
                <w:highlight w:val="none"/>
              </w:rPr>
            </w:pPr>
          </w:p>
        </w:tc>
        <w:tc>
          <w:tcPr>
            <w:tcW w:w="546" w:type="dxa"/>
            <w:vAlign w:val="center"/>
          </w:tcPr>
          <w:p w14:paraId="4585A804">
            <w:pPr>
              <w:jc w:val="center"/>
              <w:rPr>
                <w:color w:val="auto"/>
                <w:sz w:val="18"/>
                <w:szCs w:val="18"/>
                <w:highlight w:val="none"/>
              </w:rPr>
            </w:pPr>
            <w:r>
              <w:rPr>
                <w:rFonts w:hint="eastAsia"/>
                <w:color w:val="auto"/>
                <w:sz w:val="18"/>
                <w:szCs w:val="18"/>
                <w:highlight w:val="none"/>
              </w:rPr>
              <w:t>0</w:t>
            </w:r>
          </w:p>
        </w:tc>
        <w:tc>
          <w:tcPr>
            <w:tcW w:w="709" w:type="dxa"/>
            <w:vAlign w:val="center"/>
          </w:tcPr>
          <w:p w14:paraId="73F256A5">
            <w:pPr>
              <w:jc w:val="center"/>
              <w:rPr>
                <w:color w:val="auto"/>
                <w:sz w:val="18"/>
                <w:szCs w:val="18"/>
                <w:highlight w:val="none"/>
              </w:rPr>
            </w:pPr>
            <w:r>
              <w:rPr>
                <w:color w:val="auto"/>
                <w:sz w:val="18"/>
                <w:szCs w:val="18"/>
                <w:highlight w:val="none"/>
              </w:rPr>
              <w:t>6</w:t>
            </w:r>
          </w:p>
        </w:tc>
        <w:tc>
          <w:tcPr>
            <w:tcW w:w="1045" w:type="dxa"/>
            <w:vMerge w:val="continue"/>
          </w:tcPr>
          <w:p w14:paraId="75339ED8">
            <w:pPr>
              <w:jc w:val="center"/>
              <w:rPr>
                <w:color w:val="auto"/>
                <w:sz w:val="18"/>
                <w:szCs w:val="18"/>
                <w:highlight w:val="none"/>
              </w:rPr>
            </w:pPr>
          </w:p>
        </w:tc>
      </w:tr>
    </w:tbl>
    <w:p w14:paraId="34526D2D">
      <w:pPr>
        <w:spacing w:line="440" w:lineRule="exact"/>
        <w:ind w:firstLine="480" w:firstLineChars="200"/>
        <w:rPr>
          <w:rFonts w:eastAsiaTheme="minorEastAsia"/>
          <w:bCs/>
          <w:color w:val="auto"/>
          <w:sz w:val="24"/>
          <w:highlight w:val="none"/>
        </w:rPr>
      </w:pPr>
      <w:r>
        <w:rPr>
          <w:rFonts w:eastAsiaTheme="minorEastAsia"/>
          <w:bCs/>
          <w:color w:val="auto"/>
          <w:sz w:val="24"/>
          <w:highlight w:val="none"/>
        </w:rPr>
        <w:t>*公共外语课程按入学时的外国语考试科目修读相关语种。</w:t>
      </w:r>
    </w:p>
    <w:p w14:paraId="7CB3E227">
      <w:pPr>
        <w:spacing w:line="440" w:lineRule="exact"/>
        <w:ind w:firstLine="560" w:firstLineChars="200"/>
        <w:rPr>
          <w:rFonts w:eastAsia="黑体"/>
          <w:bCs/>
          <w:color w:val="auto"/>
          <w:sz w:val="28"/>
          <w:szCs w:val="28"/>
          <w:highlight w:val="none"/>
        </w:rPr>
      </w:pPr>
      <w:r>
        <w:rPr>
          <w:rFonts w:eastAsia="黑体"/>
          <w:bCs/>
          <w:color w:val="auto"/>
          <w:sz w:val="28"/>
          <w:szCs w:val="28"/>
          <w:highlight w:val="none"/>
        </w:rPr>
        <w:t>十</w:t>
      </w:r>
      <w:r>
        <w:rPr>
          <w:rFonts w:hint="eastAsia" w:eastAsia="黑体"/>
          <w:bCs/>
          <w:color w:val="auto"/>
          <w:sz w:val="28"/>
          <w:szCs w:val="28"/>
          <w:highlight w:val="none"/>
        </w:rPr>
        <w:t>三</w:t>
      </w:r>
      <w:r>
        <w:rPr>
          <w:rFonts w:eastAsia="黑体"/>
          <w:bCs/>
          <w:color w:val="auto"/>
          <w:sz w:val="28"/>
          <w:szCs w:val="28"/>
          <w:highlight w:val="none"/>
        </w:rPr>
        <w:t>、其他需要说明事项</w:t>
      </w:r>
    </w:p>
    <w:bookmarkEnd w:id="0"/>
    <w:bookmarkEnd w:id="1"/>
    <w:p w14:paraId="65238E64">
      <w:pPr>
        <w:spacing w:line="440" w:lineRule="exact"/>
        <w:ind w:firstLine="480" w:firstLineChars="200"/>
        <w:rPr>
          <w:rFonts w:eastAsiaTheme="minorEastAsia"/>
          <w:bCs/>
          <w:color w:val="auto"/>
          <w:sz w:val="24"/>
          <w:highlight w:val="none"/>
        </w:rPr>
      </w:pPr>
      <w:r>
        <w:rPr>
          <w:rFonts w:hint="eastAsia" w:eastAsiaTheme="minorEastAsia"/>
          <w:bCs/>
          <w:color w:val="auto"/>
          <w:sz w:val="24"/>
          <w:highlight w:val="none"/>
        </w:rPr>
        <w:t>1</w:t>
      </w:r>
      <w:r>
        <w:rPr>
          <w:rFonts w:eastAsiaTheme="minorEastAsia"/>
          <w:bCs/>
          <w:color w:val="auto"/>
          <w:sz w:val="24"/>
          <w:highlight w:val="none"/>
        </w:rPr>
        <w:t>. 毕业总学分：</w:t>
      </w:r>
      <w:r>
        <w:rPr>
          <w:rFonts w:hint="eastAsia" w:eastAsiaTheme="minorEastAsia"/>
          <w:bCs/>
          <w:color w:val="auto"/>
          <w:sz w:val="24"/>
          <w:highlight w:val="none"/>
        </w:rPr>
        <w:t>学位课</w:t>
      </w:r>
      <w:r>
        <w:rPr>
          <w:rFonts w:eastAsiaTheme="minorEastAsia"/>
          <w:bCs/>
          <w:color w:val="auto"/>
          <w:sz w:val="24"/>
          <w:highlight w:val="none"/>
        </w:rPr>
        <w:t>+</w:t>
      </w:r>
      <w:r>
        <w:rPr>
          <w:rFonts w:hint="eastAsia" w:eastAsiaTheme="minorEastAsia"/>
          <w:bCs/>
          <w:color w:val="auto"/>
          <w:sz w:val="24"/>
          <w:highlight w:val="none"/>
        </w:rPr>
        <w:t>非学位课</w:t>
      </w:r>
      <w:r>
        <w:rPr>
          <w:rFonts w:eastAsiaTheme="minorEastAsia"/>
          <w:bCs/>
          <w:color w:val="auto"/>
          <w:sz w:val="24"/>
          <w:highlight w:val="none"/>
        </w:rPr>
        <w:t>+必修环节。</w:t>
      </w:r>
    </w:p>
    <w:p w14:paraId="1BE9B1AC">
      <w:pPr>
        <w:spacing w:line="440" w:lineRule="exact"/>
        <w:ind w:firstLine="480" w:firstLineChars="200"/>
        <w:rPr>
          <w:rFonts w:eastAsia="黑体"/>
          <w:bCs/>
          <w:color w:val="auto"/>
          <w:sz w:val="24"/>
          <w:highlight w:val="none"/>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E92BF0-82B8-4E5D-96D2-FDC98C72DF3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 w:name="KSO_WPS_MARK_KEY" w:val="66a11918-701a-40f3-86ae-928c119ec574"/>
  </w:docVars>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0F5645"/>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25B"/>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33CD"/>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48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2E46"/>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0B4D"/>
    <w:rsid w:val="005D14BA"/>
    <w:rsid w:val="005D17B7"/>
    <w:rsid w:val="005D22F5"/>
    <w:rsid w:val="005D2768"/>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4BE1"/>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2719"/>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1E74"/>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477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4355"/>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7C5480"/>
    <w:rsid w:val="01C761D7"/>
    <w:rsid w:val="02300221"/>
    <w:rsid w:val="027C0C40"/>
    <w:rsid w:val="02E666A4"/>
    <w:rsid w:val="0431648C"/>
    <w:rsid w:val="0449541D"/>
    <w:rsid w:val="05523087"/>
    <w:rsid w:val="06DE1FCC"/>
    <w:rsid w:val="0709614F"/>
    <w:rsid w:val="0A655692"/>
    <w:rsid w:val="0AC464AB"/>
    <w:rsid w:val="0B1116C2"/>
    <w:rsid w:val="0BB96AAA"/>
    <w:rsid w:val="0CDD2D53"/>
    <w:rsid w:val="0D31615C"/>
    <w:rsid w:val="0D6B27C4"/>
    <w:rsid w:val="0D740CCE"/>
    <w:rsid w:val="0E146D02"/>
    <w:rsid w:val="0F59425B"/>
    <w:rsid w:val="12521662"/>
    <w:rsid w:val="13767A5D"/>
    <w:rsid w:val="165027E8"/>
    <w:rsid w:val="16E01DBD"/>
    <w:rsid w:val="16FC3EC9"/>
    <w:rsid w:val="172D5DC9"/>
    <w:rsid w:val="17375756"/>
    <w:rsid w:val="183B138A"/>
    <w:rsid w:val="1874629E"/>
    <w:rsid w:val="188624F1"/>
    <w:rsid w:val="18F10076"/>
    <w:rsid w:val="19143FA0"/>
    <w:rsid w:val="1934019F"/>
    <w:rsid w:val="197F33FD"/>
    <w:rsid w:val="1BAC6712"/>
    <w:rsid w:val="1CB27013"/>
    <w:rsid w:val="1E1A3944"/>
    <w:rsid w:val="1E4A2212"/>
    <w:rsid w:val="1E65704C"/>
    <w:rsid w:val="1EEC5078"/>
    <w:rsid w:val="1F5D53A5"/>
    <w:rsid w:val="1FC3227C"/>
    <w:rsid w:val="1FE83A91"/>
    <w:rsid w:val="1FE96C05"/>
    <w:rsid w:val="211C233A"/>
    <w:rsid w:val="219F4DDB"/>
    <w:rsid w:val="228958D1"/>
    <w:rsid w:val="23452FD9"/>
    <w:rsid w:val="23CF422D"/>
    <w:rsid w:val="23D972EA"/>
    <w:rsid w:val="24A2060E"/>
    <w:rsid w:val="24C30629"/>
    <w:rsid w:val="26663961"/>
    <w:rsid w:val="271268DF"/>
    <w:rsid w:val="2764443D"/>
    <w:rsid w:val="27EC11CE"/>
    <w:rsid w:val="28135FC7"/>
    <w:rsid w:val="290C0712"/>
    <w:rsid w:val="29B13146"/>
    <w:rsid w:val="2A915B25"/>
    <w:rsid w:val="2AAF3B29"/>
    <w:rsid w:val="2ADC0696"/>
    <w:rsid w:val="2B381D70"/>
    <w:rsid w:val="2CB35427"/>
    <w:rsid w:val="2D0F1209"/>
    <w:rsid w:val="2D2B320F"/>
    <w:rsid w:val="2D600946"/>
    <w:rsid w:val="2D60110A"/>
    <w:rsid w:val="2D6C1483"/>
    <w:rsid w:val="2D937732"/>
    <w:rsid w:val="2DEA7C21"/>
    <w:rsid w:val="2EB83FF8"/>
    <w:rsid w:val="2F7377FA"/>
    <w:rsid w:val="30182170"/>
    <w:rsid w:val="302124D4"/>
    <w:rsid w:val="30A851C7"/>
    <w:rsid w:val="30F304E8"/>
    <w:rsid w:val="321A59A3"/>
    <w:rsid w:val="337C6572"/>
    <w:rsid w:val="34572160"/>
    <w:rsid w:val="351A4AE4"/>
    <w:rsid w:val="3527024A"/>
    <w:rsid w:val="35D00DF7"/>
    <w:rsid w:val="361643F9"/>
    <w:rsid w:val="37282415"/>
    <w:rsid w:val="37A92409"/>
    <w:rsid w:val="37DA41AF"/>
    <w:rsid w:val="37F039D3"/>
    <w:rsid w:val="392E6561"/>
    <w:rsid w:val="39447B32"/>
    <w:rsid w:val="3984613E"/>
    <w:rsid w:val="3A3556CD"/>
    <w:rsid w:val="3B6444BC"/>
    <w:rsid w:val="3C934F46"/>
    <w:rsid w:val="3CA32DC2"/>
    <w:rsid w:val="3D823311"/>
    <w:rsid w:val="3E156362"/>
    <w:rsid w:val="3E3839DE"/>
    <w:rsid w:val="40907B01"/>
    <w:rsid w:val="42770F78"/>
    <w:rsid w:val="43260F65"/>
    <w:rsid w:val="43926037"/>
    <w:rsid w:val="454F1D39"/>
    <w:rsid w:val="46005E0E"/>
    <w:rsid w:val="465C72F2"/>
    <w:rsid w:val="471F1BDF"/>
    <w:rsid w:val="4783216D"/>
    <w:rsid w:val="47A10846"/>
    <w:rsid w:val="48575181"/>
    <w:rsid w:val="48D118F2"/>
    <w:rsid w:val="4929734E"/>
    <w:rsid w:val="49C94E48"/>
    <w:rsid w:val="49D9021C"/>
    <w:rsid w:val="4A404E52"/>
    <w:rsid w:val="4AE617AD"/>
    <w:rsid w:val="4B412124"/>
    <w:rsid w:val="4B4905A6"/>
    <w:rsid w:val="4BE44F69"/>
    <w:rsid w:val="4C2518F0"/>
    <w:rsid w:val="4C5521FC"/>
    <w:rsid w:val="4C8E1B5B"/>
    <w:rsid w:val="4CDB2104"/>
    <w:rsid w:val="4DE31D07"/>
    <w:rsid w:val="506557EA"/>
    <w:rsid w:val="50850D04"/>
    <w:rsid w:val="51E23FF4"/>
    <w:rsid w:val="520C4428"/>
    <w:rsid w:val="5385202A"/>
    <w:rsid w:val="539F0AB1"/>
    <w:rsid w:val="54825299"/>
    <w:rsid w:val="55F20A41"/>
    <w:rsid w:val="56002BDB"/>
    <w:rsid w:val="56BD5A63"/>
    <w:rsid w:val="572A6162"/>
    <w:rsid w:val="57672F12"/>
    <w:rsid w:val="582A7F5E"/>
    <w:rsid w:val="59294B5B"/>
    <w:rsid w:val="594041A7"/>
    <w:rsid w:val="59B61F2F"/>
    <w:rsid w:val="5A4E660B"/>
    <w:rsid w:val="5AEA7F89"/>
    <w:rsid w:val="5AFC7E15"/>
    <w:rsid w:val="5B6A7475"/>
    <w:rsid w:val="5C484BB0"/>
    <w:rsid w:val="5C682AD4"/>
    <w:rsid w:val="5D6721E8"/>
    <w:rsid w:val="5DCD2B84"/>
    <w:rsid w:val="5EE74938"/>
    <w:rsid w:val="5F095452"/>
    <w:rsid w:val="5F1119B5"/>
    <w:rsid w:val="5FAF55E4"/>
    <w:rsid w:val="5FB868D2"/>
    <w:rsid w:val="5FFA6788"/>
    <w:rsid w:val="614C4F26"/>
    <w:rsid w:val="6199263A"/>
    <w:rsid w:val="61A87904"/>
    <w:rsid w:val="61B2747F"/>
    <w:rsid w:val="62894684"/>
    <w:rsid w:val="6329616D"/>
    <w:rsid w:val="64652A9D"/>
    <w:rsid w:val="64923598"/>
    <w:rsid w:val="656052C0"/>
    <w:rsid w:val="65E42395"/>
    <w:rsid w:val="663F7A7C"/>
    <w:rsid w:val="66CF551B"/>
    <w:rsid w:val="66EA0256"/>
    <w:rsid w:val="67EF24B4"/>
    <w:rsid w:val="68156502"/>
    <w:rsid w:val="688007E7"/>
    <w:rsid w:val="69374D0C"/>
    <w:rsid w:val="696525F7"/>
    <w:rsid w:val="69AF244E"/>
    <w:rsid w:val="6A4315BC"/>
    <w:rsid w:val="6ABF7AB0"/>
    <w:rsid w:val="6ADB5DB0"/>
    <w:rsid w:val="6C303D8F"/>
    <w:rsid w:val="6C440BBC"/>
    <w:rsid w:val="6C523D39"/>
    <w:rsid w:val="6CC437D4"/>
    <w:rsid w:val="6CDA5ADC"/>
    <w:rsid w:val="6DCF760B"/>
    <w:rsid w:val="6F3C482C"/>
    <w:rsid w:val="6F3F1CD6"/>
    <w:rsid w:val="6F457B85"/>
    <w:rsid w:val="6F5042F8"/>
    <w:rsid w:val="6FD161C1"/>
    <w:rsid w:val="70497201"/>
    <w:rsid w:val="71593474"/>
    <w:rsid w:val="71DD21C8"/>
    <w:rsid w:val="72C9287B"/>
    <w:rsid w:val="72E6342D"/>
    <w:rsid w:val="733D0B73"/>
    <w:rsid w:val="73550A0F"/>
    <w:rsid w:val="73A47863"/>
    <w:rsid w:val="73D9089C"/>
    <w:rsid w:val="74FC2327"/>
    <w:rsid w:val="75313FD1"/>
    <w:rsid w:val="75474FE5"/>
    <w:rsid w:val="7552367F"/>
    <w:rsid w:val="758A2381"/>
    <w:rsid w:val="75FE2968"/>
    <w:rsid w:val="75FF0C10"/>
    <w:rsid w:val="76787612"/>
    <w:rsid w:val="77651DAF"/>
    <w:rsid w:val="77976AA4"/>
    <w:rsid w:val="77F338CE"/>
    <w:rsid w:val="78166434"/>
    <w:rsid w:val="78395DAD"/>
    <w:rsid w:val="78815CC9"/>
    <w:rsid w:val="795A5FDB"/>
    <w:rsid w:val="7A8A2B74"/>
    <w:rsid w:val="7CAD4798"/>
    <w:rsid w:val="7D010F82"/>
    <w:rsid w:val="7D167147"/>
    <w:rsid w:val="7E0E302F"/>
    <w:rsid w:val="7E4E0D20"/>
    <w:rsid w:val="7E7E6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Balloon Text"/>
    <w:basedOn w:val="1"/>
    <w:link w:val="22"/>
    <w:semiHidden/>
    <w:unhideWhenUsed/>
    <w:qFormat/>
    <w:uiPriority w:val="99"/>
    <w:rPr>
      <w:sz w:val="18"/>
      <w:szCs w:val="18"/>
    </w:rPr>
  </w:style>
  <w:style w:type="paragraph" w:styleId="7">
    <w:name w:val="footer"/>
    <w:basedOn w:val="1"/>
    <w:link w:val="24"/>
    <w:unhideWhenUsed/>
    <w:qFormat/>
    <w:uiPriority w:val="99"/>
    <w:pPr>
      <w:tabs>
        <w:tab w:val="center" w:pos="4153"/>
        <w:tab w:val="right" w:pos="8306"/>
      </w:tabs>
      <w:snapToGrid w:val="0"/>
      <w:jc w:val="left"/>
    </w:pPr>
    <w:rPr>
      <w:sz w:val="18"/>
      <w:szCs w:val="18"/>
    </w:rPr>
  </w:style>
  <w:style w:type="paragraph" w:styleId="8">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1"/>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Hyperlink"/>
    <w:basedOn w:val="13"/>
    <w:semiHidden/>
    <w:unhideWhenUsed/>
    <w:qFormat/>
    <w:uiPriority w:val="99"/>
    <w:rPr>
      <w:color w:val="0000FF"/>
      <w:u w:val="single"/>
    </w:rPr>
  </w:style>
  <w:style w:type="character" w:styleId="16">
    <w:name w:val="annotation reference"/>
    <w:basedOn w:val="13"/>
    <w:semiHidden/>
    <w:unhideWhenUsed/>
    <w:qFormat/>
    <w:uiPriority w:val="99"/>
    <w:rPr>
      <w:sz w:val="21"/>
      <w:szCs w:val="21"/>
    </w:rPr>
  </w:style>
  <w:style w:type="character" w:customStyle="1" w:styleId="17">
    <w:name w:val="标题 2 字符"/>
    <w:basedOn w:val="13"/>
    <w:link w:val="3"/>
    <w:qFormat/>
    <w:uiPriority w:val="99"/>
    <w:rPr>
      <w:rFonts w:ascii="Cambria" w:hAnsi="Cambria" w:eastAsia="宋体" w:cs="Times New Roman"/>
      <w:b/>
      <w:bCs/>
      <w:sz w:val="32"/>
      <w:szCs w:val="32"/>
    </w:rPr>
  </w:style>
  <w:style w:type="character" w:customStyle="1" w:styleId="18">
    <w:name w:val="标题 1 字符"/>
    <w:basedOn w:val="13"/>
    <w:link w:val="2"/>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字符"/>
    <w:basedOn w:val="13"/>
    <w:link w:val="5"/>
    <w:semiHidden/>
    <w:qFormat/>
    <w:uiPriority w:val="99"/>
    <w:rPr>
      <w:rFonts w:ascii="Times New Roman" w:hAnsi="Times New Roman" w:eastAsia="宋体" w:cs="Times New Roman"/>
      <w:szCs w:val="24"/>
    </w:rPr>
  </w:style>
  <w:style w:type="character" w:customStyle="1" w:styleId="21">
    <w:name w:val="批注主题 字符"/>
    <w:basedOn w:val="20"/>
    <w:link w:val="10"/>
    <w:semiHidden/>
    <w:qFormat/>
    <w:uiPriority w:val="99"/>
    <w:rPr>
      <w:rFonts w:ascii="Times New Roman" w:hAnsi="Times New Roman" w:eastAsia="宋体" w:cs="Times New Roman"/>
      <w:b/>
      <w:bCs/>
      <w:szCs w:val="24"/>
    </w:rPr>
  </w:style>
  <w:style w:type="character" w:customStyle="1" w:styleId="22">
    <w:name w:val="批注框文本 字符"/>
    <w:basedOn w:val="13"/>
    <w:link w:val="6"/>
    <w:semiHidden/>
    <w:qFormat/>
    <w:uiPriority w:val="99"/>
    <w:rPr>
      <w:rFonts w:ascii="Times New Roman" w:hAnsi="Times New Roman" w:eastAsia="宋体" w:cs="Times New Roman"/>
      <w:sz w:val="18"/>
      <w:szCs w:val="18"/>
    </w:rPr>
  </w:style>
  <w:style w:type="character" w:customStyle="1" w:styleId="23">
    <w:name w:val="页眉 字符"/>
    <w:basedOn w:val="13"/>
    <w:link w:val="8"/>
    <w:qFormat/>
    <w:uiPriority w:val="99"/>
    <w:rPr>
      <w:rFonts w:ascii="Times New Roman" w:hAnsi="Times New Roman" w:eastAsia="宋体" w:cs="Times New Roman"/>
      <w:sz w:val="18"/>
      <w:szCs w:val="18"/>
    </w:rPr>
  </w:style>
  <w:style w:type="character" w:customStyle="1" w:styleId="24">
    <w:name w:val="页脚 字符"/>
    <w:basedOn w:val="13"/>
    <w:link w:val="7"/>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字符"/>
    <w:basedOn w:val="13"/>
    <w:link w:val="4"/>
    <w:semiHidden/>
    <w:qFormat/>
    <w:uiPriority w:val="9"/>
    <w:rPr>
      <w:rFonts w:asciiTheme="majorHAnsi" w:hAnsiTheme="majorHAnsi" w:eastAsiaTheme="majorEastAsia" w:cstheme="majorBidi"/>
      <w:b/>
      <w:bCs/>
      <w:kern w:val="2"/>
      <w:sz w:val="28"/>
      <w:szCs w:val="28"/>
    </w:rPr>
  </w:style>
  <w:style w:type="paragraph" w:customStyle="1" w:styleId="28">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3967</Words>
  <Characters>4252</Characters>
  <Lines>39</Lines>
  <Paragraphs>11</Paragraphs>
  <TotalTime>123</TotalTime>
  <ScaleCrop>false</ScaleCrop>
  <LinksUpToDate>false</LinksUpToDate>
  <CharactersWithSpaces>4274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2025-04-22T09:11:00Z</dcterms:created>
  <dc:creator>刘明旭</dc:creator>
  <cp:lastModifiedBy>ggwsx</cp:lastModifiedBy>
  <cp:lastPrinted>2025-04-28T01:20:00Z</cp:lastPrinted>
  <dcterms:modified xsi:type="dcterms:W3CDTF">2025-07-10T08:33:24Z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516FAA0AC28E4510927CA5CF7CD914CD_13</vt:lpwstr>
  </property>
  <property fmtid="{D5CDD505-2E9C-101B-9397-08002B2CF9AE}" pid="4" name="KSOTemplateDocerSaveRecord">
    <vt:lpwstr>eyJoZGlkIjoiZWJmZDBiOWQ0MGYyYWQzZDZiMGY0NDFmN2JiY2U4NjkifQ==</vt:lpwstr>
  </property>
</Properties>
</file>