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17DDD">
      <w:pPr>
        <w:ind w:left="321" w:leftChars="153" w:right="227"/>
        <w:jc w:val="center"/>
        <w:rPr>
          <w:rFonts w:eastAsia="黑体"/>
          <w:b/>
          <w:bCs/>
          <w:sz w:val="36"/>
          <w:szCs w:val="36"/>
        </w:rPr>
      </w:pPr>
      <w:r>
        <w:rPr>
          <w:rFonts w:hint="eastAsia" w:eastAsia="黑体"/>
          <w:b/>
          <w:bCs/>
          <w:sz w:val="36"/>
          <w:szCs w:val="36"/>
        </w:rPr>
        <w:t>细胞生物学</w:t>
      </w:r>
      <w:r>
        <w:rPr>
          <w:rFonts w:eastAsia="黑体"/>
          <w:b/>
          <w:bCs/>
          <w:sz w:val="36"/>
          <w:szCs w:val="36"/>
        </w:rPr>
        <w:t>专业学术学位硕士研究生培养方案</w:t>
      </w:r>
    </w:p>
    <w:p w14:paraId="657670DB">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生命科学</w:t>
      </w:r>
      <w:r>
        <w:rPr>
          <w:rFonts w:eastAsia="黑体"/>
          <w:b/>
          <w:bCs/>
          <w:sz w:val="28"/>
          <w:szCs w:val="28"/>
        </w:rPr>
        <w:t>学院)</w:t>
      </w:r>
    </w:p>
    <w:p w14:paraId="0C7EF897">
      <w:pPr>
        <w:spacing w:line="440" w:lineRule="exact"/>
        <w:ind w:firstLine="560"/>
        <w:rPr>
          <w:rFonts w:eastAsia="黑体"/>
          <w:bCs/>
          <w:sz w:val="28"/>
          <w:szCs w:val="28"/>
        </w:rPr>
      </w:pPr>
      <w:r>
        <w:rPr>
          <w:rFonts w:eastAsia="黑体"/>
          <w:bCs/>
          <w:sz w:val="28"/>
          <w:szCs w:val="28"/>
        </w:rPr>
        <w:t>一、专业名称、代码</w:t>
      </w:r>
    </w:p>
    <w:p w14:paraId="7E137F49">
      <w:pPr>
        <w:widowControl/>
        <w:spacing w:before="100" w:beforeAutospacing="1" w:after="100" w:afterAutospacing="1" w:line="270" w:lineRule="atLeast"/>
        <w:ind w:firstLine="960" w:firstLineChars="400"/>
        <w:jc w:val="left"/>
        <w:rPr>
          <w:color w:val="222222"/>
          <w:kern w:val="0"/>
          <w:sz w:val="18"/>
          <w:szCs w:val="18"/>
        </w:rPr>
      </w:pPr>
      <w:r>
        <w:rPr>
          <w:color w:val="222222"/>
          <w:kern w:val="0"/>
          <w:sz w:val="24"/>
        </w:rPr>
        <w:t>专业名称：</w:t>
      </w:r>
      <w:r>
        <w:rPr>
          <w:rFonts w:hint="eastAsia"/>
          <w:color w:val="222222"/>
          <w:kern w:val="0"/>
          <w:sz w:val="24"/>
        </w:rPr>
        <w:t>细胞生物学</w:t>
      </w:r>
    </w:p>
    <w:p w14:paraId="4D0709D5">
      <w:pPr>
        <w:widowControl/>
        <w:spacing w:before="100" w:beforeAutospacing="1" w:after="100" w:afterAutospacing="1" w:line="270" w:lineRule="atLeast"/>
        <w:ind w:firstLine="960" w:firstLineChars="400"/>
        <w:jc w:val="left"/>
        <w:rPr>
          <w:color w:val="222222"/>
          <w:kern w:val="0"/>
          <w:sz w:val="18"/>
          <w:szCs w:val="18"/>
        </w:rPr>
      </w:pPr>
      <w:r>
        <w:rPr>
          <w:color w:val="222222"/>
          <w:kern w:val="0"/>
          <w:sz w:val="24"/>
        </w:rPr>
        <w:t>专业代码：</w:t>
      </w:r>
      <w:r>
        <w:rPr>
          <w:rFonts w:hint="eastAsia"/>
          <w:color w:val="222222"/>
          <w:kern w:val="0"/>
          <w:sz w:val="24"/>
        </w:rPr>
        <w:t>071009</w:t>
      </w:r>
    </w:p>
    <w:p w14:paraId="22110307">
      <w:pPr>
        <w:spacing w:line="440" w:lineRule="exact"/>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5DF44F63">
      <w:pPr>
        <w:spacing w:line="440" w:lineRule="exact"/>
        <w:ind w:firstLine="480" w:firstLineChars="200"/>
        <w:rPr>
          <w:rFonts w:eastAsiaTheme="minorEastAsia"/>
          <w:iCs/>
          <w:sz w:val="24"/>
        </w:rPr>
      </w:pPr>
      <w:r>
        <w:rPr>
          <w:rFonts w:hint="eastAsia" w:eastAsiaTheme="minorEastAsia"/>
          <w:iCs/>
          <w:sz w:val="24"/>
        </w:rPr>
        <w:t>细胞生物学专业主要开展细胞发育与分化、干细胞生物学机制与应用研究以及重大疾病发生机制与精准干预方向的研究。细胞生物学专业依托河北省</w:t>
      </w:r>
      <w:r>
        <w:rPr>
          <w:rFonts w:eastAsiaTheme="minorEastAsia"/>
          <w:iCs/>
          <w:sz w:val="24"/>
        </w:rPr>
        <w:t>生物工程技术</w:t>
      </w:r>
      <w:r>
        <w:rPr>
          <w:rFonts w:hint="eastAsia" w:eastAsiaTheme="minorEastAsia"/>
          <w:iCs/>
          <w:sz w:val="24"/>
        </w:rPr>
        <w:t>创新</w:t>
      </w:r>
      <w:r>
        <w:rPr>
          <w:rFonts w:eastAsiaTheme="minorEastAsia"/>
          <w:iCs/>
          <w:sz w:val="24"/>
        </w:rPr>
        <w:t>中心</w:t>
      </w:r>
      <w:r>
        <w:rPr>
          <w:rFonts w:hint="eastAsia" w:eastAsiaTheme="minorEastAsia"/>
          <w:iCs/>
          <w:sz w:val="24"/>
        </w:rPr>
        <w:t>和保定市癌症与衰老研究重点实验室，形成了集“基础研究-技术创新-产业转化”于一体的人才培养体系。本专业立足细胞生物学前沿领域，聚焦</w:t>
      </w:r>
      <w:r>
        <w:rPr>
          <w:rFonts w:eastAsiaTheme="minorEastAsia"/>
          <w:iCs/>
          <w:sz w:val="24"/>
        </w:rPr>
        <w:t>细胞重大生命活动的分子机制及其在医学、农业等领域的应用</w:t>
      </w:r>
      <w:r>
        <w:rPr>
          <w:rFonts w:hint="eastAsia" w:eastAsiaTheme="minorEastAsia"/>
          <w:iCs/>
          <w:sz w:val="24"/>
        </w:rPr>
        <w:t>，重点开展DNA损伤修复与肿瘤发生机制、癌症靶向治疗、</w:t>
      </w:r>
      <w:r>
        <w:rPr>
          <w:rFonts w:eastAsiaTheme="minorEastAsia"/>
          <w:iCs/>
          <w:sz w:val="24"/>
        </w:rPr>
        <w:t>干细胞</w:t>
      </w:r>
      <w:r>
        <w:rPr>
          <w:rFonts w:hint="eastAsia" w:eastAsiaTheme="minorEastAsia"/>
          <w:iCs/>
          <w:sz w:val="24"/>
        </w:rPr>
        <w:t>技术</w:t>
      </w:r>
      <w:r>
        <w:rPr>
          <w:rFonts w:eastAsiaTheme="minorEastAsia"/>
          <w:iCs/>
          <w:sz w:val="24"/>
        </w:rPr>
        <w:t>与</w:t>
      </w:r>
      <w:r>
        <w:rPr>
          <w:rFonts w:hint="eastAsia" w:eastAsiaTheme="minorEastAsia"/>
          <w:iCs/>
          <w:sz w:val="24"/>
        </w:rPr>
        <w:t>转化医学研究、</w:t>
      </w:r>
      <w:r>
        <w:rPr>
          <w:rFonts w:eastAsiaTheme="minorEastAsia"/>
          <w:iCs/>
          <w:sz w:val="24"/>
        </w:rPr>
        <w:t>天然产物抗</w:t>
      </w:r>
      <w:r>
        <w:rPr>
          <w:rFonts w:hint="eastAsia" w:eastAsiaTheme="minorEastAsia"/>
          <w:iCs/>
          <w:sz w:val="24"/>
        </w:rPr>
        <w:t>肿瘤</w:t>
      </w:r>
      <w:r>
        <w:rPr>
          <w:rFonts w:eastAsiaTheme="minorEastAsia"/>
          <w:iCs/>
          <w:sz w:val="24"/>
        </w:rPr>
        <w:t>机制</w:t>
      </w:r>
      <w:r>
        <w:rPr>
          <w:rFonts w:hint="eastAsia" w:eastAsiaTheme="minorEastAsia"/>
          <w:iCs/>
          <w:sz w:val="24"/>
        </w:rPr>
        <w:t>等领域研究。本专业学科</w:t>
      </w:r>
      <w:r>
        <w:rPr>
          <w:rFonts w:eastAsiaTheme="minorEastAsia"/>
          <w:iCs/>
          <w:sz w:val="24"/>
        </w:rPr>
        <w:t>拥有完备的细胞生物学研究平台</w:t>
      </w:r>
      <w:r>
        <w:rPr>
          <w:rFonts w:hint="eastAsia" w:eastAsiaTheme="minorEastAsia"/>
          <w:iCs/>
          <w:sz w:val="24"/>
        </w:rPr>
        <w:t>，研究成果为生物医药、农业，尤其是疾病早期诊断、精准治疗靶点筛选、创新药物开发、种质资源保护、良种培育等提供坚实的理论基础和实践指导，为促进生命科学相关学科的快速发展提供支撑。</w:t>
      </w:r>
    </w:p>
    <w:p w14:paraId="07213558">
      <w:pPr>
        <w:spacing w:line="440" w:lineRule="exact"/>
        <w:ind w:firstLine="560" w:firstLineChars="200"/>
        <w:rPr>
          <w:rFonts w:eastAsia="黑体"/>
          <w:bCs/>
          <w:sz w:val="28"/>
          <w:szCs w:val="28"/>
        </w:rPr>
      </w:pPr>
      <w:r>
        <w:rPr>
          <w:rFonts w:eastAsia="黑体"/>
          <w:bCs/>
          <w:sz w:val="28"/>
          <w:szCs w:val="28"/>
        </w:rPr>
        <w:t>三、研究方向</w:t>
      </w:r>
    </w:p>
    <w:p w14:paraId="34EBBBB3">
      <w:pPr>
        <w:spacing w:line="440" w:lineRule="exact"/>
        <w:ind w:firstLine="482" w:firstLineChars="200"/>
        <w:rPr>
          <w:rFonts w:eastAsiaTheme="minorEastAsia"/>
          <w:iCs/>
          <w:sz w:val="24"/>
        </w:rPr>
      </w:pPr>
      <w:r>
        <w:rPr>
          <w:rFonts w:hint="eastAsia" w:eastAsiaTheme="minorEastAsia"/>
          <w:b/>
          <w:bCs/>
          <w:iCs/>
          <w:sz w:val="24"/>
        </w:rPr>
        <w:t>细胞发育与分化</w:t>
      </w:r>
      <w:r>
        <w:rPr>
          <w:rFonts w:hint="eastAsia" w:eastAsiaTheme="minorEastAsia"/>
          <w:iCs/>
          <w:sz w:val="24"/>
        </w:rPr>
        <w:t>：本研究方向利用现代生物技术研究细胞的分化、发育特征及其调控机制。研究结果为阐明干细胞及生殖细胞的分化、发育规律提供理论依据，为物种种质保育、品种改良等提供基础数据，为相关疾病机理探究、药物设计提供数据支撑。在农业、医药等领域具有广泛的应用前景。</w:t>
      </w:r>
    </w:p>
    <w:p w14:paraId="5E145812">
      <w:pPr>
        <w:spacing w:line="440" w:lineRule="exact"/>
        <w:ind w:firstLine="482" w:firstLineChars="200"/>
        <w:rPr>
          <w:rFonts w:eastAsiaTheme="minorEastAsia"/>
          <w:iCs/>
          <w:sz w:val="24"/>
        </w:rPr>
      </w:pPr>
      <w:r>
        <w:rPr>
          <w:rFonts w:hint="eastAsia" w:eastAsiaTheme="minorEastAsia"/>
          <w:b/>
          <w:bCs/>
          <w:iCs/>
          <w:sz w:val="24"/>
        </w:rPr>
        <w:t>干细胞生物学机制与应用研究</w:t>
      </w:r>
      <w:r>
        <w:rPr>
          <w:rFonts w:hint="eastAsia" w:eastAsiaTheme="minorEastAsia"/>
          <w:iCs/>
          <w:sz w:val="24"/>
        </w:rPr>
        <w:t>：聚焦干细胞多向分化与基因编辑技术，整合细胞分子生物学和纳米医学手段，开发基于细胞外囊泡和小分子纳米药物的多功能药物靶向递送系统，为组织修复、神经再生和免疫调控提供新的治疗策略。通过类器官构建与细胞培养等关键技术，系统解析干细胞增殖分化的分子调控网络与规律，为癌症、自身免疫性疾病、心脑血管疾病、糖尿病并发症、神经退行性等疾病的治疗、药物靶点的筛选提供新策略，系统解析疾病进程中细胞能量代谢重编程与信号网络互作规律。</w:t>
      </w:r>
    </w:p>
    <w:p w14:paraId="76BD4B65">
      <w:pPr>
        <w:spacing w:line="440" w:lineRule="exact"/>
        <w:ind w:firstLine="482" w:firstLineChars="200"/>
        <w:rPr>
          <w:rFonts w:eastAsiaTheme="minorEastAsia"/>
          <w:iCs/>
          <w:sz w:val="24"/>
        </w:rPr>
      </w:pPr>
      <w:r>
        <w:rPr>
          <w:rFonts w:hint="eastAsia" w:eastAsiaTheme="minorEastAsia"/>
          <w:b/>
          <w:bCs/>
          <w:iCs/>
          <w:sz w:val="24"/>
        </w:rPr>
        <w:t>重大疾病发生机制研究与精准干预</w:t>
      </w:r>
      <w:r>
        <w:rPr>
          <w:rFonts w:hint="eastAsia" w:eastAsiaTheme="minorEastAsia"/>
          <w:iCs/>
          <w:sz w:val="24"/>
        </w:rPr>
        <w:t>：通过基因编辑技术构建转基因小鼠疾病模型，系统模拟癌症、心脑血管疾病、糖尿病综合征、神经退行性等重大人类疾病的病理特征，深入探究其分子机制和代谢异常。利用细胞生物学、生化与分子生物学及结构生物学等技术，重点解析与疾病相关的DNA损伤修复应答、信号传导、代谢失衡和表观遗传调控紊乱等方面的变化，筛选及验证治疗靶点，并结合临床诊断技术，为重大疾病的早期发现、机制研究和精准治疗提供理论支持，从而推动转化医学平台建设和个体化诊疗方案开发。</w:t>
      </w:r>
    </w:p>
    <w:p w14:paraId="720981FC">
      <w:pPr>
        <w:spacing w:line="440" w:lineRule="exact"/>
        <w:ind w:firstLine="560" w:firstLineChars="200"/>
        <w:rPr>
          <w:rFonts w:eastAsia="黑体"/>
          <w:bCs/>
          <w:sz w:val="28"/>
          <w:szCs w:val="28"/>
        </w:rPr>
      </w:pPr>
      <w:r>
        <w:rPr>
          <w:rFonts w:eastAsia="黑体"/>
          <w:bCs/>
          <w:sz w:val="28"/>
          <w:szCs w:val="28"/>
        </w:rPr>
        <w:t>四、学制及学习年限</w:t>
      </w:r>
    </w:p>
    <w:p w14:paraId="71CC9026">
      <w:pPr>
        <w:spacing w:line="440" w:lineRule="exact"/>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4FC3041B">
      <w:pPr>
        <w:spacing w:line="440" w:lineRule="exact"/>
        <w:ind w:firstLine="560" w:firstLineChars="200"/>
        <w:rPr>
          <w:rFonts w:eastAsia="黑体"/>
          <w:bCs/>
          <w:sz w:val="28"/>
          <w:szCs w:val="28"/>
        </w:rPr>
      </w:pPr>
      <w:r>
        <w:rPr>
          <w:rFonts w:eastAsia="黑体"/>
          <w:bCs/>
          <w:sz w:val="28"/>
          <w:szCs w:val="28"/>
        </w:rPr>
        <w:t>五、培养目标</w:t>
      </w:r>
    </w:p>
    <w:p w14:paraId="4C1A11B5">
      <w:pPr>
        <w:spacing w:line="360" w:lineRule="auto"/>
        <w:ind w:firstLine="480"/>
        <w:rPr>
          <w:rFonts w:asciiTheme="minorEastAsia" w:hAnsiTheme="minorEastAsia" w:eastAsiaTheme="minorEastAsia"/>
          <w:iCs/>
          <w:sz w:val="24"/>
        </w:rPr>
      </w:pPr>
      <w:r>
        <w:rPr>
          <w:rFonts w:hint="eastAsia" w:asciiTheme="minorEastAsia" w:hAnsiTheme="minorEastAsia" w:eastAsiaTheme="minorEastAsia"/>
          <w:iCs/>
          <w:sz w:val="24"/>
        </w:rPr>
        <w:t>培养掌握现代细胞生物学基础理论、专业知识和专业技能，培养综合素质高、创新能力强，适应社会、经济和科学技术发展需要的细胞生物学高层次人才。</w:t>
      </w:r>
    </w:p>
    <w:p w14:paraId="1F262C4A">
      <w:pPr>
        <w:spacing w:line="360" w:lineRule="auto"/>
        <w:ind w:firstLine="480"/>
        <w:rPr>
          <w:rFonts w:asciiTheme="minorEastAsia" w:hAnsiTheme="minorEastAsia" w:eastAsiaTheme="minorEastAsia"/>
          <w:iCs/>
          <w:sz w:val="24"/>
        </w:rPr>
      </w:pPr>
      <w:r>
        <w:rPr>
          <w:rFonts w:hint="eastAsia" w:asciiTheme="minorEastAsia" w:hAnsiTheme="minorEastAsia" w:eastAsiaTheme="minorEastAsia"/>
          <w:iCs/>
          <w:sz w:val="24"/>
        </w:rPr>
        <w:t>具体要求如下：</w:t>
      </w:r>
    </w:p>
    <w:p w14:paraId="07A10F42">
      <w:pPr>
        <w:spacing w:line="420" w:lineRule="exact"/>
        <w:ind w:firstLine="480"/>
        <w:rPr>
          <w:rFonts w:eastAsiaTheme="minorEastAsia"/>
          <w:iCs/>
          <w:sz w:val="24"/>
        </w:rPr>
      </w:pPr>
      <w:r>
        <w:rPr>
          <w:rFonts w:eastAsiaTheme="minorEastAsia"/>
          <w:iCs/>
          <w:sz w:val="24"/>
        </w:rPr>
        <w:t>1. 树立正确的中国特色社会主义核心价值观，具有坚定的理想信念，高尚的道德情操，优良的学术作风，高度的社会责任感。</w:t>
      </w:r>
    </w:p>
    <w:p w14:paraId="6E1D74F9">
      <w:pPr>
        <w:spacing w:line="360" w:lineRule="auto"/>
        <w:ind w:firstLine="480"/>
        <w:rPr>
          <w:rFonts w:asciiTheme="minorEastAsia" w:hAnsiTheme="minorEastAsia" w:eastAsiaTheme="minorEastAsia"/>
          <w:iCs/>
          <w:sz w:val="24"/>
        </w:rPr>
      </w:pPr>
      <w:r>
        <w:rPr>
          <w:rFonts w:eastAsiaTheme="minorEastAsia"/>
          <w:iCs/>
          <w:sz w:val="24"/>
        </w:rPr>
        <w:t>2.</w:t>
      </w:r>
      <w:r>
        <w:rPr>
          <w:rFonts w:hint="eastAsia" w:eastAsiaTheme="minorEastAsia"/>
          <w:iCs/>
          <w:sz w:val="24"/>
        </w:rPr>
        <w:t xml:space="preserve"> </w:t>
      </w:r>
      <w:r>
        <w:rPr>
          <w:rFonts w:hint="eastAsia" w:asciiTheme="minorEastAsia" w:hAnsiTheme="minorEastAsia" w:eastAsiaTheme="minorEastAsia"/>
          <w:iCs/>
          <w:sz w:val="24"/>
        </w:rPr>
        <w:t>具备广博、扎实的微生物学基础知识，掌握专业领域的科学理论和实验技能，熟悉研究方向的最新进展和发展趋势</w:t>
      </w:r>
      <w:r>
        <w:rPr>
          <w:rFonts w:eastAsiaTheme="minorEastAsia"/>
          <w:iCs/>
          <w:sz w:val="24"/>
        </w:rPr>
        <w:t>。</w:t>
      </w:r>
    </w:p>
    <w:p w14:paraId="627B9EDD">
      <w:pPr>
        <w:spacing w:line="420" w:lineRule="exact"/>
        <w:ind w:firstLine="480"/>
        <w:rPr>
          <w:rFonts w:eastAsiaTheme="minorEastAsia"/>
          <w:iCs/>
          <w:sz w:val="24"/>
        </w:rPr>
      </w:pPr>
      <w:r>
        <w:rPr>
          <w:rFonts w:eastAsiaTheme="minorEastAsia"/>
          <w:iCs/>
          <w:sz w:val="24"/>
        </w:rPr>
        <w:t>3. 至少掌握一门外国语</w:t>
      </w:r>
      <w:r>
        <w:rPr>
          <w:rFonts w:hint="eastAsia" w:eastAsiaTheme="minorEastAsia"/>
          <w:iCs/>
          <w:sz w:val="24"/>
        </w:rPr>
        <w:t>（英语）</w:t>
      </w:r>
      <w:r>
        <w:rPr>
          <w:rFonts w:eastAsiaTheme="minorEastAsia"/>
          <w:iCs/>
          <w:sz w:val="24"/>
        </w:rPr>
        <w:t>，能熟练阅读本专业的外文资料，具有撰写学术论文和进行国际学术交流的能力。</w:t>
      </w:r>
    </w:p>
    <w:p w14:paraId="4BDC6702">
      <w:pPr>
        <w:spacing w:line="360" w:lineRule="auto"/>
        <w:ind w:firstLine="480"/>
        <w:rPr>
          <w:rFonts w:asciiTheme="minorEastAsia" w:hAnsiTheme="minorEastAsia" w:eastAsiaTheme="minorEastAsia"/>
          <w:iCs/>
          <w:sz w:val="24"/>
        </w:rPr>
      </w:pPr>
      <w:r>
        <w:rPr>
          <w:rFonts w:eastAsiaTheme="minorEastAsia"/>
          <w:iCs/>
          <w:sz w:val="24"/>
        </w:rPr>
        <w:t xml:space="preserve">4. </w:t>
      </w:r>
      <w:r>
        <w:rPr>
          <w:rFonts w:hint="eastAsia" w:asciiTheme="minorEastAsia" w:hAnsiTheme="minorEastAsia" w:eastAsiaTheme="minorEastAsia"/>
          <w:iCs/>
          <w:sz w:val="24"/>
        </w:rPr>
        <w:t>掌握科学研究的全过程，具备独立进行科学研究的能力。</w:t>
      </w:r>
    </w:p>
    <w:p w14:paraId="3B8A719B">
      <w:pPr>
        <w:spacing w:line="420" w:lineRule="exact"/>
        <w:ind w:firstLine="480"/>
        <w:rPr>
          <w:rFonts w:eastAsiaTheme="minorEastAsia"/>
          <w:iCs/>
          <w:sz w:val="24"/>
        </w:rPr>
      </w:pPr>
      <w:r>
        <w:rPr>
          <w:rFonts w:hint="eastAsia" w:eastAsiaTheme="minorEastAsia"/>
          <w:iCs/>
          <w:sz w:val="24"/>
        </w:rPr>
        <w:t xml:space="preserve">5. </w:t>
      </w:r>
      <w:r>
        <w:rPr>
          <w:rFonts w:eastAsiaTheme="minorEastAsia"/>
          <w:iCs/>
          <w:sz w:val="24"/>
        </w:rPr>
        <w:t>具有良好的团队意识和团队合作精神。</w:t>
      </w:r>
    </w:p>
    <w:p w14:paraId="493521AC">
      <w:pPr>
        <w:spacing w:line="420" w:lineRule="exact"/>
        <w:ind w:firstLine="480"/>
        <w:rPr>
          <w:rFonts w:eastAsiaTheme="minorEastAsia"/>
          <w:iCs/>
          <w:sz w:val="24"/>
        </w:rPr>
      </w:pPr>
      <w:r>
        <w:rPr>
          <w:rFonts w:hint="eastAsia" w:eastAsiaTheme="minorEastAsia"/>
          <w:iCs/>
          <w:sz w:val="24"/>
        </w:rPr>
        <w:t>6</w:t>
      </w:r>
      <w:r>
        <w:rPr>
          <w:rFonts w:eastAsiaTheme="minorEastAsia"/>
          <w:iCs/>
          <w:sz w:val="24"/>
        </w:rPr>
        <w:t>. 具有良好的心理素养。</w:t>
      </w:r>
    </w:p>
    <w:p w14:paraId="16599F93">
      <w:pPr>
        <w:spacing w:line="420" w:lineRule="exact"/>
        <w:ind w:firstLine="480"/>
        <w:rPr>
          <w:rFonts w:eastAsiaTheme="minorEastAsia"/>
          <w:iCs/>
          <w:sz w:val="24"/>
        </w:rPr>
      </w:pPr>
      <w:r>
        <w:rPr>
          <w:rFonts w:hint="eastAsia" w:eastAsiaTheme="minorEastAsia"/>
          <w:iCs/>
          <w:sz w:val="24"/>
        </w:rPr>
        <w:t>7</w:t>
      </w:r>
      <w:r>
        <w:rPr>
          <w:rFonts w:eastAsiaTheme="minorEastAsia"/>
          <w:iCs/>
          <w:sz w:val="24"/>
        </w:rPr>
        <w:t>. 培养德智体美劳全面发展的社会主义事业接班人。</w:t>
      </w:r>
    </w:p>
    <w:p w14:paraId="074B86F3">
      <w:pPr>
        <w:spacing w:line="440" w:lineRule="exact"/>
        <w:ind w:firstLine="560" w:firstLineChars="200"/>
        <w:rPr>
          <w:rFonts w:eastAsia="黑体"/>
          <w:bCs/>
          <w:sz w:val="28"/>
          <w:szCs w:val="28"/>
        </w:rPr>
      </w:pPr>
      <w:r>
        <w:rPr>
          <w:rFonts w:eastAsia="黑体"/>
          <w:bCs/>
          <w:sz w:val="28"/>
          <w:szCs w:val="28"/>
        </w:rPr>
        <w:t>六、培养方式</w:t>
      </w:r>
    </w:p>
    <w:p w14:paraId="7784C2C2">
      <w:pPr>
        <w:spacing w:line="360" w:lineRule="auto"/>
        <w:ind w:firstLine="480" w:firstLineChars="200"/>
        <w:rPr>
          <w:rFonts w:asciiTheme="majorEastAsia" w:hAnsiTheme="majorEastAsia" w:eastAsiaTheme="majorEastAsia"/>
          <w:bCs/>
          <w:iCs/>
          <w:sz w:val="24"/>
        </w:rPr>
      </w:pPr>
      <w:r>
        <w:rPr>
          <w:rFonts w:hint="eastAsia" w:asciiTheme="minorEastAsia" w:hAnsiTheme="minorEastAsia" w:eastAsiaTheme="minorEastAsia"/>
          <w:bCs/>
          <w:iCs/>
          <w:sz w:val="24"/>
        </w:rPr>
        <w:t>全日制，统分（非定向）。</w:t>
      </w:r>
    </w:p>
    <w:p w14:paraId="3B308C4E">
      <w:pPr>
        <w:spacing w:line="440" w:lineRule="exact"/>
        <w:ind w:firstLine="560" w:firstLineChars="200"/>
        <w:rPr>
          <w:rFonts w:eastAsia="黑体"/>
          <w:bCs/>
          <w:sz w:val="28"/>
          <w:szCs w:val="28"/>
        </w:rPr>
      </w:pPr>
      <w:r>
        <w:rPr>
          <w:rFonts w:eastAsia="黑体"/>
          <w:bCs/>
          <w:sz w:val="28"/>
          <w:szCs w:val="28"/>
        </w:rPr>
        <w:t>七、中期筛选</w:t>
      </w:r>
    </w:p>
    <w:p w14:paraId="508361AE">
      <w:pPr>
        <w:spacing w:before="156" w:beforeLines="50"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5B4725C7">
      <w:pPr>
        <w:spacing w:before="156" w:beforeLines="50"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2D94C678">
      <w:pPr>
        <w:widowControl/>
        <w:spacing w:line="420" w:lineRule="exact"/>
        <w:ind w:firstLine="482"/>
        <w:jc w:val="left"/>
        <w:rPr>
          <w:bCs/>
          <w:color w:val="222222"/>
          <w:kern w:val="0"/>
          <w:sz w:val="24"/>
        </w:rPr>
      </w:pPr>
      <w:r>
        <w:rPr>
          <w:bCs/>
          <w:color w:val="222222"/>
          <w:kern w:val="0"/>
          <w:sz w:val="24"/>
        </w:rPr>
        <w:t>1.总体要求：按照《河北大学关于开展2025版研究生培养方案修订工作的指导意见》（校政字〔2025〕</w:t>
      </w:r>
      <w:r>
        <w:rPr>
          <w:rFonts w:hint="eastAsia"/>
          <w:bCs/>
          <w:color w:val="222222"/>
          <w:kern w:val="0"/>
          <w:sz w:val="24"/>
        </w:rPr>
        <w:t>9</w:t>
      </w:r>
      <w:r>
        <w:rPr>
          <w:bCs/>
          <w:color w:val="222222"/>
          <w:kern w:val="0"/>
          <w:sz w:val="24"/>
        </w:rPr>
        <w:t>号）规定，硕士研究生论文开题与答辩时间间隔原则上不少于12个月。</w:t>
      </w:r>
      <w:r>
        <w:rPr>
          <w:rFonts w:hint="eastAsia"/>
          <w:bCs/>
          <w:color w:val="222222"/>
          <w:kern w:val="0"/>
          <w:sz w:val="24"/>
        </w:rPr>
        <w:t>研究生必须在导师指导下独立完成学位（毕业）论文。学位（毕业）论文应表明作者较好的掌握了本学科的基础理论、专门知识和基本技能，</w:t>
      </w:r>
      <w:r>
        <w:rPr>
          <w:bCs/>
          <w:color w:val="222222"/>
          <w:kern w:val="0"/>
          <w:sz w:val="24"/>
        </w:rPr>
        <w:t>有独立从事学术研究工作的能力，鼓励硕士研究生参与科学研究，取得创新性成果</w:t>
      </w:r>
      <w:r>
        <w:rPr>
          <w:rFonts w:hint="eastAsia"/>
          <w:bCs/>
          <w:color w:val="222222"/>
          <w:kern w:val="0"/>
          <w:sz w:val="24"/>
        </w:rPr>
        <w:t>。学术硕士学位（毕业）论文的研究工作必须经过开题、预答辩、评审、答辩等环节。</w:t>
      </w:r>
    </w:p>
    <w:p w14:paraId="1DC59651">
      <w:pPr>
        <w:widowControl/>
        <w:spacing w:line="420" w:lineRule="exact"/>
        <w:ind w:firstLine="482"/>
        <w:jc w:val="left"/>
        <w:rPr>
          <w:bCs/>
          <w:color w:val="222222"/>
          <w:kern w:val="0"/>
          <w:sz w:val="24"/>
        </w:rPr>
      </w:pPr>
      <w:r>
        <w:rPr>
          <w:bCs/>
          <w:color w:val="222222"/>
          <w:kern w:val="0"/>
          <w:sz w:val="24"/>
        </w:rPr>
        <w:t>2.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40245A4C">
      <w:pPr>
        <w:widowControl/>
        <w:spacing w:line="420" w:lineRule="exact"/>
        <w:ind w:firstLine="482"/>
        <w:jc w:val="left"/>
        <w:rPr>
          <w:bCs/>
          <w:color w:val="222222"/>
          <w:kern w:val="0"/>
          <w:sz w:val="24"/>
        </w:rPr>
      </w:pPr>
      <w:r>
        <w:rPr>
          <w:bCs/>
          <w:color w:val="222222"/>
          <w:kern w:val="0"/>
          <w:sz w:val="24"/>
        </w:rPr>
        <w:t>原则上在入学后第3学期（最迟不超过第4学期）完成开题。开题</w:t>
      </w:r>
      <w:bookmarkStart w:id="1" w:name="_Hlk195599633"/>
      <w:r>
        <w:rPr>
          <w:bCs/>
          <w:color w:val="222222"/>
          <w:kern w:val="0"/>
          <w:sz w:val="24"/>
        </w:rPr>
        <w:t>由3-5名具有高级专业技术职务人员参加，以学术报告的方式进行。</w:t>
      </w:r>
    </w:p>
    <w:bookmarkEnd w:id="1"/>
    <w:p w14:paraId="4DA8EA47">
      <w:pPr>
        <w:widowControl/>
        <w:spacing w:line="420" w:lineRule="exact"/>
        <w:ind w:firstLine="482"/>
        <w:jc w:val="left"/>
        <w:rPr>
          <w:bCs/>
          <w:color w:val="222222"/>
          <w:kern w:val="0"/>
          <w:sz w:val="24"/>
        </w:rPr>
      </w:pPr>
      <w:r>
        <w:rPr>
          <w:bCs/>
          <w:color w:val="222222"/>
          <w:kern w:val="0"/>
          <w:sz w:val="24"/>
        </w:rPr>
        <w:t>3.中期进展报告：中期进展报告是检查研究生个人综合能力及学位论文进展、指导研究生把握学位（毕业）论文方向、提高学位（毕业）论文质量的必要环节。中期进展报告原则上应在入学后第5学期进行；中期考核</w:t>
      </w:r>
      <w:r>
        <w:rPr>
          <w:rFonts w:hint="eastAsia"/>
          <w:bCs/>
          <w:color w:val="222222"/>
          <w:kern w:val="0"/>
          <w:sz w:val="24"/>
        </w:rPr>
        <w:t>由3-5名具有高级专业技术职务人员参加，以学术报告的方式进行。</w:t>
      </w:r>
    </w:p>
    <w:p w14:paraId="6430895F">
      <w:pPr>
        <w:widowControl/>
        <w:spacing w:line="420" w:lineRule="exact"/>
        <w:ind w:firstLine="482"/>
        <w:jc w:val="left"/>
        <w:rPr>
          <w:bCs/>
          <w:color w:val="222222"/>
          <w:kern w:val="0"/>
          <w:sz w:val="24"/>
        </w:rPr>
      </w:pPr>
      <w:r>
        <w:rPr>
          <w:bCs/>
          <w:color w:val="222222"/>
          <w:kern w:val="0"/>
          <w:sz w:val="24"/>
        </w:rPr>
        <w:t>4.学位申请：达到学位授予条件的申请人，经导师同意后，应于答辩前三个月，向所属学位评定分委员会提出学位申请，提交学位申请材料。</w:t>
      </w:r>
    </w:p>
    <w:p w14:paraId="3512EAB6">
      <w:pPr>
        <w:widowControl/>
        <w:spacing w:line="420" w:lineRule="exact"/>
        <w:ind w:firstLine="482"/>
        <w:jc w:val="left"/>
        <w:rPr>
          <w:i/>
          <w:color w:val="FF0000"/>
          <w:kern w:val="0"/>
          <w:sz w:val="24"/>
        </w:rPr>
      </w:pPr>
      <w:r>
        <w:rPr>
          <w:bCs/>
          <w:color w:val="222222"/>
          <w:kern w:val="0"/>
          <w:sz w:val="24"/>
        </w:rPr>
        <w:t>5.预答辩：</w:t>
      </w:r>
      <w:r>
        <w:rPr>
          <w:iCs/>
          <w:kern w:val="0"/>
          <w:sz w:val="24"/>
        </w:rPr>
        <w:t>学位申请人须进行学位论文预答辩。预答辩通过者，方可进入学位论文评阅、学位论文答辩等环节。学位（毕业）论文预答辩在正式答辩前3个月进行</w:t>
      </w:r>
      <w:r>
        <w:rPr>
          <w:rFonts w:hint="eastAsia"/>
          <w:iCs/>
          <w:kern w:val="0"/>
          <w:sz w:val="24"/>
        </w:rPr>
        <w:t>，预答辩小组由3-5名具有高级专业技术职务人员组成，组长需具有正高级职称和硕士研究生导师资格</w:t>
      </w:r>
      <w:r>
        <w:rPr>
          <w:iCs/>
          <w:kern w:val="0"/>
          <w:sz w:val="24"/>
        </w:rPr>
        <w:t>。</w:t>
      </w:r>
    </w:p>
    <w:p w14:paraId="31C322DB">
      <w:pPr>
        <w:widowControl/>
        <w:spacing w:line="420" w:lineRule="exact"/>
        <w:ind w:firstLine="482"/>
        <w:jc w:val="left"/>
        <w:rPr>
          <w:iCs/>
          <w:kern w:val="0"/>
          <w:sz w:val="24"/>
        </w:rPr>
      </w:pPr>
      <w:r>
        <w:rPr>
          <w:iCs/>
          <w:kern w:val="0"/>
          <w:sz w:val="24"/>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261D0420">
      <w:pPr>
        <w:widowControl/>
        <w:spacing w:line="420" w:lineRule="exact"/>
        <w:ind w:firstLine="482"/>
        <w:jc w:val="left"/>
        <w:rPr>
          <w:color w:val="222222"/>
          <w:kern w:val="0"/>
          <w:sz w:val="24"/>
        </w:rPr>
      </w:pPr>
      <w:r>
        <w:rPr>
          <w:bCs/>
          <w:color w:val="222222"/>
          <w:kern w:val="0"/>
          <w:sz w:val="24"/>
        </w:rPr>
        <w:t>7.答辩：学位（毕业）论文答辩按照</w:t>
      </w:r>
      <w:r>
        <w:rPr>
          <w:color w:val="222222"/>
          <w:kern w:val="0"/>
          <w:sz w:val="24"/>
        </w:rPr>
        <w:t>《河北大学博士、硕士学位授予工作实施细则》（校政字〔2025〕7号）执行。</w:t>
      </w:r>
    </w:p>
    <w:p w14:paraId="19EE3DF3">
      <w:pPr>
        <w:widowControl/>
        <w:spacing w:line="420" w:lineRule="exact"/>
        <w:ind w:firstLine="482"/>
        <w:jc w:val="left"/>
        <w:rPr>
          <w:rFonts w:eastAsiaTheme="minorEastAsia"/>
          <w:i/>
          <w:color w:val="FF0000"/>
          <w:sz w:val="24"/>
        </w:rPr>
      </w:pPr>
    </w:p>
    <w:p w14:paraId="42340DED">
      <w:pPr>
        <w:spacing w:line="440" w:lineRule="exact"/>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62070FD1">
      <w:pPr>
        <w:spacing w:line="440" w:lineRule="exact"/>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43F6B325">
      <w:pPr>
        <w:spacing w:line="440" w:lineRule="exact"/>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w:t>
      </w:r>
      <w:r>
        <w:rPr>
          <w:rFonts w:eastAsiaTheme="minorEastAsia"/>
          <w:sz w:val="24"/>
        </w:rPr>
        <w:t>于10次学术活动，并撰写学术报告小结；以主讲人或宣讲人身份，参加在校内外举行的学术报告或学术讲座不少于1次</w:t>
      </w:r>
      <w:r>
        <w:rPr>
          <w:rFonts w:eastAsiaTheme="minorEastAsia"/>
          <w:color w:val="000000"/>
          <w:sz w:val="24"/>
        </w:rPr>
        <w:t>。</w:t>
      </w:r>
    </w:p>
    <w:p w14:paraId="38BA6B07">
      <w:pPr>
        <w:spacing w:line="440" w:lineRule="exact"/>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62A8AC94">
      <w:pPr>
        <w:spacing w:line="440" w:lineRule="exact"/>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7BF19D14">
      <w:pPr>
        <w:spacing w:line="440" w:lineRule="exact"/>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7F23F702">
      <w:pPr>
        <w:spacing w:line="440" w:lineRule="exact"/>
        <w:ind w:firstLine="480" w:firstLineChars="200"/>
        <w:rPr>
          <w:rFonts w:eastAsiaTheme="minorEastAsia"/>
          <w:iCs/>
          <w:sz w:val="24"/>
        </w:rPr>
      </w:pPr>
      <w:r>
        <w:rPr>
          <w:rFonts w:hint="eastAsia" w:eastAsiaTheme="minorEastAsia"/>
          <w:iCs/>
          <w:sz w:val="24"/>
        </w:rPr>
        <w:t>按照“生命科学学院关于研究生申请学位取得创新性成果的规定”执行。</w:t>
      </w:r>
    </w:p>
    <w:p w14:paraId="21C7F38D">
      <w:pPr>
        <w:spacing w:line="440" w:lineRule="exact"/>
        <w:ind w:firstLine="560" w:firstLineChars="200"/>
        <w:rPr>
          <w:rFonts w:eastAsia="黑体"/>
          <w:bCs/>
          <w:sz w:val="28"/>
          <w:szCs w:val="28"/>
        </w:rPr>
      </w:pPr>
      <w:r>
        <w:rPr>
          <w:rFonts w:eastAsia="黑体"/>
          <w:bCs/>
          <w:sz w:val="28"/>
          <w:szCs w:val="28"/>
        </w:rPr>
        <w:t>十一、学位授予</w:t>
      </w:r>
    </w:p>
    <w:p w14:paraId="0ED72A63">
      <w:pPr>
        <w:spacing w:line="440" w:lineRule="exact"/>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w:t>
      </w:r>
      <w:r>
        <w:rPr>
          <w:rFonts w:hint="eastAsia"/>
          <w:iCs/>
          <w:kern w:val="0"/>
          <w:sz w:val="24"/>
        </w:rPr>
        <w:t>生命科学学院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6F81DA59">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6CFB05E9">
      <w:pPr>
        <w:spacing w:line="440" w:lineRule="exact"/>
        <w:ind w:firstLine="480" w:firstLineChars="200"/>
        <w:rPr>
          <w:color w:val="FF0000"/>
          <w:sz w:val="24"/>
        </w:rPr>
      </w:pPr>
      <w:r>
        <w:rPr>
          <w:rFonts w:eastAsiaTheme="minorEastAsia"/>
          <w:color w:val="000000"/>
          <w:sz w:val="24"/>
        </w:rPr>
        <w:t>本专业最低毕业学分为</w:t>
      </w:r>
      <w:r>
        <w:rPr>
          <w:rFonts w:hint="eastAsia" w:eastAsiaTheme="minorEastAsia"/>
          <w:color w:val="000000"/>
          <w:sz w:val="24"/>
        </w:rPr>
        <w:t>2</w:t>
      </w:r>
      <w:r>
        <w:rPr>
          <w:rFonts w:hint="eastAsia" w:eastAsiaTheme="minorEastAsia"/>
          <w:color w:val="000000"/>
          <w:sz w:val="24"/>
          <w:lang w:val="en-US" w:eastAsia="zh-CN"/>
        </w:rPr>
        <w:t>5</w:t>
      </w:r>
      <w:r>
        <w:rPr>
          <w:rFonts w:eastAsiaTheme="minorEastAsia"/>
          <w:color w:val="000000"/>
          <w:sz w:val="24"/>
        </w:rPr>
        <w:t>分，其中学位课</w:t>
      </w:r>
      <w:r>
        <w:rPr>
          <w:rFonts w:hint="eastAsia" w:eastAsiaTheme="minorEastAsia"/>
          <w:color w:val="000000"/>
          <w:sz w:val="24"/>
        </w:rPr>
        <w:t>16</w:t>
      </w:r>
      <w:r>
        <w:rPr>
          <w:rFonts w:eastAsiaTheme="minorEastAsia"/>
          <w:color w:val="000000"/>
          <w:sz w:val="24"/>
        </w:rPr>
        <w:t>学分，非学位课</w:t>
      </w:r>
      <w:r>
        <w:rPr>
          <w:rFonts w:hint="eastAsia" w:eastAsiaTheme="minorEastAsia"/>
          <w:color w:val="000000"/>
          <w:sz w:val="24"/>
        </w:rPr>
        <w:t>8</w:t>
      </w:r>
      <w:r>
        <w:rPr>
          <w:rFonts w:eastAsiaTheme="minorEastAsia"/>
          <w:color w:val="000000"/>
          <w:sz w:val="24"/>
        </w:rPr>
        <w:t>学分，必修环</w:t>
      </w:r>
      <w:r>
        <w:rPr>
          <w:rFonts w:eastAsiaTheme="minorEastAsia"/>
          <w:color w:val="auto"/>
          <w:sz w:val="24"/>
        </w:rPr>
        <w:t>节</w:t>
      </w:r>
      <w:r>
        <w:rPr>
          <w:rFonts w:hint="eastAsia" w:eastAsiaTheme="minorEastAsia"/>
          <w:color w:val="auto"/>
          <w:sz w:val="24"/>
          <w:lang w:val="en-US" w:eastAsia="zh-CN"/>
        </w:rPr>
        <w:t>1</w:t>
      </w:r>
      <w:r>
        <w:rPr>
          <w:rFonts w:eastAsiaTheme="minorEastAsia"/>
          <w:color w:val="000000"/>
          <w:sz w:val="24"/>
        </w:rPr>
        <w:t>分。课程考试不设补考环节，</w:t>
      </w:r>
      <w:r>
        <w:rPr>
          <w:color w:val="000000"/>
          <w:sz w:val="24"/>
        </w:rPr>
        <w:t>考试成绩低于60分的需重修。</w:t>
      </w:r>
    </w:p>
    <w:p w14:paraId="3288AE5B">
      <w:pPr>
        <w:spacing w:after="156" w:afterLines="50" w:line="440" w:lineRule="exact"/>
        <w:ind w:firstLine="482" w:firstLineChars="200"/>
        <w:jc w:val="center"/>
        <w:rPr>
          <w:rFonts w:eastAsiaTheme="minorEastAsia"/>
          <w:b/>
          <w:bCs/>
          <w:sz w:val="24"/>
        </w:rPr>
      </w:pPr>
      <w:r>
        <w:rPr>
          <w:rFonts w:hint="eastAsia" w:eastAsiaTheme="minorEastAsia"/>
          <w:b/>
          <w:bCs/>
          <w:sz w:val="24"/>
        </w:rPr>
        <w:t>细胞生物学</w:t>
      </w:r>
      <w:r>
        <w:rPr>
          <w:rFonts w:eastAsiaTheme="minorEastAsia"/>
          <w:b/>
          <w:bCs/>
          <w:sz w:val="24"/>
        </w:rPr>
        <w:t>专业学术学位硕士研究生课程及培养环节设置一览表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172"/>
        <w:gridCol w:w="1425"/>
        <w:gridCol w:w="709"/>
        <w:gridCol w:w="587"/>
        <w:gridCol w:w="1167"/>
      </w:tblGrid>
      <w:tr w14:paraId="58DEA73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4095AC74">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172" w:type="dxa"/>
            <w:vAlign w:val="center"/>
          </w:tcPr>
          <w:p w14:paraId="4905BE59">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425" w:type="dxa"/>
            <w:vAlign w:val="center"/>
          </w:tcPr>
          <w:p w14:paraId="7C643EDC">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2CCC78A8">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587" w:type="dxa"/>
            <w:vAlign w:val="center"/>
          </w:tcPr>
          <w:p w14:paraId="3B3D8CE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167" w:type="dxa"/>
            <w:vAlign w:val="center"/>
          </w:tcPr>
          <w:p w14:paraId="4352C1B9">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04A9EA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70C15D4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4524D33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30C713F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172" w:type="dxa"/>
            <w:vAlign w:val="center"/>
          </w:tcPr>
          <w:p w14:paraId="605676D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425" w:type="dxa"/>
            <w:vAlign w:val="center"/>
          </w:tcPr>
          <w:p w14:paraId="7019530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1693B76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587" w:type="dxa"/>
            <w:vAlign w:val="center"/>
          </w:tcPr>
          <w:p w14:paraId="3BEF74D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167" w:type="dxa"/>
            <w:vAlign w:val="center"/>
          </w:tcPr>
          <w:p w14:paraId="6C61F2B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3F8969B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05998A09">
            <w:pPr>
              <w:jc w:val="center"/>
              <w:rPr>
                <w:b/>
                <w:color w:val="000000" w:themeColor="text1"/>
                <w:sz w:val="18"/>
                <w:szCs w:val="18"/>
                <w14:textFill>
                  <w14:solidFill>
                    <w14:schemeClr w14:val="tx1"/>
                  </w14:solidFill>
                </w14:textFill>
              </w:rPr>
            </w:pPr>
          </w:p>
        </w:tc>
        <w:tc>
          <w:tcPr>
            <w:tcW w:w="1226" w:type="dxa"/>
            <w:vMerge w:val="continue"/>
            <w:vAlign w:val="center"/>
          </w:tcPr>
          <w:p w14:paraId="6E513350">
            <w:pPr>
              <w:jc w:val="center"/>
              <w:rPr>
                <w:b/>
                <w:color w:val="000000" w:themeColor="text1"/>
                <w:sz w:val="18"/>
                <w:szCs w:val="18"/>
                <w14:textFill>
                  <w14:solidFill>
                    <w14:schemeClr w14:val="tx1"/>
                  </w14:solidFill>
                </w14:textFill>
              </w:rPr>
            </w:pPr>
          </w:p>
        </w:tc>
        <w:tc>
          <w:tcPr>
            <w:tcW w:w="3172" w:type="dxa"/>
            <w:vAlign w:val="center"/>
          </w:tcPr>
          <w:p w14:paraId="3C2A7F2C">
            <w:pPr>
              <w:rPr>
                <w:sz w:val="18"/>
                <w:szCs w:val="18"/>
              </w:rPr>
            </w:pPr>
            <w:r>
              <w:rPr>
                <w:sz w:val="18"/>
                <w:szCs w:val="18"/>
              </w:rPr>
              <w:t>通用学术英语</w:t>
            </w:r>
          </w:p>
        </w:tc>
        <w:tc>
          <w:tcPr>
            <w:tcW w:w="1425" w:type="dxa"/>
            <w:vAlign w:val="center"/>
          </w:tcPr>
          <w:p w14:paraId="455D7F3E">
            <w:pPr>
              <w:jc w:val="center"/>
              <w:rPr>
                <w:sz w:val="18"/>
                <w:szCs w:val="18"/>
              </w:rPr>
            </w:pPr>
            <w:r>
              <w:rPr>
                <w:sz w:val="18"/>
                <w:szCs w:val="18"/>
              </w:rPr>
              <w:t>TS0000002</w:t>
            </w:r>
          </w:p>
        </w:tc>
        <w:tc>
          <w:tcPr>
            <w:tcW w:w="709" w:type="dxa"/>
            <w:vAlign w:val="center"/>
          </w:tcPr>
          <w:p w14:paraId="2EE75992">
            <w:pPr>
              <w:jc w:val="center"/>
              <w:rPr>
                <w:sz w:val="18"/>
                <w:szCs w:val="18"/>
              </w:rPr>
            </w:pPr>
            <w:r>
              <w:rPr>
                <w:sz w:val="18"/>
                <w:szCs w:val="18"/>
              </w:rPr>
              <w:t>2</w:t>
            </w:r>
          </w:p>
        </w:tc>
        <w:tc>
          <w:tcPr>
            <w:tcW w:w="587" w:type="dxa"/>
            <w:vAlign w:val="center"/>
          </w:tcPr>
          <w:p w14:paraId="7C640D07">
            <w:pPr>
              <w:jc w:val="center"/>
              <w:rPr>
                <w:sz w:val="18"/>
                <w:szCs w:val="18"/>
              </w:rPr>
            </w:pPr>
            <w:r>
              <w:rPr>
                <w:sz w:val="18"/>
                <w:szCs w:val="18"/>
              </w:rPr>
              <w:t>1</w:t>
            </w:r>
          </w:p>
        </w:tc>
        <w:tc>
          <w:tcPr>
            <w:tcW w:w="1167" w:type="dxa"/>
            <w:vAlign w:val="center"/>
          </w:tcPr>
          <w:p w14:paraId="2554C154">
            <w:pPr>
              <w:jc w:val="center"/>
              <w:rPr>
                <w:sz w:val="18"/>
                <w:szCs w:val="18"/>
              </w:rPr>
            </w:pPr>
            <w:r>
              <w:rPr>
                <w:rFonts w:hint="eastAsia"/>
                <w:sz w:val="18"/>
                <w:szCs w:val="18"/>
              </w:rPr>
              <w:t>考查</w:t>
            </w:r>
          </w:p>
        </w:tc>
      </w:tr>
      <w:tr w14:paraId="0DAF2FD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5A86B4B">
            <w:pPr>
              <w:jc w:val="center"/>
              <w:rPr>
                <w:b/>
                <w:color w:val="000000" w:themeColor="text1"/>
                <w:sz w:val="18"/>
                <w:szCs w:val="18"/>
                <w14:textFill>
                  <w14:solidFill>
                    <w14:schemeClr w14:val="tx1"/>
                  </w14:solidFill>
                </w14:textFill>
              </w:rPr>
            </w:pPr>
          </w:p>
        </w:tc>
        <w:tc>
          <w:tcPr>
            <w:tcW w:w="1226" w:type="dxa"/>
            <w:vMerge w:val="restart"/>
            <w:vAlign w:val="center"/>
          </w:tcPr>
          <w:p w14:paraId="7928D45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2E67F5D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（6学分）</w:t>
            </w:r>
          </w:p>
        </w:tc>
        <w:tc>
          <w:tcPr>
            <w:tcW w:w="3172" w:type="dxa"/>
            <w:vAlign w:val="center"/>
          </w:tcPr>
          <w:p w14:paraId="654FDF59">
            <w:pPr>
              <w:rPr>
                <w:sz w:val="18"/>
                <w:szCs w:val="18"/>
              </w:rPr>
            </w:pPr>
            <w:r>
              <w:rPr>
                <w:rFonts w:hint="eastAsia"/>
                <w:sz w:val="18"/>
                <w:szCs w:val="18"/>
              </w:rPr>
              <w:t>生命科学前沿研究</w:t>
            </w:r>
          </w:p>
        </w:tc>
        <w:tc>
          <w:tcPr>
            <w:tcW w:w="1425" w:type="dxa"/>
            <w:vAlign w:val="center"/>
          </w:tcPr>
          <w:p w14:paraId="44383EC9">
            <w:pPr>
              <w:widowControl/>
              <w:jc w:val="center"/>
              <w:textAlignment w:val="center"/>
              <w:rPr>
                <w:rFonts w:hint="eastAsia" w:eastAsia="等线"/>
                <w:sz w:val="18"/>
                <w:szCs w:val="18"/>
                <w:lang w:eastAsia="zh-CN"/>
              </w:rPr>
            </w:pPr>
            <w:r>
              <w:rPr>
                <w:rFonts w:eastAsia="等线"/>
                <w:color w:val="000000"/>
                <w:kern w:val="0"/>
                <w:sz w:val="18"/>
                <w:szCs w:val="18"/>
                <w:lang w:bidi="ar"/>
              </w:rPr>
              <w:t>XS120000</w:t>
            </w:r>
            <w:r>
              <w:rPr>
                <w:rFonts w:hint="eastAsia" w:eastAsia="等线"/>
                <w:color w:val="000000"/>
                <w:kern w:val="0"/>
                <w:sz w:val="18"/>
                <w:szCs w:val="18"/>
                <w:lang w:val="en-US" w:eastAsia="zh-CN" w:bidi="ar"/>
              </w:rPr>
              <w:t>6</w:t>
            </w:r>
          </w:p>
        </w:tc>
        <w:tc>
          <w:tcPr>
            <w:tcW w:w="709" w:type="dxa"/>
            <w:vAlign w:val="center"/>
          </w:tcPr>
          <w:p w14:paraId="3CCD7C9C">
            <w:pPr>
              <w:jc w:val="center"/>
              <w:rPr>
                <w:sz w:val="18"/>
                <w:szCs w:val="18"/>
              </w:rPr>
            </w:pPr>
            <w:r>
              <w:rPr>
                <w:rFonts w:hint="eastAsia"/>
                <w:sz w:val="18"/>
                <w:szCs w:val="18"/>
              </w:rPr>
              <w:t>3</w:t>
            </w:r>
          </w:p>
        </w:tc>
        <w:tc>
          <w:tcPr>
            <w:tcW w:w="587" w:type="dxa"/>
            <w:vAlign w:val="center"/>
          </w:tcPr>
          <w:p w14:paraId="3232537A">
            <w:pPr>
              <w:jc w:val="center"/>
              <w:rPr>
                <w:sz w:val="18"/>
                <w:szCs w:val="18"/>
              </w:rPr>
            </w:pPr>
            <w:r>
              <w:rPr>
                <w:rFonts w:hint="eastAsia"/>
                <w:sz w:val="18"/>
                <w:szCs w:val="18"/>
              </w:rPr>
              <w:t>1</w:t>
            </w:r>
          </w:p>
        </w:tc>
        <w:tc>
          <w:tcPr>
            <w:tcW w:w="1167" w:type="dxa"/>
            <w:vAlign w:val="center"/>
          </w:tcPr>
          <w:p w14:paraId="4FB92AE3">
            <w:pPr>
              <w:jc w:val="center"/>
              <w:rPr>
                <w:sz w:val="18"/>
                <w:szCs w:val="18"/>
              </w:rPr>
            </w:pPr>
            <w:r>
              <w:rPr>
                <w:rFonts w:hint="eastAsia"/>
                <w:sz w:val="18"/>
                <w:szCs w:val="18"/>
              </w:rPr>
              <w:t>考查</w:t>
            </w:r>
          </w:p>
        </w:tc>
      </w:tr>
      <w:tr w14:paraId="57F68D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4CA273E">
            <w:pPr>
              <w:jc w:val="center"/>
              <w:rPr>
                <w:b/>
                <w:color w:val="000000" w:themeColor="text1"/>
                <w:sz w:val="18"/>
                <w:szCs w:val="18"/>
                <w14:textFill>
                  <w14:solidFill>
                    <w14:schemeClr w14:val="tx1"/>
                  </w14:solidFill>
                </w14:textFill>
              </w:rPr>
            </w:pPr>
          </w:p>
        </w:tc>
        <w:tc>
          <w:tcPr>
            <w:tcW w:w="1226" w:type="dxa"/>
            <w:vMerge w:val="continue"/>
            <w:vAlign w:val="center"/>
          </w:tcPr>
          <w:p w14:paraId="2A501F7C">
            <w:pPr>
              <w:jc w:val="center"/>
              <w:rPr>
                <w:b/>
                <w:color w:val="000000" w:themeColor="text1"/>
                <w:sz w:val="18"/>
                <w:szCs w:val="18"/>
                <w14:textFill>
                  <w14:solidFill>
                    <w14:schemeClr w14:val="tx1"/>
                  </w14:solidFill>
                </w14:textFill>
              </w:rPr>
            </w:pPr>
          </w:p>
        </w:tc>
        <w:tc>
          <w:tcPr>
            <w:tcW w:w="3172" w:type="dxa"/>
            <w:vAlign w:val="center"/>
          </w:tcPr>
          <w:p w14:paraId="71EA3ED9">
            <w:pPr>
              <w:adjustRightInd w:val="0"/>
              <w:snapToGrid w:val="0"/>
              <w:rPr>
                <w:sz w:val="18"/>
                <w:szCs w:val="18"/>
              </w:rPr>
            </w:pPr>
            <w:r>
              <w:rPr>
                <w:rFonts w:hint="eastAsia"/>
                <w:sz w:val="18"/>
                <w:szCs w:val="18"/>
              </w:rPr>
              <w:t>英文文献阅读与写作</w:t>
            </w:r>
          </w:p>
        </w:tc>
        <w:tc>
          <w:tcPr>
            <w:tcW w:w="1425" w:type="dxa"/>
            <w:vAlign w:val="center"/>
          </w:tcPr>
          <w:p w14:paraId="4279EFD6">
            <w:pPr>
              <w:widowControl/>
              <w:jc w:val="center"/>
              <w:textAlignment w:val="center"/>
              <w:rPr>
                <w:sz w:val="18"/>
                <w:szCs w:val="18"/>
              </w:rPr>
            </w:pPr>
            <w:r>
              <w:rPr>
                <w:rFonts w:eastAsia="等线"/>
                <w:color w:val="000000"/>
                <w:kern w:val="0"/>
                <w:sz w:val="18"/>
                <w:szCs w:val="18"/>
                <w:lang w:bidi="ar"/>
              </w:rPr>
              <w:t>XS12090</w:t>
            </w:r>
            <w:r>
              <w:rPr>
                <w:rFonts w:hint="eastAsia" w:eastAsia="等线"/>
                <w:color w:val="000000"/>
                <w:kern w:val="0"/>
                <w:sz w:val="18"/>
                <w:szCs w:val="18"/>
                <w:lang w:val="en-US" w:eastAsia="zh-CN" w:bidi="ar"/>
              </w:rPr>
              <w:t>1</w:t>
            </w:r>
            <w:r>
              <w:rPr>
                <w:rFonts w:eastAsia="等线"/>
                <w:color w:val="000000"/>
                <w:kern w:val="0"/>
                <w:sz w:val="18"/>
                <w:szCs w:val="18"/>
                <w:lang w:bidi="ar"/>
              </w:rPr>
              <w:t>1</w:t>
            </w:r>
          </w:p>
        </w:tc>
        <w:tc>
          <w:tcPr>
            <w:tcW w:w="709" w:type="dxa"/>
            <w:vAlign w:val="center"/>
          </w:tcPr>
          <w:p w14:paraId="5AF2B8E3">
            <w:pPr>
              <w:ind w:firstLine="180" w:firstLineChars="100"/>
              <w:rPr>
                <w:sz w:val="18"/>
                <w:szCs w:val="18"/>
              </w:rPr>
            </w:pPr>
            <w:r>
              <w:rPr>
                <w:rFonts w:hint="eastAsia"/>
                <w:sz w:val="18"/>
                <w:szCs w:val="18"/>
              </w:rPr>
              <w:t>3</w:t>
            </w:r>
          </w:p>
        </w:tc>
        <w:tc>
          <w:tcPr>
            <w:tcW w:w="587" w:type="dxa"/>
            <w:vAlign w:val="center"/>
          </w:tcPr>
          <w:p w14:paraId="2CABB5A2">
            <w:pPr>
              <w:jc w:val="center"/>
              <w:rPr>
                <w:sz w:val="18"/>
                <w:szCs w:val="18"/>
              </w:rPr>
            </w:pPr>
            <w:r>
              <w:rPr>
                <w:rFonts w:hint="eastAsia"/>
                <w:sz w:val="18"/>
                <w:szCs w:val="18"/>
              </w:rPr>
              <w:t>1</w:t>
            </w:r>
          </w:p>
        </w:tc>
        <w:tc>
          <w:tcPr>
            <w:tcW w:w="1167" w:type="dxa"/>
            <w:vAlign w:val="center"/>
          </w:tcPr>
          <w:p w14:paraId="5263C12C">
            <w:pPr>
              <w:jc w:val="center"/>
              <w:rPr>
                <w:sz w:val="18"/>
                <w:szCs w:val="18"/>
              </w:rPr>
            </w:pPr>
            <w:r>
              <w:rPr>
                <w:rFonts w:hint="eastAsia"/>
                <w:sz w:val="18"/>
                <w:szCs w:val="18"/>
              </w:rPr>
              <w:t>考查</w:t>
            </w:r>
          </w:p>
        </w:tc>
      </w:tr>
      <w:tr w14:paraId="0231E84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D537312">
            <w:pPr>
              <w:jc w:val="center"/>
              <w:rPr>
                <w:b/>
                <w:color w:val="000000" w:themeColor="text1"/>
                <w:sz w:val="18"/>
                <w:szCs w:val="18"/>
                <w14:textFill>
                  <w14:solidFill>
                    <w14:schemeClr w14:val="tx1"/>
                  </w14:solidFill>
                </w14:textFill>
              </w:rPr>
            </w:pPr>
          </w:p>
        </w:tc>
        <w:tc>
          <w:tcPr>
            <w:tcW w:w="1226" w:type="dxa"/>
            <w:vMerge w:val="restart"/>
            <w:vAlign w:val="center"/>
          </w:tcPr>
          <w:p w14:paraId="557225A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171C10C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（6学分）</w:t>
            </w:r>
          </w:p>
        </w:tc>
        <w:tc>
          <w:tcPr>
            <w:tcW w:w="3172" w:type="dxa"/>
          </w:tcPr>
          <w:p w14:paraId="2ABD4FBB">
            <w:pPr>
              <w:rPr>
                <w:iCs/>
                <w:sz w:val="18"/>
                <w:szCs w:val="18"/>
              </w:rPr>
            </w:pPr>
            <w:r>
              <w:rPr>
                <w:rFonts w:hint="eastAsia"/>
                <w:iCs/>
                <w:sz w:val="18"/>
                <w:szCs w:val="18"/>
              </w:rPr>
              <w:t>细胞生物学研究新进展</w:t>
            </w:r>
          </w:p>
        </w:tc>
        <w:tc>
          <w:tcPr>
            <w:tcW w:w="1425" w:type="dxa"/>
            <w:vAlign w:val="center"/>
          </w:tcPr>
          <w:p w14:paraId="3BA888CF">
            <w:pPr>
              <w:widowControl/>
              <w:jc w:val="center"/>
              <w:textAlignment w:val="center"/>
              <w:rPr>
                <w:sz w:val="18"/>
                <w:szCs w:val="18"/>
              </w:rPr>
            </w:pPr>
            <w:r>
              <w:rPr>
                <w:rFonts w:eastAsia="等线"/>
                <w:color w:val="000000"/>
                <w:kern w:val="0"/>
                <w:sz w:val="18"/>
                <w:szCs w:val="18"/>
                <w:lang w:bidi="ar"/>
              </w:rPr>
              <w:t>XS12090</w:t>
            </w:r>
            <w:r>
              <w:rPr>
                <w:rFonts w:hint="eastAsia" w:eastAsia="等线"/>
                <w:color w:val="000000"/>
                <w:kern w:val="0"/>
                <w:sz w:val="18"/>
                <w:szCs w:val="18"/>
                <w:lang w:val="en-US" w:eastAsia="zh-CN" w:bidi="ar"/>
              </w:rPr>
              <w:t>1</w:t>
            </w:r>
            <w:r>
              <w:rPr>
                <w:rFonts w:eastAsia="等线"/>
                <w:color w:val="000000"/>
                <w:kern w:val="0"/>
                <w:sz w:val="18"/>
                <w:szCs w:val="18"/>
                <w:lang w:bidi="ar"/>
              </w:rPr>
              <w:t>2</w:t>
            </w:r>
          </w:p>
        </w:tc>
        <w:tc>
          <w:tcPr>
            <w:tcW w:w="709" w:type="dxa"/>
            <w:vAlign w:val="center"/>
          </w:tcPr>
          <w:p w14:paraId="4B9538CD">
            <w:pPr>
              <w:jc w:val="center"/>
              <w:rPr>
                <w:sz w:val="18"/>
                <w:szCs w:val="18"/>
              </w:rPr>
            </w:pPr>
            <w:r>
              <w:rPr>
                <w:rFonts w:hint="eastAsia"/>
                <w:sz w:val="18"/>
                <w:szCs w:val="18"/>
              </w:rPr>
              <w:t>3</w:t>
            </w:r>
          </w:p>
        </w:tc>
        <w:tc>
          <w:tcPr>
            <w:tcW w:w="587" w:type="dxa"/>
            <w:vAlign w:val="center"/>
          </w:tcPr>
          <w:p w14:paraId="36B0F4E1">
            <w:pPr>
              <w:jc w:val="center"/>
              <w:rPr>
                <w:sz w:val="18"/>
                <w:szCs w:val="18"/>
              </w:rPr>
            </w:pPr>
            <w:r>
              <w:rPr>
                <w:rFonts w:hint="eastAsia"/>
                <w:sz w:val="18"/>
                <w:szCs w:val="18"/>
              </w:rPr>
              <w:t>1</w:t>
            </w:r>
          </w:p>
        </w:tc>
        <w:tc>
          <w:tcPr>
            <w:tcW w:w="1167" w:type="dxa"/>
            <w:vAlign w:val="center"/>
          </w:tcPr>
          <w:p w14:paraId="3DAF1E80">
            <w:pPr>
              <w:jc w:val="center"/>
              <w:rPr>
                <w:sz w:val="18"/>
                <w:szCs w:val="18"/>
              </w:rPr>
            </w:pPr>
            <w:r>
              <w:rPr>
                <w:rFonts w:hint="eastAsia"/>
                <w:sz w:val="18"/>
                <w:szCs w:val="18"/>
              </w:rPr>
              <w:t>考查</w:t>
            </w:r>
          </w:p>
        </w:tc>
      </w:tr>
      <w:tr w14:paraId="730A77A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FA87BC1">
            <w:pPr>
              <w:jc w:val="center"/>
              <w:rPr>
                <w:b/>
                <w:color w:val="000000" w:themeColor="text1"/>
                <w:sz w:val="18"/>
                <w:szCs w:val="18"/>
                <w14:textFill>
                  <w14:solidFill>
                    <w14:schemeClr w14:val="tx1"/>
                  </w14:solidFill>
                </w14:textFill>
              </w:rPr>
            </w:pPr>
          </w:p>
        </w:tc>
        <w:tc>
          <w:tcPr>
            <w:tcW w:w="1226" w:type="dxa"/>
            <w:vMerge w:val="continue"/>
            <w:vAlign w:val="center"/>
          </w:tcPr>
          <w:p w14:paraId="0DA0690B">
            <w:pPr>
              <w:jc w:val="center"/>
              <w:rPr>
                <w:b/>
                <w:color w:val="000000" w:themeColor="text1"/>
                <w:sz w:val="18"/>
                <w:szCs w:val="18"/>
                <w14:textFill>
                  <w14:solidFill>
                    <w14:schemeClr w14:val="tx1"/>
                  </w14:solidFill>
                </w14:textFill>
              </w:rPr>
            </w:pPr>
          </w:p>
        </w:tc>
        <w:tc>
          <w:tcPr>
            <w:tcW w:w="3172" w:type="dxa"/>
          </w:tcPr>
          <w:p w14:paraId="5DEA91E0">
            <w:pPr>
              <w:rPr>
                <w:iCs/>
                <w:sz w:val="18"/>
                <w:szCs w:val="18"/>
              </w:rPr>
            </w:pPr>
            <w:r>
              <w:rPr>
                <w:rFonts w:hint="eastAsia"/>
                <w:iCs/>
                <w:sz w:val="18"/>
                <w:szCs w:val="18"/>
              </w:rPr>
              <w:t>高级生物化学</w:t>
            </w:r>
          </w:p>
        </w:tc>
        <w:tc>
          <w:tcPr>
            <w:tcW w:w="1425" w:type="dxa"/>
            <w:vAlign w:val="center"/>
          </w:tcPr>
          <w:p w14:paraId="0AEB3823">
            <w:pPr>
              <w:widowControl/>
              <w:jc w:val="center"/>
              <w:textAlignment w:val="center"/>
              <w:rPr>
                <w:sz w:val="18"/>
                <w:szCs w:val="18"/>
              </w:rPr>
            </w:pPr>
            <w:r>
              <w:rPr>
                <w:rFonts w:eastAsia="等线"/>
                <w:color w:val="000000"/>
                <w:kern w:val="0"/>
                <w:sz w:val="18"/>
                <w:szCs w:val="18"/>
                <w:lang w:bidi="ar"/>
              </w:rPr>
              <w:t>XS12090</w:t>
            </w:r>
            <w:r>
              <w:rPr>
                <w:rFonts w:hint="eastAsia" w:eastAsia="等线"/>
                <w:color w:val="000000"/>
                <w:kern w:val="0"/>
                <w:sz w:val="18"/>
                <w:szCs w:val="18"/>
                <w:lang w:val="en-US" w:eastAsia="zh-CN" w:bidi="ar"/>
              </w:rPr>
              <w:t>1</w:t>
            </w:r>
            <w:r>
              <w:rPr>
                <w:rFonts w:eastAsia="等线"/>
                <w:color w:val="000000"/>
                <w:kern w:val="0"/>
                <w:sz w:val="18"/>
                <w:szCs w:val="18"/>
                <w:lang w:bidi="ar"/>
              </w:rPr>
              <w:t>3</w:t>
            </w:r>
          </w:p>
        </w:tc>
        <w:tc>
          <w:tcPr>
            <w:tcW w:w="709" w:type="dxa"/>
            <w:vAlign w:val="center"/>
          </w:tcPr>
          <w:p w14:paraId="7CD5508E">
            <w:pPr>
              <w:jc w:val="center"/>
              <w:rPr>
                <w:sz w:val="18"/>
                <w:szCs w:val="18"/>
              </w:rPr>
            </w:pPr>
            <w:r>
              <w:rPr>
                <w:rFonts w:hint="eastAsia"/>
                <w:sz w:val="18"/>
                <w:szCs w:val="18"/>
              </w:rPr>
              <w:t>3</w:t>
            </w:r>
          </w:p>
        </w:tc>
        <w:tc>
          <w:tcPr>
            <w:tcW w:w="587" w:type="dxa"/>
            <w:vAlign w:val="center"/>
          </w:tcPr>
          <w:p w14:paraId="1E80607B">
            <w:pPr>
              <w:jc w:val="center"/>
              <w:rPr>
                <w:sz w:val="18"/>
                <w:szCs w:val="18"/>
              </w:rPr>
            </w:pPr>
            <w:r>
              <w:rPr>
                <w:rFonts w:hint="eastAsia"/>
                <w:sz w:val="18"/>
                <w:szCs w:val="18"/>
              </w:rPr>
              <w:t>1</w:t>
            </w:r>
          </w:p>
        </w:tc>
        <w:tc>
          <w:tcPr>
            <w:tcW w:w="1167" w:type="dxa"/>
            <w:vAlign w:val="center"/>
          </w:tcPr>
          <w:p w14:paraId="3E022321">
            <w:pPr>
              <w:jc w:val="center"/>
              <w:rPr>
                <w:sz w:val="18"/>
                <w:szCs w:val="18"/>
              </w:rPr>
            </w:pPr>
            <w:r>
              <w:rPr>
                <w:rFonts w:hint="eastAsia"/>
                <w:sz w:val="18"/>
                <w:szCs w:val="18"/>
              </w:rPr>
              <w:t>考试</w:t>
            </w:r>
          </w:p>
        </w:tc>
      </w:tr>
      <w:tr w14:paraId="39A6C35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739D83F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7CDC27B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24EB9B7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172" w:type="dxa"/>
            <w:vAlign w:val="center"/>
          </w:tcPr>
          <w:p w14:paraId="7DB859A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425" w:type="dxa"/>
            <w:vAlign w:val="center"/>
          </w:tcPr>
          <w:p w14:paraId="24536C2D">
            <w:pPr>
              <w:jc w:val="center"/>
              <w:rPr>
                <w:sz w:val="18"/>
                <w:szCs w:val="18"/>
              </w:rPr>
            </w:pPr>
            <w:r>
              <w:rPr>
                <w:sz w:val="18"/>
                <w:szCs w:val="18"/>
              </w:rPr>
              <w:t>TT0000101</w:t>
            </w:r>
          </w:p>
        </w:tc>
        <w:tc>
          <w:tcPr>
            <w:tcW w:w="709" w:type="dxa"/>
            <w:vAlign w:val="center"/>
          </w:tcPr>
          <w:p w14:paraId="2F69C966">
            <w:pPr>
              <w:jc w:val="center"/>
              <w:rPr>
                <w:sz w:val="18"/>
                <w:szCs w:val="18"/>
              </w:rPr>
            </w:pPr>
            <w:r>
              <w:rPr>
                <w:sz w:val="18"/>
                <w:szCs w:val="18"/>
              </w:rPr>
              <w:t>1</w:t>
            </w:r>
          </w:p>
        </w:tc>
        <w:tc>
          <w:tcPr>
            <w:tcW w:w="587" w:type="dxa"/>
            <w:vAlign w:val="center"/>
          </w:tcPr>
          <w:p w14:paraId="086019BC">
            <w:pPr>
              <w:jc w:val="center"/>
              <w:rPr>
                <w:sz w:val="18"/>
                <w:szCs w:val="18"/>
              </w:rPr>
            </w:pPr>
            <w:r>
              <w:rPr>
                <w:sz w:val="18"/>
                <w:szCs w:val="18"/>
              </w:rPr>
              <w:t>2</w:t>
            </w:r>
          </w:p>
        </w:tc>
        <w:tc>
          <w:tcPr>
            <w:tcW w:w="1167" w:type="dxa"/>
            <w:vAlign w:val="center"/>
          </w:tcPr>
          <w:p w14:paraId="69C8064E">
            <w:pPr>
              <w:jc w:val="center"/>
              <w:rPr>
                <w:sz w:val="18"/>
                <w:szCs w:val="18"/>
              </w:rPr>
            </w:pPr>
            <w:r>
              <w:rPr>
                <w:sz w:val="18"/>
                <w:szCs w:val="18"/>
              </w:rPr>
              <w:t>考查</w:t>
            </w:r>
          </w:p>
        </w:tc>
      </w:tr>
      <w:tr w14:paraId="724A9A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4DA0B4C0">
            <w:pPr>
              <w:jc w:val="center"/>
              <w:rPr>
                <w:b/>
                <w:color w:val="000000" w:themeColor="text1"/>
                <w:sz w:val="18"/>
                <w:szCs w:val="18"/>
                <w14:textFill>
                  <w14:solidFill>
                    <w14:schemeClr w14:val="tx1"/>
                  </w14:solidFill>
                </w14:textFill>
              </w:rPr>
            </w:pPr>
          </w:p>
        </w:tc>
        <w:tc>
          <w:tcPr>
            <w:tcW w:w="1226" w:type="dxa"/>
            <w:vMerge w:val="continue"/>
            <w:vAlign w:val="center"/>
          </w:tcPr>
          <w:p w14:paraId="294302EB">
            <w:pPr>
              <w:jc w:val="center"/>
              <w:rPr>
                <w:b/>
                <w:color w:val="000000" w:themeColor="text1"/>
                <w:sz w:val="18"/>
                <w:szCs w:val="18"/>
                <w14:textFill>
                  <w14:solidFill>
                    <w14:schemeClr w14:val="tx1"/>
                  </w14:solidFill>
                </w14:textFill>
              </w:rPr>
            </w:pPr>
          </w:p>
        </w:tc>
        <w:tc>
          <w:tcPr>
            <w:tcW w:w="3172" w:type="dxa"/>
            <w:vAlign w:val="center"/>
          </w:tcPr>
          <w:p w14:paraId="0AD3AAB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自然辩证法概论</w:t>
            </w:r>
          </w:p>
        </w:tc>
        <w:tc>
          <w:tcPr>
            <w:tcW w:w="1425" w:type="dxa"/>
            <w:vAlign w:val="center"/>
          </w:tcPr>
          <w:p w14:paraId="7548206A">
            <w:pPr>
              <w:jc w:val="center"/>
              <w:rPr>
                <w:sz w:val="18"/>
                <w:szCs w:val="18"/>
              </w:rPr>
            </w:pPr>
            <w:r>
              <w:rPr>
                <w:sz w:val="18"/>
                <w:szCs w:val="18"/>
              </w:rPr>
              <w:t>TS0000102</w:t>
            </w:r>
          </w:p>
        </w:tc>
        <w:tc>
          <w:tcPr>
            <w:tcW w:w="709" w:type="dxa"/>
            <w:vAlign w:val="center"/>
          </w:tcPr>
          <w:p w14:paraId="6B1073B9">
            <w:pPr>
              <w:jc w:val="center"/>
              <w:rPr>
                <w:sz w:val="18"/>
                <w:szCs w:val="18"/>
              </w:rPr>
            </w:pPr>
            <w:r>
              <w:rPr>
                <w:sz w:val="18"/>
                <w:szCs w:val="18"/>
              </w:rPr>
              <w:t>1</w:t>
            </w:r>
          </w:p>
        </w:tc>
        <w:tc>
          <w:tcPr>
            <w:tcW w:w="587" w:type="dxa"/>
            <w:vAlign w:val="center"/>
          </w:tcPr>
          <w:p w14:paraId="71346BBA">
            <w:pPr>
              <w:jc w:val="center"/>
              <w:rPr>
                <w:sz w:val="18"/>
                <w:szCs w:val="18"/>
              </w:rPr>
            </w:pPr>
            <w:r>
              <w:rPr>
                <w:sz w:val="18"/>
                <w:szCs w:val="18"/>
              </w:rPr>
              <w:t>2</w:t>
            </w:r>
          </w:p>
        </w:tc>
        <w:tc>
          <w:tcPr>
            <w:tcW w:w="1167" w:type="dxa"/>
            <w:vAlign w:val="center"/>
          </w:tcPr>
          <w:p w14:paraId="0315B197">
            <w:pPr>
              <w:jc w:val="center"/>
              <w:rPr>
                <w:sz w:val="18"/>
                <w:szCs w:val="18"/>
              </w:rPr>
            </w:pPr>
            <w:r>
              <w:rPr>
                <w:sz w:val="18"/>
                <w:szCs w:val="18"/>
              </w:rPr>
              <w:t>考查</w:t>
            </w:r>
          </w:p>
        </w:tc>
      </w:tr>
      <w:tr w14:paraId="4AFE3B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39F23C3">
            <w:pPr>
              <w:rPr>
                <w:b/>
                <w:color w:val="000000" w:themeColor="text1"/>
                <w:sz w:val="18"/>
                <w:szCs w:val="18"/>
                <w14:textFill>
                  <w14:solidFill>
                    <w14:schemeClr w14:val="tx1"/>
                  </w14:solidFill>
                </w14:textFill>
              </w:rPr>
            </w:pPr>
          </w:p>
        </w:tc>
        <w:tc>
          <w:tcPr>
            <w:tcW w:w="1226" w:type="dxa"/>
            <w:vMerge w:val="restart"/>
            <w:vAlign w:val="center"/>
          </w:tcPr>
          <w:p w14:paraId="3419AC9E">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tc>
        <w:tc>
          <w:tcPr>
            <w:tcW w:w="3172" w:type="dxa"/>
          </w:tcPr>
          <w:p w14:paraId="57FFECE8">
            <w:pPr>
              <w:rPr>
                <w:i/>
                <w:color w:val="FF0000"/>
                <w:sz w:val="18"/>
                <w:szCs w:val="18"/>
              </w:rPr>
            </w:pPr>
            <w:r>
              <w:rPr>
                <w:rFonts w:hint="eastAsia"/>
                <w:iCs/>
                <w:sz w:val="18"/>
                <w:szCs w:val="18"/>
              </w:rPr>
              <w:t>结构生物学</w:t>
            </w:r>
          </w:p>
        </w:tc>
        <w:tc>
          <w:tcPr>
            <w:tcW w:w="1425" w:type="dxa"/>
            <w:vAlign w:val="center"/>
          </w:tcPr>
          <w:p w14:paraId="10307360">
            <w:pPr>
              <w:widowControl/>
              <w:jc w:val="center"/>
              <w:textAlignment w:val="center"/>
              <w:rPr>
                <w:sz w:val="18"/>
                <w:szCs w:val="18"/>
              </w:rPr>
            </w:pPr>
            <w:r>
              <w:rPr>
                <w:rFonts w:eastAsia="等线"/>
                <w:color w:val="000000"/>
                <w:kern w:val="0"/>
                <w:sz w:val="18"/>
                <w:szCs w:val="18"/>
                <w:lang w:bidi="ar"/>
              </w:rPr>
              <w:t>XS12092</w:t>
            </w:r>
            <w:r>
              <w:rPr>
                <w:rFonts w:hint="eastAsia" w:eastAsia="等线"/>
                <w:color w:val="000000"/>
                <w:kern w:val="0"/>
                <w:sz w:val="18"/>
                <w:szCs w:val="18"/>
                <w:lang w:val="en-US" w:eastAsia="zh-CN" w:bidi="ar"/>
              </w:rPr>
              <w:t>1</w:t>
            </w:r>
            <w:r>
              <w:rPr>
                <w:rFonts w:eastAsia="等线"/>
                <w:color w:val="000000"/>
                <w:kern w:val="0"/>
                <w:sz w:val="18"/>
                <w:szCs w:val="18"/>
                <w:lang w:bidi="ar"/>
              </w:rPr>
              <w:t>1</w:t>
            </w:r>
          </w:p>
        </w:tc>
        <w:tc>
          <w:tcPr>
            <w:tcW w:w="709" w:type="dxa"/>
            <w:vAlign w:val="center"/>
          </w:tcPr>
          <w:p w14:paraId="2DC6DD5A">
            <w:pPr>
              <w:jc w:val="center"/>
              <w:rPr>
                <w:sz w:val="18"/>
                <w:szCs w:val="18"/>
              </w:rPr>
            </w:pPr>
            <w:r>
              <w:rPr>
                <w:rFonts w:hint="eastAsia"/>
                <w:sz w:val="18"/>
                <w:szCs w:val="18"/>
              </w:rPr>
              <w:t>3</w:t>
            </w:r>
          </w:p>
        </w:tc>
        <w:tc>
          <w:tcPr>
            <w:tcW w:w="587" w:type="dxa"/>
            <w:vAlign w:val="center"/>
          </w:tcPr>
          <w:p w14:paraId="4126975E">
            <w:pPr>
              <w:jc w:val="center"/>
              <w:rPr>
                <w:sz w:val="18"/>
                <w:szCs w:val="18"/>
              </w:rPr>
            </w:pPr>
            <w:r>
              <w:rPr>
                <w:rFonts w:hint="eastAsia"/>
                <w:sz w:val="18"/>
                <w:szCs w:val="18"/>
              </w:rPr>
              <w:t>1</w:t>
            </w:r>
          </w:p>
        </w:tc>
        <w:tc>
          <w:tcPr>
            <w:tcW w:w="1167" w:type="dxa"/>
            <w:vMerge w:val="restart"/>
            <w:vAlign w:val="center"/>
          </w:tcPr>
          <w:p w14:paraId="292845DB">
            <w:pPr>
              <w:keepNext w:val="0"/>
              <w:keepLines w:val="0"/>
              <w:pageBreakBefore w:val="0"/>
              <w:kinsoku/>
              <w:wordWrap/>
              <w:overflowPunct/>
              <w:topLinePunct w:val="0"/>
              <w:autoSpaceDE/>
              <w:autoSpaceDN/>
              <w:bidi w:val="0"/>
              <w:adjustRightInd w:val="0"/>
              <w:snapToGrid w:val="0"/>
              <w:spacing w:line="360" w:lineRule="auto"/>
              <w:jc w:val="center"/>
              <w:textAlignment w:val="auto"/>
              <w:rPr>
                <w:color w:val="000000" w:themeColor="text1"/>
                <w:sz w:val="18"/>
                <w:szCs w:val="18"/>
                <w14:textFill>
                  <w14:solidFill>
                    <w14:schemeClr w14:val="tx1"/>
                  </w14:solidFill>
                </w14:textFill>
              </w:rPr>
            </w:pPr>
            <w:r>
              <w:rPr>
                <w:rFonts w:hint="eastAsia"/>
                <w:sz w:val="18"/>
                <w:szCs w:val="18"/>
              </w:rPr>
              <w:t>考查</w:t>
            </w:r>
            <w:r>
              <w:rPr>
                <w:rFonts w:hint="eastAsia"/>
                <w:color w:val="000000" w:themeColor="text1"/>
                <w:sz w:val="18"/>
                <w:szCs w:val="18"/>
                <w:lang w:val="en-US" w:eastAsia="zh-CN"/>
                <w14:textFill>
                  <w14:solidFill>
                    <w14:schemeClr w14:val="tx1"/>
                  </w14:solidFill>
                </w14:textFill>
              </w:rPr>
              <w:t>（</w:t>
            </w:r>
            <w:r>
              <w:rPr>
                <w:color w:val="000000" w:themeColor="text1"/>
                <w:sz w:val="18"/>
                <w:szCs w:val="18"/>
                <w14:textFill>
                  <w14:solidFill>
                    <w14:schemeClr w14:val="tx1"/>
                  </w14:solidFill>
                </w14:textFill>
              </w:rPr>
              <w:t>研究生至少选</w:t>
            </w:r>
            <w:bookmarkStart w:id="2" w:name="_GoBack"/>
            <w:bookmarkEnd w:id="2"/>
            <w:r>
              <w:rPr>
                <w:color w:val="000000" w:themeColor="text1"/>
                <w:sz w:val="18"/>
                <w:szCs w:val="18"/>
                <w14:textFill>
                  <w14:solidFill>
                    <w14:schemeClr w14:val="tx1"/>
                  </w14:solidFill>
                </w14:textFill>
              </w:rPr>
              <w:t>修</w:t>
            </w:r>
          </w:p>
          <w:p w14:paraId="53770A61">
            <w:pPr>
              <w:adjustRightInd w:val="0"/>
              <w:snapToGrid w:val="0"/>
              <w:jc w:val="center"/>
              <w:rPr>
                <w:rFonts w:hint="eastAsia"/>
                <w:sz w:val="18"/>
                <w:szCs w:val="18"/>
              </w:rPr>
            </w:pPr>
            <w:r>
              <w:rPr>
                <w:rFonts w:hint="eastAsia"/>
                <w:color w:val="000000" w:themeColor="text1"/>
                <w:sz w:val="18"/>
                <w:szCs w:val="18"/>
                <w:lang w:val="en-US" w:eastAsia="zh-CN"/>
                <w14:textFill>
                  <w14:solidFill>
                    <w14:schemeClr w14:val="tx1"/>
                  </w14:solidFill>
                </w14:textFill>
              </w:rPr>
              <w:t>6</w:t>
            </w:r>
            <w:r>
              <w:rPr>
                <w:color w:val="000000" w:themeColor="text1"/>
                <w:sz w:val="18"/>
                <w:szCs w:val="18"/>
                <w14:textFill>
                  <w14:solidFill>
                    <w14:schemeClr w14:val="tx1"/>
                  </w14:solidFill>
                </w14:textFill>
              </w:rPr>
              <w:t>学分</w:t>
            </w:r>
            <w:r>
              <w:rPr>
                <w:rFonts w:hint="eastAsia"/>
                <w:color w:val="000000" w:themeColor="text1"/>
                <w:sz w:val="18"/>
                <w:szCs w:val="18"/>
                <w:lang w:val="en-US" w:eastAsia="zh-CN"/>
                <w14:textFill>
                  <w14:solidFill>
                    <w14:schemeClr w14:val="tx1"/>
                  </w14:solidFill>
                </w14:textFill>
              </w:rPr>
              <w:t>）</w:t>
            </w:r>
          </w:p>
        </w:tc>
      </w:tr>
      <w:tr w14:paraId="3D251E6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63104CB">
            <w:pPr>
              <w:rPr>
                <w:b/>
                <w:color w:val="000000" w:themeColor="text1"/>
                <w:sz w:val="18"/>
                <w:szCs w:val="18"/>
                <w14:textFill>
                  <w14:solidFill>
                    <w14:schemeClr w14:val="tx1"/>
                  </w14:solidFill>
                </w14:textFill>
              </w:rPr>
            </w:pPr>
          </w:p>
        </w:tc>
        <w:tc>
          <w:tcPr>
            <w:tcW w:w="1226" w:type="dxa"/>
            <w:vMerge w:val="continue"/>
            <w:vAlign w:val="center"/>
          </w:tcPr>
          <w:p w14:paraId="7191923F">
            <w:pPr>
              <w:adjustRightInd w:val="0"/>
              <w:snapToGrid w:val="0"/>
              <w:jc w:val="center"/>
              <w:rPr>
                <w:b/>
                <w:color w:val="FF0000"/>
                <w:sz w:val="18"/>
                <w:szCs w:val="18"/>
              </w:rPr>
            </w:pPr>
          </w:p>
        </w:tc>
        <w:tc>
          <w:tcPr>
            <w:tcW w:w="3172" w:type="dxa"/>
          </w:tcPr>
          <w:p w14:paraId="78A4650F">
            <w:pPr>
              <w:rPr>
                <w:i/>
                <w:color w:val="FF0000"/>
                <w:sz w:val="18"/>
                <w:szCs w:val="18"/>
              </w:rPr>
            </w:pPr>
            <w:r>
              <w:rPr>
                <w:rFonts w:hint="eastAsia"/>
                <w:iCs/>
                <w:sz w:val="18"/>
                <w:szCs w:val="18"/>
              </w:rPr>
              <w:t>蛋白质组学</w:t>
            </w:r>
          </w:p>
        </w:tc>
        <w:tc>
          <w:tcPr>
            <w:tcW w:w="1425" w:type="dxa"/>
            <w:vAlign w:val="center"/>
          </w:tcPr>
          <w:p w14:paraId="55C5D91F">
            <w:pPr>
              <w:widowControl/>
              <w:jc w:val="center"/>
              <w:textAlignment w:val="center"/>
              <w:rPr>
                <w:color w:val="FF0000"/>
                <w:sz w:val="18"/>
                <w:szCs w:val="18"/>
              </w:rPr>
            </w:pPr>
            <w:r>
              <w:rPr>
                <w:rFonts w:eastAsia="等线"/>
                <w:color w:val="000000"/>
                <w:kern w:val="0"/>
                <w:sz w:val="18"/>
                <w:szCs w:val="18"/>
                <w:lang w:bidi="ar"/>
              </w:rPr>
              <w:t>XS12092</w:t>
            </w:r>
            <w:r>
              <w:rPr>
                <w:rFonts w:hint="eastAsia" w:eastAsia="等线"/>
                <w:color w:val="000000"/>
                <w:kern w:val="0"/>
                <w:sz w:val="18"/>
                <w:szCs w:val="18"/>
                <w:lang w:val="en-US" w:eastAsia="zh-CN" w:bidi="ar"/>
              </w:rPr>
              <w:t>1</w:t>
            </w:r>
            <w:r>
              <w:rPr>
                <w:rFonts w:eastAsia="等线"/>
                <w:color w:val="000000"/>
                <w:kern w:val="0"/>
                <w:sz w:val="18"/>
                <w:szCs w:val="18"/>
                <w:lang w:bidi="ar"/>
              </w:rPr>
              <w:t>2</w:t>
            </w:r>
          </w:p>
        </w:tc>
        <w:tc>
          <w:tcPr>
            <w:tcW w:w="709" w:type="dxa"/>
            <w:vAlign w:val="center"/>
          </w:tcPr>
          <w:p w14:paraId="22277106">
            <w:pPr>
              <w:jc w:val="center"/>
              <w:rPr>
                <w:sz w:val="18"/>
                <w:szCs w:val="18"/>
              </w:rPr>
            </w:pPr>
            <w:r>
              <w:rPr>
                <w:rFonts w:hint="eastAsia"/>
                <w:sz w:val="18"/>
                <w:szCs w:val="18"/>
              </w:rPr>
              <w:t>3</w:t>
            </w:r>
          </w:p>
        </w:tc>
        <w:tc>
          <w:tcPr>
            <w:tcW w:w="587" w:type="dxa"/>
            <w:vAlign w:val="center"/>
          </w:tcPr>
          <w:p w14:paraId="5E27C932">
            <w:pPr>
              <w:jc w:val="center"/>
              <w:rPr>
                <w:sz w:val="18"/>
                <w:szCs w:val="18"/>
              </w:rPr>
            </w:pPr>
            <w:r>
              <w:rPr>
                <w:rFonts w:hint="eastAsia"/>
                <w:sz w:val="18"/>
                <w:szCs w:val="18"/>
              </w:rPr>
              <w:t>1</w:t>
            </w:r>
          </w:p>
        </w:tc>
        <w:tc>
          <w:tcPr>
            <w:tcW w:w="1167" w:type="dxa"/>
            <w:vMerge w:val="continue"/>
            <w:vAlign w:val="center"/>
          </w:tcPr>
          <w:p w14:paraId="375E7116">
            <w:pPr>
              <w:adjustRightInd w:val="0"/>
              <w:snapToGrid w:val="0"/>
              <w:jc w:val="center"/>
              <w:rPr>
                <w:color w:val="000000" w:themeColor="text1"/>
                <w:sz w:val="18"/>
                <w:szCs w:val="18"/>
                <w14:textFill>
                  <w14:solidFill>
                    <w14:schemeClr w14:val="tx1"/>
                  </w14:solidFill>
                </w14:textFill>
              </w:rPr>
            </w:pPr>
          </w:p>
        </w:tc>
      </w:tr>
      <w:tr w14:paraId="47E805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40B2A5B">
            <w:pPr>
              <w:rPr>
                <w:b/>
                <w:color w:val="000000" w:themeColor="text1"/>
                <w:sz w:val="18"/>
                <w:szCs w:val="18"/>
                <w14:textFill>
                  <w14:solidFill>
                    <w14:schemeClr w14:val="tx1"/>
                  </w14:solidFill>
                </w14:textFill>
              </w:rPr>
            </w:pPr>
          </w:p>
        </w:tc>
        <w:tc>
          <w:tcPr>
            <w:tcW w:w="1226" w:type="dxa"/>
            <w:vMerge w:val="continue"/>
            <w:vAlign w:val="center"/>
          </w:tcPr>
          <w:p w14:paraId="4B64CAF6">
            <w:pPr>
              <w:jc w:val="center"/>
              <w:rPr>
                <w:b/>
                <w:color w:val="000000" w:themeColor="text1"/>
                <w:sz w:val="18"/>
                <w:szCs w:val="18"/>
                <w14:textFill>
                  <w14:solidFill>
                    <w14:schemeClr w14:val="tx1"/>
                  </w14:solidFill>
                </w14:textFill>
              </w:rPr>
            </w:pPr>
          </w:p>
        </w:tc>
        <w:tc>
          <w:tcPr>
            <w:tcW w:w="3172" w:type="dxa"/>
            <w:vAlign w:val="center"/>
          </w:tcPr>
          <w:p w14:paraId="74CB1A67">
            <w:pPr>
              <w:adjustRightInd w:val="0"/>
              <w:snapToGrid w:val="0"/>
              <w:rPr>
                <w:i/>
                <w:color w:val="FF0000"/>
                <w:sz w:val="18"/>
                <w:szCs w:val="18"/>
              </w:rPr>
            </w:pPr>
            <w:r>
              <w:rPr>
                <w:rFonts w:hint="eastAsia"/>
                <w:sz w:val="18"/>
              </w:rPr>
              <w:t>生物信息学</w:t>
            </w:r>
          </w:p>
        </w:tc>
        <w:tc>
          <w:tcPr>
            <w:tcW w:w="1425" w:type="dxa"/>
            <w:vAlign w:val="center"/>
          </w:tcPr>
          <w:p w14:paraId="2EC0D5DC">
            <w:pPr>
              <w:widowControl/>
              <w:jc w:val="center"/>
              <w:textAlignment w:val="center"/>
              <w:rPr>
                <w:color w:val="FF0000"/>
                <w:sz w:val="18"/>
                <w:szCs w:val="18"/>
              </w:rPr>
            </w:pPr>
            <w:r>
              <w:rPr>
                <w:rFonts w:eastAsia="等线"/>
                <w:color w:val="000000"/>
                <w:kern w:val="0"/>
                <w:sz w:val="18"/>
                <w:szCs w:val="18"/>
                <w:lang w:bidi="ar"/>
              </w:rPr>
              <w:t>XS12092</w:t>
            </w:r>
            <w:r>
              <w:rPr>
                <w:rFonts w:hint="eastAsia" w:eastAsia="等线"/>
                <w:color w:val="000000"/>
                <w:kern w:val="0"/>
                <w:sz w:val="18"/>
                <w:szCs w:val="18"/>
                <w:lang w:val="en-US" w:eastAsia="zh-CN" w:bidi="ar"/>
              </w:rPr>
              <w:t>1</w:t>
            </w:r>
            <w:r>
              <w:rPr>
                <w:rFonts w:eastAsia="等线"/>
                <w:color w:val="000000"/>
                <w:kern w:val="0"/>
                <w:sz w:val="18"/>
                <w:szCs w:val="18"/>
                <w:lang w:bidi="ar"/>
              </w:rPr>
              <w:t>3</w:t>
            </w:r>
          </w:p>
        </w:tc>
        <w:tc>
          <w:tcPr>
            <w:tcW w:w="709" w:type="dxa"/>
            <w:vAlign w:val="center"/>
          </w:tcPr>
          <w:p w14:paraId="36D916E3">
            <w:pPr>
              <w:jc w:val="center"/>
              <w:rPr>
                <w:sz w:val="18"/>
                <w:szCs w:val="18"/>
              </w:rPr>
            </w:pPr>
            <w:r>
              <w:rPr>
                <w:rFonts w:hint="eastAsia"/>
                <w:sz w:val="18"/>
                <w:szCs w:val="18"/>
              </w:rPr>
              <w:t>3</w:t>
            </w:r>
          </w:p>
        </w:tc>
        <w:tc>
          <w:tcPr>
            <w:tcW w:w="587" w:type="dxa"/>
            <w:vAlign w:val="center"/>
          </w:tcPr>
          <w:p w14:paraId="414FE49F">
            <w:pPr>
              <w:jc w:val="center"/>
              <w:rPr>
                <w:sz w:val="18"/>
                <w:szCs w:val="18"/>
              </w:rPr>
            </w:pPr>
            <w:r>
              <w:rPr>
                <w:rFonts w:hint="eastAsia"/>
                <w:sz w:val="18"/>
                <w:szCs w:val="18"/>
              </w:rPr>
              <w:t>1</w:t>
            </w:r>
          </w:p>
        </w:tc>
        <w:tc>
          <w:tcPr>
            <w:tcW w:w="1167" w:type="dxa"/>
            <w:vMerge w:val="continue"/>
            <w:vAlign w:val="center"/>
          </w:tcPr>
          <w:p w14:paraId="31027FA7">
            <w:pPr>
              <w:jc w:val="center"/>
              <w:rPr>
                <w:color w:val="000000" w:themeColor="text1"/>
                <w:sz w:val="18"/>
                <w:szCs w:val="18"/>
                <w14:textFill>
                  <w14:solidFill>
                    <w14:schemeClr w14:val="tx1"/>
                  </w14:solidFill>
                </w14:textFill>
              </w:rPr>
            </w:pPr>
          </w:p>
        </w:tc>
      </w:tr>
      <w:tr w14:paraId="5018E1E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D831BEE">
            <w:pPr>
              <w:rPr>
                <w:b/>
                <w:color w:val="000000" w:themeColor="text1"/>
                <w:sz w:val="18"/>
                <w:szCs w:val="18"/>
                <w14:textFill>
                  <w14:solidFill>
                    <w14:schemeClr w14:val="tx1"/>
                  </w14:solidFill>
                </w14:textFill>
              </w:rPr>
            </w:pPr>
          </w:p>
        </w:tc>
        <w:tc>
          <w:tcPr>
            <w:tcW w:w="1226" w:type="dxa"/>
            <w:vMerge w:val="continue"/>
            <w:vAlign w:val="center"/>
          </w:tcPr>
          <w:p w14:paraId="49D3473C">
            <w:pPr>
              <w:jc w:val="center"/>
              <w:rPr>
                <w:b/>
                <w:color w:val="000000" w:themeColor="text1"/>
                <w:sz w:val="18"/>
                <w:szCs w:val="18"/>
                <w14:textFill>
                  <w14:solidFill>
                    <w14:schemeClr w14:val="tx1"/>
                  </w14:solidFill>
                </w14:textFill>
              </w:rPr>
            </w:pPr>
          </w:p>
        </w:tc>
        <w:tc>
          <w:tcPr>
            <w:tcW w:w="3172" w:type="dxa"/>
            <w:vAlign w:val="center"/>
          </w:tcPr>
          <w:p w14:paraId="4960B777">
            <w:pPr>
              <w:adjustRightInd w:val="0"/>
              <w:snapToGrid w:val="0"/>
              <w:rPr>
                <w:rFonts w:ascii="宋体" w:hAnsi="宋体" w:cs="宋体"/>
                <w:sz w:val="18"/>
                <w:szCs w:val="18"/>
              </w:rPr>
            </w:pPr>
            <w:r>
              <w:rPr>
                <w:rFonts w:hint="eastAsia"/>
                <w:sz w:val="18"/>
              </w:rPr>
              <w:t>生物医药技术与研究进展</w:t>
            </w:r>
          </w:p>
        </w:tc>
        <w:tc>
          <w:tcPr>
            <w:tcW w:w="1425" w:type="dxa"/>
            <w:vAlign w:val="center"/>
          </w:tcPr>
          <w:p w14:paraId="1E6B34F0">
            <w:pPr>
              <w:widowControl/>
              <w:jc w:val="center"/>
              <w:textAlignment w:val="center"/>
              <w:rPr>
                <w:iCs/>
                <w:color w:val="FF0000"/>
                <w:sz w:val="18"/>
                <w:szCs w:val="18"/>
              </w:rPr>
            </w:pPr>
            <w:r>
              <w:rPr>
                <w:rFonts w:eastAsia="等线"/>
                <w:color w:val="000000"/>
                <w:kern w:val="0"/>
                <w:sz w:val="18"/>
                <w:szCs w:val="18"/>
                <w:lang w:bidi="ar"/>
              </w:rPr>
              <w:t>XS12092</w:t>
            </w:r>
            <w:r>
              <w:rPr>
                <w:rFonts w:hint="eastAsia" w:eastAsia="等线"/>
                <w:color w:val="000000"/>
                <w:kern w:val="0"/>
                <w:sz w:val="18"/>
                <w:szCs w:val="18"/>
                <w:lang w:val="en-US" w:eastAsia="zh-CN" w:bidi="ar"/>
              </w:rPr>
              <w:t>1</w:t>
            </w:r>
            <w:r>
              <w:rPr>
                <w:rFonts w:eastAsia="等线"/>
                <w:color w:val="000000"/>
                <w:kern w:val="0"/>
                <w:sz w:val="18"/>
                <w:szCs w:val="18"/>
                <w:lang w:bidi="ar"/>
              </w:rPr>
              <w:t>4</w:t>
            </w:r>
          </w:p>
        </w:tc>
        <w:tc>
          <w:tcPr>
            <w:tcW w:w="709" w:type="dxa"/>
            <w:vAlign w:val="center"/>
          </w:tcPr>
          <w:p w14:paraId="11DA9376">
            <w:pPr>
              <w:jc w:val="center"/>
              <w:rPr>
                <w:sz w:val="18"/>
                <w:szCs w:val="18"/>
              </w:rPr>
            </w:pPr>
            <w:r>
              <w:rPr>
                <w:rFonts w:hint="eastAsia"/>
                <w:sz w:val="18"/>
                <w:szCs w:val="18"/>
              </w:rPr>
              <w:t>3</w:t>
            </w:r>
          </w:p>
        </w:tc>
        <w:tc>
          <w:tcPr>
            <w:tcW w:w="587" w:type="dxa"/>
            <w:vAlign w:val="center"/>
          </w:tcPr>
          <w:p w14:paraId="0957D928">
            <w:pPr>
              <w:jc w:val="center"/>
              <w:rPr>
                <w:sz w:val="18"/>
                <w:szCs w:val="18"/>
              </w:rPr>
            </w:pPr>
            <w:r>
              <w:rPr>
                <w:rFonts w:hint="eastAsia"/>
                <w:sz w:val="18"/>
                <w:szCs w:val="18"/>
              </w:rPr>
              <w:t>1</w:t>
            </w:r>
          </w:p>
        </w:tc>
        <w:tc>
          <w:tcPr>
            <w:tcW w:w="1167" w:type="dxa"/>
            <w:vMerge w:val="continue"/>
            <w:vAlign w:val="center"/>
          </w:tcPr>
          <w:p w14:paraId="0A328B5B">
            <w:pPr>
              <w:jc w:val="center"/>
              <w:rPr>
                <w:color w:val="000000" w:themeColor="text1"/>
                <w:sz w:val="18"/>
                <w:szCs w:val="18"/>
                <w14:textFill>
                  <w14:solidFill>
                    <w14:schemeClr w14:val="tx1"/>
                  </w14:solidFill>
                </w14:textFill>
              </w:rPr>
            </w:pPr>
          </w:p>
        </w:tc>
      </w:tr>
      <w:tr w14:paraId="434F54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6FF0940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7B6B53FD">
            <w:pPr>
              <w:jc w:val="center"/>
              <w:rPr>
                <w:b/>
                <w:color w:val="000000" w:themeColor="text1"/>
                <w:sz w:val="18"/>
                <w:szCs w:val="18"/>
                <w14:textFill>
                  <w14:solidFill>
                    <w14:schemeClr w14:val="tx1"/>
                  </w14:solidFill>
                </w14:textFill>
              </w:rPr>
            </w:pPr>
          </w:p>
        </w:tc>
        <w:tc>
          <w:tcPr>
            <w:tcW w:w="1226" w:type="dxa"/>
            <w:vMerge w:val="restart"/>
            <w:vAlign w:val="center"/>
          </w:tcPr>
          <w:p w14:paraId="5F81F88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172" w:type="dxa"/>
            <w:vAlign w:val="center"/>
          </w:tcPr>
          <w:p w14:paraId="182881B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425" w:type="dxa"/>
            <w:vAlign w:val="center"/>
          </w:tcPr>
          <w:p w14:paraId="65049960">
            <w:pPr>
              <w:jc w:val="center"/>
              <w:rPr>
                <w:color w:val="000000" w:themeColor="text1"/>
                <w:sz w:val="18"/>
                <w:szCs w:val="18"/>
                <w14:textFill>
                  <w14:solidFill>
                    <w14:schemeClr w14:val="tx1"/>
                  </w14:solidFill>
                </w14:textFill>
              </w:rPr>
            </w:pPr>
          </w:p>
        </w:tc>
        <w:tc>
          <w:tcPr>
            <w:tcW w:w="709" w:type="dxa"/>
            <w:vAlign w:val="center"/>
          </w:tcPr>
          <w:p w14:paraId="7C7CE08C">
            <w:pPr>
              <w:jc w:val="center"/>
              <w:rPr>
                <w:color w:val="000000" w:themeColor="text1"/>
                <w:sz w:val="18"/>
                <w:szCs w:val="18"/>
                <w14:textFill>
                  <w14:solidFill>
                    <w14:schemeClr w14:val="tx1"/>
                  </w14:solidFill>
                </w14:textFill>
              </w:rPr>
            </w:pPr>
          </w:p>
        </w:tc>
        <w:tc>
          <w:tcPr>
            <w:tcW w:w="587" w:type="dxa"/>
            <w:vAlign w:val="center"/>
          </w:tcPr>
          <w:p w14:paraId="5DBF518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167" w:type="dxa"/>
            <w:vMerge w:val="restart"/>
            <w:vAlign w:val="center"/>
          </w:tcPr>
          <w:p w14:paraId="0FA836E9">
            <w:pPr>
              <w:jc w:val="center"/>
              <w:rPr>
                <w:i/>
                <w:color w:val="FF0000"/>
                <w:sz w:val="18"/>
                <w:szCs w:val="18"/>
              </w:rPr>
            </w:pPr>
          </w:p>
        </w:tc>
      </w:tr>
      <w:tr w14:paraId="0296ACA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5562B929">
            <w:pPr>
              <w:jc w:val="center"/>
              <w:rPr>
                <w:b/>
                <w:color w:val="000000" w:themeColor="text1"/>
                <w:sz w:val="18"/>
                <w:szCs w:val="18"/>
                <w14:textFill>
                  <w14:solidFill>
                    <w14:schemeClr w14:val="tx1"/>
                  </w14:solidFill>
                </w14:textFill>
              </w:rPr>
            </w:pPr>
          </w:p>
        </w:tc>
        <w:tc>
          <w:tcPr>
            <w:tcW w:w="1226" w:type="dxa"/>
            <w:vMerge w:val="continue"/>
            <w:vAlign w:val="center"/>
          </w:tcPr>
          <w:p w14:paraId="47663EE6">
            <w:pPr>
              <w:jc w:val="center"/>
              <w:rPr>
                <w:b/>
                <w:color w:val="000000" w:themeColor="text1"/>
                <w:sz w:val="18"/>
                <w:szCs w:val="18"/>
                <w14:textFill>
                  <w14:solidFill>
                    <w14:schemeClr w14:val="tx1"/>
                  </w14:solidFill>
                </w14:textFill>
              </w:rPr>
            </w:pPr>
          </w:p>
        </w:tc>
        <w:tc>
          <w:tcPr>
            <w:tcW w:w="3172" w:type="dxa"/>
            <w:vAlign w:val="center"/>
          </w:tcPr>
          <w:p w14:paraId="3887D1B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425" w:type="dxa"/>
            <w:vAlign w:val="center"/>
          </w:tcPr>
          <w:p w14:paraId="4D849931">
            <w:pPr>
              <w:jc w:val="center"/>
              <w:rPr>
                <w:color w:val="000000" w:themeColor="text1"/>
                <w:sz w:val="18"/>
                <w:szCs w:val="18"/>
                <w14:textFill>
                  <w14:solidFill>
                    <w14:schemeClr w14:val="tx1"/>
                  </w14:solidFill>
                </w14:textFill>
              </w:rPr>
            </w:pPr>
          </w:p>
        </w:tc>
        <w:tc>
          <w:tcPr>
            <w:tcW w:w="709" w:type="dxa"/>
            <w:vAlign w:val="center"/>
          </w:tcPr>
          <w:p w14:paraId="72F5CC7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587" w:type="dxa"/>
            <w:vAlign w:val="center"/>
          </w:tcPr>
          <w:p w14:paraId="5AB28929">
            <w:pPr>
              <w:jc w:val="center"/>
              <w:rPr>
                <w:color w:val="000000" w:themeColor="text1"/>
                <w:sz w:val="18"/>
                <w:szCs w:val="18"/>
                <w14:textFill>
                  <w14:solidFill>
                    <w14:schemeClr w14:val="tx1"/>
                  </w14:solidFill>
                </w14:textFill>
              </w:rPr>
            </w:pPr>
          </w:p>
        </w:tc>
        <w:tc>
          <w:tcPr>
            <w:tcW w:w="1167" w:type="dxa"/>
            <w:vMerge w:val="continue"/>
            <w:vAlign w:val="center"/>
          </w:tcPr>
          <w:p w14:paraId="0E44DB1D">
            <w:pPr>
              <w:jc w:val="center"/>
              <w:rPr>
                <w:color w:val="000000" w:themeColor="text1"/>
                <w:sz w:val="18"/>
                <w:szCs w:val="18"/>
                <w14:textFill>
                  <w14:solidFill>
                    <w14:schemeClr w14:val="tx1"/>
                  </w14:solidFill>
                </w14:textFill>
              </w:rPr>
            </w:pPr>
          </w:p>
        </w:tc>
      </w:tr>
      <w:tr w14:paraId="69C6957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0274D77">
            <w:pPr>
              <w:rPr>
                <w:b/>
                <w:color w:val="000000" w:themeColor="text1"/>
                <w:sz w:val="18"/>
                <w:szCs w:val="18"/>
                <w14:textFill>
                  <w14:solidFill>
                    <w14:schemeClr w14:val="tx1"/>
                  </w14:solidFill>
                </w14:textFill>
              </w:rPr>
            </w:pPr>
          </w:p>
        </w:tc>
        <w:tc>
          <w:tcPr>
            <w:tcW w:w="1226" w:type="dxa"/>
            <w:vMerge w:val="restart"/>
            <w:vAlign w:val="center"/>
          </w:tcPr>
          <w:p w14:paraId="4ED38F1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172" w:type="dxa"/>
            <w:vAlign w:val="center"/>
          </w:tcPr>
          <w:p w14:paraId="2526574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425" w:type="dxa"/>
            <w:vAlign w:val="center"/>
          </w:tcPr>
          <w:p w14:paraId="4AEF0F6A">
            <w:pPr>
              <w:jc w:val="center"/>
              <w:rPr>
                <w:color w:val="000000" w:themeColor="text1"/>
                <w:sz w:val="18"/>
                <w:szCs w:val="18"/>
                <w14:textFill>
                  <w14:solidFill>
                    <w14:schemeClr w14:val="tx1"/>
                  </w14:solidFill>
                </w14:textFill>
              </w:rPr>
            </w:pPr>
          </w:p>
        </w:tc>
        <w:tc>
          <w:tcPr>
            <w:tcW w:w="709" w:type="dxa"/>
            <w:vAlign w:val="center"/>
          </w:tcPr>
          <w:p w14:paraId="502F406E">
            <w:pPr>
              <w:jc w:val="center"/>
              <w:rPr>
                <w:color w:val="000000" w:themeColor="text1"/>
                <w:sz w:val="18"/>
                <w:szCs w:val="18"/>
                <w14:textFill>
                  <w14:solidFill>
                    <w14:schemeClr w14:val="tx1"/>
                  </w14:solidFill>
                </w14:textFill>
              </w:rPr>
            </w:pPr>
          </w:p>
        </w:tc>
        <w:tc>
          <w:tcPr>
            <w:tcW w:w="587" w:type="dxa"/>
            <w:vAlign w:val="center"/>
          </w:tcPr>
          <w:p w14:paraId="3FC79D85">
            <w:pPr>
              <w:jc w:val="center"/>
              <w:rPr>
                <w:color w:val="000000" w:themeColor="text1"/>
                <w:sz w:val="18"/>
                <w:szCs w:val="18"/>
                <w14:textFill>
                  <w14:solidFill>
                    <w14:schemeClr w14:val="tx1"/>
                  </w14:solidFill>
                </w14:textFill>
              </w:rPr>
            </w:pPr>
          </w:p>
        </w:tc>
        <w:tc>
          <w:tcPr>
            <w:tcW w:w="1167" w:type="dxa"/>
            <w:vMerge w:val="restart"/>
            <w:vAlign w:val="center"/>
          </w:tcPr>
          <w:p w14:paraId="67F2BDD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66691E9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3B47764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261BD12">
            <w:pPr>
              <w:rPr>
                <w:b/>
                <w:color w:val="000000" w:themeColor="text1"/>
                <w:sz w:val="18"/>
                <w:szCs w:val="18"/>
                <w14:textFill>
                  <w14:solidFill>
                    <w14:schemeClr w14:val="tx1"/>
                  </w14:solidFill>
                </w14:textFill>
              </w:rPr>
            </w:pPr>
          </w:p>
        </w:tc>
        <w:tc>
          <w:tcPr>
            <w:tcW w:w="1226" w:type="dxa"/>
            <w:vMerge w:val="continue"/>
            <w:vAlign w:val="center"/>
          </w:tcPr>
          <w:p w14:paraId="7A9F1B26">
            <w:pPr>
              <w:jc w:val="center"/>
              <w:rPr>
                <w:b/>
                <w:color w:val="000000" w:themeColor="text1"/>
                <w:sz w:val="18"/>
                <w:szCs w:val="18"/>
                <w14:textFill>
                  <w14:solidFill>
                    <w14:schemeClr w14:val="tx1"/>
                  </w14:solidFill>
                </w14:textFill>
              </w:rPr>
            </w:pPr>
          </w:p>
        </w:tc>
        <w:tc>
          <w:tcPr>
            <w:tcW w:w="3172" w:type="dxa"/>
            <w:vAlign w:val="center"/>
          </w:tcPr>
          <w:p w14:paraId="44E1892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425" w:type="dxa"/>
            <w:vAlign w:val="center"/>
          </w:tcPr>
          <w:p w14:paraId="1B586462">
            <w:pPr>
              <w:jc w:val="center"/>
              <w:rPr>
                <w:color w:val="000000" w:themeColor="text1"/>
                <w:sz w:val="18"/>
                <w:szCs w:val="18"/>
                <w14:textFill>
                  <w14:solidFill>
                    <w14:schemeClr w14:val="tx1"/>
                  </w14:solidFill>
                </w14:textFill>
              </w:rPr>
            </w:pPr>
          </w:p>
        </w:tc>
        <w:tc>
          <w:tcPr>
            <w:tcW w:w="709" w:type="dxa"/>
            <w:vAlign w:val="center"/>
          </w:tcPr>
          <w:p w14:paraId="290FBFB2">
            <w:pPr>
              <w:jc w:val="center"/>
              <w:rPr>
                <w:color w:val="000000" w:themeColor="text1"/>
                <w:sz w:val="18"/>
                <w:szCs w:val="18"/>
                <w14:textFill>
                  <w14:solidFill>
                    <w14:schemeClr w14:val="tx1"/>
                  </w14:solidFill>
                </w14:textFill>
              </w:rPr>
            </w:pPr>
          </w:p>
        </w:tc>
        <w:tc>
          <w:tcPr>
            <w:tcW w:w="587" w:type="dxa"/>
            <w:vAlign w:val="center"/>
          </w:tcPr>
          <w:p w14:paraId="5C39DD1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1167" w:type="dxa"/>
            <w:vMerge w:val="continue"/>
            <w:vAlign w:val="center"/>
          </w:tcPr>
          <w:p w14:paraId="32E2A101">
            <w:pPr>
              <w:jc w:val="center"/>
              <w:rPr>
                <w:color w:val="000000" w:themeColor="text1"/>
                <w:sz w:val="18"/>
                <w:szCs w:val="18"/>
                <w14:textFill>
                  <w14:solidFill>
                    <w14:schemeClr w14:val="tx1"/>
                  </w14:solidFill>
                </w14:textFill>
              </w:rPr>
            </w:pPr>
          </w:p>
        </w:tc>
      </w:tr>
      <w:tr w14:paraId="1955CCB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F929176">
            <w:pPr>
              <w:rPr>
                <w:b/>
                <w:color w:val="000000" w:themeColor="text1"/>
                <w:sz w:val="18"/>
                <w:szCs w:val="18"/>
                <w14:textFill>
                  <w14:solidFill>
                    <w14:schemeClr w14:val="tx1"/>
                  </w14:solidFill>
                </w14:textFill>
              </w:rPr>
            </w:pPr>
          </w:p>
        </w:tc>
        <w:tc>
          <w:tcPr>
            <w:tcW w:w="1226" w:type="dxa"/>
            <w:vMerge w:val="continue"/>
            <w:vAlign w:val="center"/>
          </w:tcPr>
          <w:p w14:paraId="74E330C2">
            <w:pPr>
              <w:jc w:val="center"/>
              <w:rPr>
                <w:b/>
                <w:color w:val="000000" w:themeColor="text1"/>
                <w:sz w:val="18"/>
                <w:szCs w:val="18"/>
                <w14:textFill>
                  <w14:solidFill>
                    <w14:schemeClr w14:val="tx1"/>
                  </w14:solidFill>
                </w14:textFill>
              </w:rPr>
            </w:pPr>
          </w:p>
        </w:tc>
        <w:tc>
          <w:tcPr>
            <w:tcW w:w="3172" w:type="dxa"/>
            <w:vAlign w:val="center"/>
          </w:tcPr>
          <w:p w14:paraId="4AD27AF6">
            <w:pPr>
              <w:rPr>
                <w:sz w:val="18"/>
                <w:szCs w:val="18"/>
              </w:rPr>
            </w:pPr>
            <w:r>
              <w:rPr>
                <w:sz w:val="18"/>
                <w:szCs w:val="18"/>
              </w:rPr>
              <w:t>论文中期进展报告</w:t>
            </w:r>
          </w:p>
        </w:tc>
        <w:tc>
          <w:tcPr>
            <w:tcW w:w="1425" w:type="dxa"/>
            <w:vAlign w:val="center"/>
          </w:tcPr>
          <w:p w14:paraId="07C40C35">
            <w:pPr>
              <w:jc w:val="center"/>
              <w:rPr>
                <w:color w:val="000000" w:themeColor="text1"/>
                <w:sz w:val="18"/>
                <w:szCs w:val="18"/>
                <w14:textFill>
                  <w14:solidFill>
                    <w14:schemeClr w14:val="tx1"/>
                  </w14:solidFill>
                </w14:textFill>
              </w:rPr>
            </w:pPr>
          </w:p>
        </w:tc>
        <w:tc>
          <w:tcPr>
            <w:tcW w:w="709" w:type="dxa"/>
            <w:vAlign w:val="center"/>
          </w:tcPr>
          <w:p w14:paraId="071502C2">
            <w:pPr>
              <w:jc w:val="center"/>
              <w:rPr>
                <w:color w:val="000000" w:themeColor="text1"/>
                <w:sz w:val="18"/>
                <w:szCs w:val="18"/>
                <w14:textFill>
                  <w14:solidFill>
                    <w14:schemeClr w14:val="tx1"/>
                  </w14:solidFill>
                </w14:textFill>
              </w:rPr>
            </w:pPr>
          </w:p>
        </w:tc>
        <w:tc>
          <w:tcPr>
            <w:tcW w:w="587" w:type="dxa"/>
            <w:vAlign w:val="center"/>
          </w:tcPr>
          <w:p w14:paraId="4C17741D">
            <w:pPr>
              <w:jc w:val="center"/>
              <w:rPr>
                <w:iCs/>
                <w:sz w:val="18"/>
                <w:szCs w:val="18"/>
              </w:rPr>
            </w:pPr>
            <w:r>
              <w:rPr>
                <w:rFonts w:hint="eastAsia"/>
                <w:iCs/>
                <w:sz w:val="18"/>
                <w:szCs w:val="18"/>
              </w:rPr>
              <w:t>4</w:t>
            </w:r>
          </w:p>
        </w:tc>
        <w:tc>
          <w:tcPr>
            <w:tcW w:w="1167" w:type="dxa"/>
            <w:vMerge w:val="continue"/>
          </w:tcPr>
          <w:p w14:paraId="3ACE59BF">
            <w:pPr>
              <w:jc w:val="center"/>
              <w:rPr>
                <w:color w:val="000000" w:themeColor="text1"/>
                <w:sz w:val="18"/>
                <w:szCs w:val="18"/>
                <w14:textFill>
                  <w14:solidFill>
                    <w14:schemeClr w14:val="tx1"/>
                  </w14:solidFill>
                </w14:textFill>
              </w:rPr>
            </w:pPr>
          </w:p>
        </w:tc>
      </w:tr>
      <w:tr w14:paraId="13EA72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B9BDB55">
            <w:pPr>
              <w:rPr>
                <w:b/>
                <w:color w:val="000000" w:themeColor="text1"/>
                <w:sz w:val="18"/>
                <w:szCs w:val="18"/>
                <w14:textFill>
                  <w14:solidFill>
                    <w14:schemeClr w14:val="tx1"/>
                  </w14:solidFill>
                </w14:textFill>
              </w:rPr>
            </w:pPr>
          </w:p>
        </w:tc>
        <w:tc>
          <w:tcPr>
            <w:tcW w:w="1226" w:type="dxa"/>
            <w:vMerge w:val="continue"/>
            <w:vAlign w:val="center"/>
          </w:tcPr>
          <w:p w14:paraId="753A0499">
            <w:pPr>
              <w:jc w:val="center"/>
              <w:rPr>
                <w:b/>
                <w:color w:val="000000" w:themeColor="text1"/>
                <w:sz w:val="18"/>
                <w:szCs w:val="18"/>
                <w14:textFill>
                  <w14:solidFill>
                    <w14:schemeClr w14:val="tx1"/>
                  </w14:solidFill>
                </w14:textFill>
              </w:rPr>
            </w:pPr>
          </w:p>
        </w:tc>
        <w:tc>
          <w:tcPr>
            <w:tcW w:w="3172" w:type="dxa"/>
            <w:vAlign w:val="center"/>
          </w:tcPr>
          <w:p w14:paraId="4DCF4EA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425" w:type="dxa"/>
            <w:vAlign w:val="center"/>
          </w:tcPr>
          <w:p w14:paraId="250A2EAC">
            <w:pPr>
              <w:jc w:val="center"/>
              <w:rPr>
                <w:color w:val="000000" w:themeColor="text1"/>
                <w:sz w:val="18"/>
                <w:szCs w:val="18"/>
                <w14:textFill>
                  <w14:solidFill>
                    <w14:schemeClr w14:val="tx1"/>
                  </w14:solidFill>
                </w14:textFill>
              </w:rPr>
            </w:pPr>
          </w:p>
        </w:tc>
        <w:tc>
          <w:tcPr>
            <w:tcW w:w="709" w:type="dxa"/>
            <w:vAlign w:val="center"/>
          </w:tcPr>
          <w:p w14:paraId="12AD3E93">
            <w:pPr>
              <w:jc w:val="center"/>
              <w:rPr>
                <w:color w:val="000000" w:themeColor="text1"/>
                <w:sz w:val="18"/>
                <w:szCs w:val="18"/>
                <w14:textFill>
                  <w14:solidFill>
                    <w14:schemeClr w14:val="tx1"/>
                  </w14:solidFill>
                </w14:textFill>
              </w:rPr>
            </w:pPr>
          </w:p>
        </w:tc>
        <w:tc>
          <w:tcPr>
            <w:tcW w:w="587" w:type="dxa"/>
            <w:vAlign w:val="center"/>
          </w:tcPr>
          <w:p w14:paraId="1B4648D3">
            <w:pPr>
              <w:jc w:val="center"/>
              <w:rPr>
                <w:iCs/>
                <w:sz w:val="18"/>
                <w:szCs w:val="18"/>
              </w:rPr>
            </w:pPr>
            <w:r>
              <w:rPr>
                <w:rFonts w:hint="eastAsia"/>
                <w:iCs/>
                <w:sz w:val="18"/>
                <w:szCs w:val="18"/>
              </w:rPr>
              <w:t>6</w:t>
            </w:r>
          </w:p>
        </w:tc>
        <w:tc>
          <w:tcPr>
            <w:tcW w:w="1167" w:type="dxa"/>
            <w:vMerge w:val="continue"/>
          </w:tcPr>
          <w:p w14:paraId="72647BB3">
            <w:pPr>
              <w:jc w:val="center"/>
              <w:rPr>
                <w:color w:val="000000" w:themeColor="text1"/>
                <w:sz w:val="18"/>
                <w:szCs w:val="18"/>
                <w14:textFill>
                  <w14:solidFill>
                    <w14:schemeClr w14:val="tx1"/>
                  </w14:solidFill>
                </w14:textFill>
              </w:rPr>
            </w:pPr>
          </w:p>
        </w:tc>
      </w:tr>
      <w:tr w14:paraId="1EF401B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4487D91">
            <w:pPr>
              <w:rPr>
                <w:color w:val="000000" w:themeColor="text1"/>
                <w:sz w:val="18"/>
                <w:szCs w:val="18"/>
                <w14:textFill>
                  <w14:solidFill>
                    <w14:schemeClr w14:val="tx1"/>
                  </w14:solidFill>
                </w14:textFill>
              </w:rPr>
            </w:pPr>
          </w:p>
        </w:tc>
        <w:tc>
          <w:tcPr>
            <w:tcW w:w="1226" w:type="dxa"/>
            <w:vMerge w:val="continue"/>
          </w:tcPr>
          <w:p w14:paraId="0C05DA60">
            <w:pPr>
              <w:jc w:val="center"/>
              <w:rPr>
                <w:color w:val="000000" w:themeColor="text1"/>
                <w:sz w:val="18"/>
                <w:szCs w:val="18"/>
                <w14:textFill>
                  <w14:solidFill>
                    <w14:schemeClr w14:val="tx1"/>
                  </w14:solidFill>
                </w14:textFill>
              </w:rPr>
            </w:pPr>
          </w:p>
        </w:tc>
        <w:tc>
          <w:tcPr>
            <w:tcW w:w="3172" w:type="dxa"/>
            <w:vAlign w:val="center"/>
          </w:tcPr>
          <w:p w14:paraId="57975F4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425" w:type="dxa"/>
            <w:vAlign w:val="center"/>
          </w:tcPr>
          <w:p w14:paraId="652F0ECB">
            <w:pPr>
              <w:jc w:val="center"/>
              <w:rPr>
                <w:color w:val="000000" w:themeColor="text1"/>
                <w:sz w:val="18"/>
                <w:szCs w:val="18"/>
                <w14:textFill>
                  <w14:solidFill>
                    <w14:schemeClr w14:val="tx1"/>
                  </w14:solidFill>
                </w14:textFill>
              </w:rPr>
            </w:pPr>
          </w:p>
        </w:tc>
        <w:tc>
          <w:tcPr>
            <w:tcW w:w="709" w:type="dxa"/>
            <w:vAlign w:val="center"/>
          </w:tcPr>
          <w:p w14:paraId="59576014">
            <w:pPr>
              <w:jc w:val="center"/>
              <w:rPr>
                <w:color w:val="000000" w:themeColor="text1"/>
                <w:sz w:val="18"/>
                <w:szCs w:val="18"/>
                <w14:textFill>
                  <w14:solidFill>
                    <w14:schemeClr w14:val="tx1"/>
                  </w14:solidFill>
                </w14:textFill>
              </w:rPr>
            </w:pPr>
          </w:p>
        </w:tc>
        <w:tc>
          <w:tcPr>
            <w:tcW w:w="587" w:type="dxa"/>
            <w:vAlign w:val="center"/>
          </w:tcPr>
          <w:p w14:paraId="080DD36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167" w:type="dxa"/>
            <w:vMerge w:val="continue"/>
          </w:tcPr>
          <w:p w14:paraId="15740517">
            <w:pPr>
              <w:jc w:val="center"/>
              <w:rPr>
                <w:color w:val="000000" w:themeColor="text1"/>
                <w:sz w:val="18"/>
                <w:szCs w:val="18"/>
                <w14:textFill>
                  <w14:solidFill>
                    <w14:schemeClr w14:val="tx1"/>
                  </w14:solidFill>
                </w14:textFill>
              </w:rPr>
            </w:pPr>
          </w:p>
        </w:tc>
      </w:tr>
      <w:tr w14:paraId="2567E11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1F1E84D">
            <w:pPr>
              <w:rPr>
                <w:color w:val="000000" w:themeColor="text1"/>
                <w:sz w:val="18"/>
                <w:szCs w:val="18"/>
                <w14:textFill>
                  <w14:solidFill>
                    <w14:schemeClr w14:val="tx1"/>
                  </w14:solidFill>
                </w14:textFill>
              </w:rPr>
            </w:pPr>
          </w:p>
        </w:tc>
        <w:tc>
          <w:tcPr>
            <w:tcW w:w="1226" w:type="dxa"/>
            <w:vMerge w:val="continue"/>
          </w:tcPr>
          <w:p w14:paraId="08699543">
            <w:pPr>
              <w:jc w:val="center"/>
              <w:rPr>
                <w:color w:val="000000" w:themeColor="text1"/>
                <w:sz w:val="18"/>
                <w:szCs w:val="18"/>
                <w14:textFill>
                  <w14:solidFill>
                    <w14:schemeClr w14:val="tx1"/>
                  </w14:solidFill>
                </w14:textFill>
              </w:rPr>
            </w:pPr>
          </w:p>
        </w:tc>
        <w:tc>
          <w:tcPr>
            <w:tcW w:w="3172" w:type="dxa"/>
            <w:vAlign w:val="center"/>
          </w:tcPr>
          <w:p w14:paraId="558FE32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425" w:type="dxa"/>
            <w:vAlign w:val="center"/>
          </w:tcPr>
          <w:p w14:paraId="0C0A821A">
            <w:pPr>
              <w:jc w:val="center"/>
              <w:rPr>
                <w:color w:val="000000" w:themeColor="text1"/>
                <w:sz w:val="18"/>
                <w:szCs w:val="18"/>
                <w14:textFill>
                  <w14:solidFill>
                    <w14:schemeClr w14:val="tx1"/>
                  </w14:solidFill>
                </w14:textFill>
              </w:rPr>
            </w:pPr>
          </w:p>
        </w:tc>
        <w:tc>
          <w:tcPr>
            <w:tcW w:w="709" w:type="dxa"/>
            <w:vAlign w:val="center"/>
          </w:tcPr>
          <w:p w14:paraId="0A2DC9A2">
            <w:pPr>
              <w:jc w:val="center"/>
              <w:rPr>
                <w:color w:val="000000" w:themeColor="text1"/>
                <w:sz w:val="18"/>
                <w:szCs w:val="18"/>
                <w14:textFill>
                  <w14:solidFill>
                    <w14:schemeClr w14:val="tx1"/>
                  </w14:solidFill>
                </w14:textFill>
              </w:rPr>
            </w:pPr>
          </w:p>
        </w:tc>
        <w:tc>
          <w:tcPr>
            <w:tcW w:w="587" w:type="dxa"/>
            <w:vAlign w:val="center"/>
          </w:tcPr>
          <w:p w14:paraId="199D097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167" w:type="dxa"/>
            <w:vMerge w:val="continue"/>
          </w:tcPr>
          <w:p w14:paraId="388019BB">
            <w:pPr>
              <w:jc w:val="center"/>
              <w:rPr>
                <w:color w:val="000000" w:themeColor="text1"/>
                <w:sz w:val="18"/>
                <w:szCs w:val="18"/>
                <w14:textFill>
                  <w14:solidFill>
                    <w14:schemeClr w14:val="tx1"/>
                  </w14:solidFill>
                </w14:textFill>
              </w:rPr>
            </w:pPr>
          </w:p>
        </w:tc>
      </w:tr>
    </w:tbl>
    <w:p w14:paraId="1D32239E">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278D2118">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6C3B4E23">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6A58FFA9">
      <w:pPr>
        <w:spacing w:line="440" w:lineRule="exact"/>
        <w:ind w:firstLine="480" w:firstLineChars="200"/>
        <w:rPr>
          <w:rFonts w:eastAsia="黑体"/>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0FB2"/>
    <w:rsid w:val="00061443"/>
    <w:rsid w:val="00061DCD"/>
    <w:rsid w:val="000627FF"/>
    <w:rsid w:val="00065525"/>
    <w:rsid w:val="00065668"/>
    <w:rsid w:val="00065862"/>
    <w:rsid w:val="000662DE"/>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0F2C"/>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6243"/>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4D47"/>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55C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18C"/>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84BF0"/>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BF4"/>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27E11"/>
    <w:rsid w:val="00330C5E"/>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5D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269D4"/>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83B"/>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1A57"/>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2C66"/>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5C56"/>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0AA"/>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59F9"/>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4625"/>
    <w:rsid w:val="006E6EA0"/>
    <w:rsid w:val="006E77C4"/>
    <w:rsid w:val="006E7C40"/>
    <w:rsid w:val="006F08A3"/>
    <w:rsid w:val="006F0E36"/>
    <w:rsid w:val="006F1462"/>
    <w:rsid w:val="006F1B05"/>
    <w:rsid w:val="006F342D"/>
    <w:rsid w:val="006F3FD5"/>
    <w:rsid w:val="006F44CB"/>
    <w:rsid w:val="006F4E9A"/>
    <w:rsid w:val="006F56D8"/>
    <w:rsid w:val="006F5F4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BCD"/>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9CF"/>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2E7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354"/>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671"/>
    <w:rsid w:val="008B6A84"/>
    <w:rsid w:val="008B79F0"/>
    <w:rsid w:val="008C0847"/>
    <w:rsid w:val="008C0CD5"/>
    <w:rsid w:val="008C12AB"/>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0C4"/>
    <w:rsid w:val="00924443"/>
    <w:rsid w:val="00924EDF"/>
    <w:rsid w:val="00926233"/>
    <w:rsid w:val="00927B15"/>
    <w:rsid w:val="00933D53"/>
    <w:rsid w:val="00935634"/>
    <w:rsid w:val="00937654"/>
    <w:rsid w:val="00937D4A"/>
    <w:rsid w:val="00942771"/>
    <w:rsid w:val="00942BE1"/>
    <w:rsid w:val="009435A3"/>
    <w:rsid w:val="00943C58"/>
    <w:rsid w:val="00945F0F"/>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701"/>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66BB"/>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18E9"/>
    <w:rsid w:val="00B3467F"/>
    <w:rsid w:val="00B363D6"/>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5669C"/>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518"/>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ACE"/>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6B2"/>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0FFD"/>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1E6A"/>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E6D89"/>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4A6"/>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450"/>
    <w:rsid w:val="00E92E26"/>
    <w:rsid w:val="00E934FD"/>
    <w:rsid w:val="00E942D2"/>
    <w:rsid w:val="00E95301"/>
    <w:rsid w:val="00E954E0"/>
    <w:rsid w:val="00E95E2E"/>
    <w:rsid w:val="00E9677C"/>
    <w:rsid w:val="00E97E8D"/>
    <w:rsid w:val="00EA08EF"/>
    <w:rsid w:val="00EA0DB9"/>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2D4B"/>
    <w:rsid w:val="00F02F00"/>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159"/>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4EF1"/>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118"/>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785"/>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F5B2E39"/>
    <w:rsid w:val="1FE96C05"/>
    <w:rsid w:val="3A905F48"/>
    <w:rsid w:val="3DD4402A"/>
    <w:rsid w:val="5385202A"/>
    <w:rsid w:val="63395232"/>
    <w:rsid w:val="66012783"/>
    <w:rsid w:val="6704652D"/>
    <w:rsid w:val="6AE159FC"/>
    <w:rsid w:val="715A1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5BDB1-B094-44DA-B79D-48CBD92788E1}">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4</Pages>
  <Words>3124</Words>
  <Characters>3280</Characters>
  <Lines>25</Lines>
  <Paragraphs>7</Paragraphs>
  <TotalTime>1</TotalTime>
  <ScaleCrop>false</ScaleCrop>
  <LinksUpToDate>false</LinksUpToDate>
  <CharactersWithSpaces>3293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2025-06-06T10:12:00Z</dcterms:created>
  <dc:creator>刘明旭</dc:creator>
  <cp:lastModifiedBy>可儿</cp:lastModifiedBy>
  <cp:lastPrinted>2025-03-14T03:17:00Z</cp:lastPrinted>
  <dcterms:modified xsi:type="dcterms:W3CDTF">2025-07-01T07:48:54Z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eyJoZGlkIjoiZTc1ZjU4ZGM4MmRlYjBkMGFiM2M0MTg2NzI5ZTI4NzUiLCJ1c2VySWQiOiIzMjM0MDI2NTMifQ==</vt:lpwstr>
  </property>
  <property fmtid="{D5CDD505-2E9C-101B-9397-08002B2CF9AE}" pid="4" name="ICV">
    <vt:lpwstr>35F63F3307C34A5990E426A714041A15_13</vt:lpwstr>
  </property>
</Properties>
</file>