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77D9B">
      <w:pPr>
        <w:spacing w:line="360" w:lineRule="auto"/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iCs/>
          <w:sz w:val="36"/>
          <w:szCs w:val="36"/>
        </w:rPr>
        <w:t>生物化学与分子生物学</w:t>
      </w:r>
      <w:r>
        <w:rPr>
          <w:rFonts w:eastAsia="黑体"/>
          <w:b/>
          <w:bCs/>
          <w:sz w:val="36"/>
          <w:szCs w:val="36"/>
        </w:rPr>
        <w:t>专业学术学位硕士研究生培养方案</w:t>
      </w:r>
    </w:p>
    <w:p w14:paraId="64EA7C79">
      <w:pPr>
        <w:spacing w:line="360" w:lineRule="auto"/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hint="eastAsia" w:eastAsia="黑体"/>
          <w:b/>
          <w:bCs/>
          <w:sz w:val="28"/>
          <w:szCs w:val="28"/>
        </w:rPr>
        <w:t>生命科学学院</w:t>
      </w:r>
      <w:r>
        <w:rPr>
          <w:rFonts w:eastAsia="黑体"/>
          <w:b/>
          <w:bCs/>
          <w:sz w:val="28"/>
          <w:szCs w:val="28"/>
        </w:rPr>
        <w:t>)</w:t>
      </w:r>
    </w:p>
    <w:p w14:paraId="73B1C974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068A676C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color w:val="222222"/>
          <w:kern w:val="0"/>
          <w:sz w:val="24"/>
        </w:rPr>
        <w:t>生物化学与分子生物学</w:t>
      </w:r>
    </w:p>
    <w:p w14:paraId="06AE4C84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</w:t>
      </w:r>
      <w:r>
        <w:rPr>
          <w:rFonts w:hint="eastAsia"/>
          <w:color w:val="222222"/>
          <w:kern w:val="0"/>
          <w:sz w:val="24"/>
        </w:rPr>
        <w:t>071010</w:t>
      </w:r>
    </w:p>
    <w:p w14:paraId="67BA12DB">
      <w:pPr>
        <w:spacing w:line="360" w:lineRule="auto"/>
        <w:ind w:firstLine="560" w:firstLineChars="20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68725085">
      <w:pPr>
        <w:spacing w:line="360" w:lineRule="auto"/>
        <w:ind w:firstLine="480" w:firstLineChars="200"/>
        <w:rPr>
          <w:rFonts w:ascii="Segoe UI" w:hAnsi="Segoe UI" w:cs="Segoe UI"/>
          <w:color w:val="404040"/>
          <w:sz w:val="24"/>
          <w:szCs w:val="32"/>
          <w:shd w:val="clear" w:color="auto" w:fill="FFFFFF"/>
        </w:rPr>
      </w:pPr>
      <w:r>
        <w:rPr>
          <w:rFonts w:ascii="Segoe UI" w:hAnsi="Segoe UI" w:cs="Segoe UI"/>
          <w:color w:val="404040"/>
          <w:sz w:val="24"/>
          <w:szCs w:val="32"/>
          <w:shd w:val="clear" w:color="auto" w:fill="FFFFFF"/>
        </w:rPr>
        <w:t>生物化学与分子生物学作为生命科学领域的核心学科，融合了化学、生物学、物理学等多学科知识，致力于在分子层面揭示生命现象的本质规律。该专业主要研究内容包括生物大分子（如蛋白质、核酸、多糖等）的结构与功能、基因表达调控机制、细胞信号转导、代谢途径以及分子生物学技术的开发与应用等。随着基因组学、蛋白质组学等"组学"技术的发展，该学科已从单一分子研究扩展到系统生物学层面，为疾病治疗、农业改良和工业生物技术提供了理论基础和技术支撑。该专业融合了生物学、化学、物理学、信息学等多学科知识，形成了独特的研究方法体系。</w:t>
      </w:r>
      <w:r>
        <w:rPr>
          <w:rFonts w:hint="eastAsia" w:ascii="Segoe UI" w:hAnsi="Segoe UI" w:cs="Segoe UI"/>
          <w:color w:val="404040"/>
          <w:sz w:val="24"/>
          <w:szCs w:val="32"/>
          <w:shd w:val="clear" w:color="auto" w:fill="FFFFFF"/>
        </w:rPr>
        <w:t>其</w:t>
      </w:r>
      <w:r>
        <w:rPr>
          <w:rFonts w:ascii="Segoe UI" w:hAnsi="Segoe UI" w:cs="Segoe UI"/>
          <w:color w:val="404040"/>
          <w:sz w:val="24"/>
          <w:szCs w:val="32"/>
          <w:shd w:val="clear" w:color="auto" w:fill="FFFFFF"/>
        </w:rPr>
        <w:t>研究内容紧跟国际科技发展前沿，涉及基因编辑、合成生物学、单细胞测序等尖端技术</w:t>
      </w:r>
      <w:r>
        <w:rPr>
          <w:rFonts w:hint="eastAsia" w:ascii="Segoe UI" w:hAnsi="Segoe UI" w:cs="Segoe UI"/>
          <w:color w:val="404040"/>
          <w:sz w:val="24"/>
          <w:szCs w:val="32"/>
          <w:shd w:val="clear" w:color="auto" w:fill="FFFFFF"/>
        </w:rPr>
        <w:t>，</w:t>
      </w:r>
      <w:r>
        <w:rPr>
          <w:rFonts w:ascii="Segoe UI" w:hAnsi="Segoe UI" w:cs="Segoe UI"/>
          <w:color w:val="404040"/>
          <w:sz w:val="24"/>
          <w:szCs w:val="32"/>
          <w:shd w:val="clear" w:color="auto" w:fill="FFFFFF"/>
        </w:rPr>
        <w:t>可应用于医药研发、农业生产、环境保护等多个领域。</w:t>
      </w:r>
    </w:p>
    <w:p w14:paraId="0487ECEA">
      <w:pPr>
        <w:pStyle w:val="13"/>
        <w:numPr>
          <w:ilvl w:val="0"/>
          <w:numId w:val="1"/>
        </w:numPr>
        <w:spacing w:line="360" w:lineRule="auto"/>
        <w:ind w:left="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研究方向</w:t>
      </w:r>
    </w:p>
    <w:p w14:paraId="6D988461">
      <w:pPr>
        <w:widowControl/>
        <w:shd w:val="clear" w:color="auto" w:fill="FFFFFF"/>
        <w:spacing w:line="360" w:lineRule="auto"/>
        <w:rPr>
          <w:rFonts w:ascii="Segoe UI" w:hAnsi="Segoe UI" w:cs="Segoe UI"/>
          <w:kern w:val="0"/>
          <w:sz w:val="24"/>
        </w:rPr>
      </w:pPr>
      <w:r>
        <w:rPr>
          <w:b/>
          <w:bCs/>
          <w:kern w:val="0"/>
          <w:sz w:val="24"/>
        </w:rPr>
        <w:t>1、</w:t>
      </w:r>
      <w:r>
        <w:rPr>
          <w:rFonts w:ascii="Segoe UI" w:hAnsi="Segoe UI" w:cs="Segoe UI"/>
          <w:b/>
          <w:bCs/>
          <w:kern w:val="0"/>
          <w:sz w:val="24"/>
        </w:rPr>
        <w:t>蛋白质结构与功能：</w:t>
      </w:r>
      <w:r>
        <w:rPr>
          <w:rFonts w:hint="eastAsia" w:ascii="Segoe UI" w:hAnsi="Segoe UI" w:cs="Segoe UI"/>
          <w:kern w:val="0"/>
          <w:sz w:val="24"/>
        </w:rPr>
        <w:t>主要围绕蛋白质的分子结构、动态变化及其生物学功能展开，包括利用X射线晶体学、冷冻电镜和核磁共振等技术测定蛋白质的三维结构，研究蛋白质如何通过结构特征执行催化、信号转导、分子识别等生物功能；通过分子动力学模拟或光谱学方法探究蛋白质构象变化，阐明其与功能调控的关系；基于结构信息进行理性设计或定向进化，改造蛋白质以优化活性、稳定性或开发新型生物材料；研究突变或异常结构如何导致功能失调，为药物靶点发现提供依据。本方向注重多学科交叉，以推动基础研究和应用开发。</w:t>
      </w:r>
    </w:p>
    <w:p w14:paraId="533BD09D">
      <w:pPr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>2、</w:t>
      </w:r>
      <w:bookmarkStart w:id="0" w:name="OLE_LINK16"/>
      <w:r>
        <w:rPr>
          <w:rFonts w:hint="eastAsia" w:eastAsiaTheme="minorEastAsia"/>
          <w:b/>
          <w:bCs/>
          <w:sz w:val="24"/>
        </w:rPr>
        <w:t>分子进化</w:t>
      </w:r>
      <w:bookmarkEnd w:id="0"/>
      <w:r>
        <w:rPr>
          <w:rFonts w:hint="eastAsia" w:eastAsiaTheme="minorEastAsia"/>
          <w:b/>
          <w:bCs/>
          <w:sz w:val="24"/>
        </w:rPr>
        <w:t>：</w:t>
      </w:r>
      <w:r>
        <w:rPr>
          <w:rFonts w:hint="eastAsia" w:eastAsiaTheme="minorEastAsia"/>
          <w:sz w:val="24"/>
        </w:rPr>
        <w:t>深度融合生物信息学、群体遗传学等学科，利用分子生物学技术（如基因组测序、系统发育分析）和生物化学原理（如蛋白质结构-功能演化）研究生物大分子（如DNA、蛋白质）的演化规律、机制及其与表型进化的关系，为理解生命起源、物种形成等重大科学问题提供了分子层面的证据。主要研究方向：1）通过比较基因组学方法，分析不同物种间同源基因的序列变异，揭示适应性进化的分子基础；2）利用分子序列数据构建系统发育树，推断物种间的进化关系；3）分析基因复制、外显子重组等机制如何产生新基因和新功能，比如基因家族扩张和功能分化。</w:t>
      </w:r>
    </w:p>
    <w:p w14:paraId="3FB68C0E">
      <w:pPr>
        <w:widowControl/>
        <w:shd w:val="clear" w:color="auto" w:fill="FFFFFF"/>
        <w:spacing w:line="360" w:lineRule="auto"/>
        <w:rPr>
          <w:rFonts w:ascii="Segoe UI" w:hAnsi="Segoe UI" w:cs="Segoe UI"/>
          <w:color w:val="404040"/>
          <w:kern w:val="0"/>
          <w:sz w:val="24"/>
        </w:rPr>
      </w:pPr>
      <w:r>
        <w:rPr>
          <w:b/>
          <w:bCs/>
          <w:color w:val="404040"/>
          <w:kern w:val="0"/>
          <w:sz w:val="24"/>
        </w:rPr>
        <w:t>3、</w:t>
      </w:r>
      <w:r>
        <w:rPr>
          <w:rFonts w:ascii="Segoe UI" w:hAnsi="Segoe UI" w:cs="Segoe UI"/>
          <w:b/>
          <w:bCs/>
          <w:color w:val="404040"/>
          <w:kern w:val="0"/>
          <w:sz w:val="24"/>
        </w:rPr>
        <w:t>神经生物学</w:t>
      </w:r>
      <w:r>
        <w:rPr>
          <w:rFonts w:ascii="Segoe UI" w:hAnsi="Segoe UI" w:cs="Segoe UI"/>
          <w:color w:val="404040"/>
          <w:kern w:val="0"/>
          <w:sz w:val="24"/>
        </w:rPr>
        <w:t>：</w:t>
      </w:r>
      <w:r>
        <w:rPr>
          <w:rFonts w:hint="eastAsia" w:ascii="Segoe UI" w:hAnsi="Segoe UI" w:cs="Segoe UI"/>
          <w:color w:val="404040"/>
          <w:kern w:val="0"/>
          <w:sz w:val="24"/>
        </w:rPr>
        <w:t>构建神经生物学、细胞生物学、分子生物学、基因组学多</w:t>
      </w:r>
      <w:r>
        <w:rPr>
          <w:rFonts w:ascii="Segoe UI" w:hAnsi="Segoe UI" w:cs="Segoe UI"/>
          <w:color w:val="404040"/>
          <w:kern w:val="0"/>
          <w:sz w:val="24"/>
        </w:rPr>
        <w:t>学科交叉的研究策略</w:t>
      </w:r>
      <w:r>
        <w:rPr>
          <w:rFonts w:hint="eastAsia" w:ascii="Segoe UI" w:hAnsi="Segoe UI" w:cs="Segoe UI"/>
          <w:color w:val="404040"/>
          <w:kern w:val="0"/>
          <w:sz w:val="24"/>
        </w:rPr>
        <w:t>和多维度研究体系。以小鼠和昆虫等为实验材料，综合运用行为测定、电生理、异源表达、基因驱动、遗传操作等先进研究技术，从“行为-生理-分子”层面深度探索生物体感知环境因子、学习记忆、神经疾病发生等生命重大科学问题的神经生物学机制。研究将侧重于相关受体蛋白的功能研究、</w:t>
      </w:r>
      <w:r>
        <w:rPr>
          <w:rFonts w:ascii="Segoe UI" w:hAnsi="Segoe UI" w:cs="Segoe UI"/>
          <w:color w:val="404040"/>
          <w:kern w:val="0"/>
          <w:sz w:val="24"/>
        </w:rPr>
        <w:t>高效受体拮抗剂/激动剂</w:t>
      </w:r>
      <w:r>
        <w:rPr>
          <w:rFonts w:hint="eastAsia" w:ascii="Segoe UI" w:hAnsi="Segoe UI" w:cs="Segoe UI"/>
          <w:color w:val="404040"/>
          <w:kern w:val="0"/>
          <w:sz w:val="24"/>
        </w:rPr>
        <w:t>的筛选、</w:t>
      </w:r>
      <w:r>
        <w:rPr>
          <w:rFonts w:ascii="Segoe UI" w:hAnsi="Segoe UI" w:cs="Segoe UI"/>
          <w:color w:val="404040"/>
          <w:kern w:val="0"/>
          <w:sz w:val="24"/>
        </w:rPr>
        <w:t>完整信息处理通路</w:t>
      </w:r>
      <w:r>
        <w:rPr>
          <w:rFonts w:hint="eastAsia" w:ascii="Segoe UI" w:hAnsi="Segoe UI" w:cs="Segoe UI"/>
          <w:color w:val="404040"/>
          <w:kern w:val="0"/>
          <w:sz w:val="24"/>
        </w:rPr>
        <w:t>（从外周感受器到中枢神经环路）的构建、</w:t>
      </w:r>
      <w:r>
        <w:rPr>
          <w:rFonts w:ascii="Segoe UI" w:hAnsi="Segoe UI" w:cs="Segoe UI"/>
          <w:color w:val="404040"/>
          <w:kern w:val="0"/>
          <w:sz w:val="24"/>
        </w:rPr>
        <w:t>感觉信息的整合机制</w:t>
      </w:r>
      <w:r>
        <w:rPr>
          <w:rFonts w:hint="eastAsia" w:ascii="Segoe UI" w:hAnsi="Segoe UI" w:cs="Segoe UI"/>
          <w:color w:val="404040"/>
          <w:kern w:val="0"/>
          <w:sz w:val="24"/>
        </w:rPr>
        <w:t>。</w:t>
      </w:r>
    </w:p>
    <w:p w14:paraId="2808306A">
      <w:pPr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>4、分子免疫学：</w:t>
      </w:r>
      <w:r>
        <w:rPr>
          <w:rFonts w:hint="eastAsia" w:eastAsiaTheme="minorEastAsia"/>
          <w:sz w:val="24"/>
        </w:rPr>
        <w:t>以家蝇和日本沼虾等昆虫和甲壳动物为模型，整合比较基因组学、基因编辑、生理生化、分子生物学等前沿技术，探究先天免疫的调控机制，聚焦如下三个重点研究内容：（1）揭示模式识别受体特异性识别病原相关分子模式的分子机制，阐明免疫信号启动的分子基础；（2）构建细胞免疫及体液免疫的调控网络，绘制从病原感知到免疫效应的全链条调控图谱；（3）建立免疫激活、生长发育及繁殖间的资源分配模型，阐明免疫效应答过程中的能量代谢再平衡机制。</w:t>
      </w:r>
    </w:p>
    <w:p w14:paraId="7E2893DA">
      <w:pPr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>5、分子毒理学：</w:t>
      </w:r>
      <w:r>
        <w:rPr>
          <w:rFonts w:hint="eastAsia" w:eastAsiaTheme="minorEastAsia"/>
          <w:sz w:val="24"/>
        </w:rPr>
        <w:t>专注于外源化学物质（如环境污染物、药物及代谢物、生物毒素、工业化学品等）对生物体毒性的分子机制。通过综合运用生物学、生物化学和生物信息技术解析毒性作用的分子通路，重点关注氧化损伤、DNA损伤修复、细胞信号转导、代谢重编程等关键生物学过程，旨在揭示毒性反应的分子基础，挖掘毒性物质预测的分子标志物，为毒理预警、环境污染物治理、生物毒素防控和药物安全性评估等领域提供科学依据。</w:t>
      </w:r>
    </w:p>
    <w:p w14:paraId="682C5235">
      <w:pPr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>6、水生经济动物基因编辑与育种：</w:t>
      </w:r>
      <w:r>
        <w:rPr>
          <w:rFonts w:hint="eastAsia" w:eastAsiaTheme="minorEastAsia"/>
          <w:sz w:val="24"/>
        </w:rPr>
        <w:t>以重要养殖的虾蟹鱼等水生经济动物为研究对象，采取生物化学、分子生物学、遗传学、多组学（基因组、转录组、蛋白质组、代谢组、宏基因组等）及基因组编辑等技术手段，揭示其繁殖规律与调控机理、性别决定与分化机制及人工控制途径、优良性状形成的遗传学基础和调控机制、与环境的相互作用及养殖环境适应的生理生化基础、遗传操作关键技术的研发与新品种的分子设计育种等。</w:t>
      </w:r>
    </w:p>
    <w:p w14:paraId="4391BB62">
      <w:pPr>
        <w:spacing w:line="360" w:lineRule="auto"/>
        <w:rPr>
          <w:rFonts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>7、</w:t>
      </w:r>
      <w:bookmarkStart w:id="1" w:name="OLE_LINK15"/>
      <w:r>
        <w:rPr>
          <w:rFonts w:hint="eastAsia" w:eastAsiaTheme="minorEastAsia"/>
          <w:b/>
          <w:bCs/>
          <w:sz w:val="24"/>
        </w:rPr>
        <w:t>入侵生物学机制：</w:t>
      </w:r>
      <w:r>
        <w:rPr>
          <w:rFonts w:hint="eastAsia" w:eastAsiaTheme="minorEastAsia"/>
          <w:sz w:val="24"/>
        </w:rPr>
        <w:t>以农林重要入侵生物为研究对象，采取生物化学、分子生物学、遗传学、多组学等技术手段，研究入侵生物的形态、行为、生理、遗传、种间互作等生物学特性，解析其扩散、演化规律及生态适应性的内在驱动力，通过比较基因组学鉴定环境适应性相关基因家族扩张事件等，探讨入侵生物快速适应性演化的分子调控机理，阐明入侵生物的环境适应机制；基于分子检测和基因组编辑等技术手段，建立外来入侵物种监测与预警体系，研发入侵种的精准分子靶向防控技术等。</w:t>
      </w:r>
      <w:bookmarkEnd w:id="1"/>
    </w:p>
    <w:p w14:paraId="3F38C9E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00A5626E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63BDD772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04FF272E">
      <w:pPr>
        <w:spacing w:line="360" w:lineRule="auto"/>
        <w:ind w:firstLine="48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培养掌握现代生物化学与分子生物学基础理论和专业知识、具有较强科研能力和国家化视野的生物学高层次人才。</w:t>
      </w:r>
    </w:p>
    <w:p w14:paraId="4B8ECAD4">
      <w:pPr>
        <w:spacing w:line="360" w:lineRule="auto"/>
        <w:ind w:firstLine="48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具体要求如下：</w:t>
      </w:r>
    </w:p>
    <w:p w14:paraId="40080CEB">
      <w:pPr>
        <w:spacing w:line="360" w:lineRule="auto"/>
        <w:ind w:firstLine="48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1.树立正确的中国特色社会主义核心价值观，具有坚定的理想信念，高尚的道德情操，优良的学术作风，高度的社会责任感。</w:t>
      </w:r>
    </w:p>
    <w:p w14:paraId="0FE46E6A">
      <w:pPr>
        <w:spacing w:line="360" w:lineRule="auto"/>
        <w:ind w:firstLine="48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2</w:t>
      </w:r>
      <w:r>
        <w:rPr>
          <w:rFonts w:hint="eastAsia" w:asciiTheme="minorEastAsia" w:hAnsiTheme="minorEastAsia" w:eastAsiaTheme="minorEastAsia"/>
          <w:iCs/>
          <w:sz w:val="24"/>
        </w:rPr>
        <w:t>．具备广博、扎实的生物学基础知识，掌握专业领域的科学理论和实验技能，熟悉研究方向的最新进展和发展趋势。</w:t>
      </w:r>
    </w:p>
    <w:p w14:paraId="496C8038">
      <w:pPr>
        <w:spacing w:line="360" w:lineRule="auto"/>
        <w:ind w:firstLine="48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3.至少掌握一门外国语，能熟练阅读本专业的外文资料，具有撰写学术论文和进行国际学术交流的能力。</w:t>
      </w:r>
    </w:p>
    <w:p w14:paraId="627FC885">
      <w:pPr>
        <w:spacing w:line="360" w:lineRule="auto"/>
        <w:ind w:firstLine="48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4</w:t>
      </w:r>
      <w:r>
        <w:rPr>
          <w:rFonts w:hint="eastAsia" w:asciiTheme="minorEastAsia" w:hAnsiTheme="minorEastAsia" w:eastAsiaTheme="minorEastAsia"/>
          <w:iCs/>
          <w:sz w:val="24"/>
        </w:rPr>
        <w:t>．掌握科学研究的全过程，具备独立进行科学研究的能力。</w:t>
      </w:r>
    </w:p>
    <w:p w14:paraId="5B3C90E6">
      <w:pPr>
        <w:spacing w:line="360" w:lineRule="auto"/>
        <w:ind w:firstLine="48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5.具有良好的团队意识和团队合作精神。</w:t>
      </w:r>
    </w:p>
    <w:p w14:paraId="3D8FA7B0">
      <w:pPr>
        <w:spacing w:line="360" w:lineRule="auto"/>
        <w:ind w:firstLine="48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6.具有健康的身体和良好的心理素质。</w:t>
      </w:r>
    </w:p>
    <w:p w14:paraId="4B20E680">
      <w:pPr>
        <w:spacing w:line="360" w:lineRule="auto"/>
        <w:ind w:firstLine="48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7</w:t>
      </w:r>
      <w:r>
        <w:rPr>
          <w:rFonts w:hint="eastAsia" w:asciiTheme="minorEastAsia" w:hAnsiTheme="minorEastAsia" w:eastAsiaTheme="minorEastAsia"/>
          <w:iCs/>
          <w:sz w:val="24"/>
        </w:rPr>
        <w:t>. 培养德智体美劳全面发展的社会主义事业接班人。</w:t>
      </w:r>
    </w:p>
    <w:p w14:paraId="483794FD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175B9B9C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生物化学与分子生物学研究生的培养采取导师负责制，培养过程注重理论与实践结合，主要方式包括：</w:t>
      </w:r>
    </w:p>
    <w:p w14:paraId="306D6027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课程学习</w:t>
      </w:r>
    </w:p>
    <w:p w14:paraId="6F0E7FA6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研究生需修满至少24学分，包括公共课（思想政治、英语）、专业必修课（分子生物学、生物化学技术等）及选修课（如生物信息学、高级实验技术等）。</w:t>
      </w:r>
    </w:p>
    <w:p w14:paraId="1A43E816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跨学科或同等学力者需补修本科主干课程（如生物化学、遗传学）。</w:t>
      </w:r>
    </w:p>
    <w:p w14:paraId="3A2B534F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科研训练</w:t>
      </w:r>
    </w:p>
    <w:p w14:paraId="2B27C3D5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研究生需参与课题研究，完成开题报告、中期考核及学位论文，发表学术论文或撰写一篇可投稿的英文论文搞。</w:t>
      </w:r>
    </w:p>
    <w:p w14:paraId="2F909CD2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通过学术讲座（需参加10次以上）、讨论班（每两周一次）及学术报告（至少4次）提升科研交流能力。</w:t>
      </w:r>
    </w:p>
    <w:p w14:paraId="3C451B5E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考核与论文</w:t>
      </w:r>
    </w:p>
    <w:p w14:paraId="4237CC1A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实行中期筛选制度，考核不合格者需延期或淘汰。</w:t>
      </w:r>
    </w:p>
    <w:p w14:paraId="719DCAF3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学位论文强调创新性，需通过预答辩、盲审及正式答辩。</w:t>
      </w:r>
    </w:p>
    <w:p w14:paraId="4D7FAD62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该培养方式旨在培养具备扎实理论基础、独立科研能力及创新思维的高层次人才，适应科研、医药、农业等多领域需求。</w:t>
      </w:r>
    </w:p>
    <w:p w14:paraId="362B7207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3BC23FD3">
      <w:pPr>
        <w:spacing w:line="360" w:lineRule="auto"/>
        <w:ind w:firstLine="480" w:firstLineChars="200"/>
        <w:rPr>
          <w:rFonts w:eastAsiaTheme="minorEastAsia"/>
          <w:sz w:val="24"/>
        </w:rPr>
      </w:pPr>
      <w:bookmarkStart w:id="2" w:name="_Toc59002625"/>
      <w:r>
        <w:rPr>
          <w:rFonts w:eastAsiaTheme="minorEastAsia"/>
          <w:bCs/>
          <w:sz w:val="24"/>
        </w:rPr>
        <w:t>研究生完成培养方案规定的课程学习</w:t>
      </w:r>
      <w:r>
        <w:rPr>
          <w:rFonts w:hint="eastAsia" w:eastAsiaTheme="minorEastAsia"/>
          <w:bCs/>
          <w:sz w:val="24"/>
        </w:rPr>
        <w:t>、</w:t>
      </w:r>
      <w:r>
        <w:rPr>
          <w:rFonts w:eastAsiaTheme="minorEastAsia"/>
          <w:bCs/>
          <w:sz w:val="24"/>
        </w:rPr>
        <w:t>考核成绩合格</w:t>
      </w:r>
      <w:r>
        <w:rPr>
          <w:rFonts w:hint="eastAsia" w:eastAsiaTheme="minorEastAsia"/>
          <w:bCs/>
          <w:sz w:val="24"/>
        </w:rPr>
        <w:t>、</w:t>
      </w:r>
      <w:r>
        <w:rPr>
          <w:rFonts w:eastAsiaTheme="minorEastAsia"/>
          <w:bCs/>
          <w:sz w:val="24"/>
        </w:rPr>
        <w:t>获得规定的学分</w:t>
      </w:r>
      <w:r>
        <w:rPr>
          <w:rFonts w:hint="eastAsia" w:eastAsiaTheme="minorEastAsia"/>
          <w:bCs/>
          <w:sz w:val="24"/>
        </w:rPr>
        <w:t>后，</w:t>
      </w:r>
      <w:bookmarkEnd w:id="2"/>
      <w:r>
        <w:rPr>
          <w:rFonts w:hint="eastAsia" w:eastAsiaTheme="minorEastAsia"/>
          <w:bCs/>
          <w:sz w:val="24"/>
        </w:rPr>
        <w:t>按照学校相关文件组织开展中期筛选工作。</w:t>
      </w:r>
    </w:p>
    <w:p w14:paraId="26174DDB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671299FB">
      <w:pPr>
        <w:widowControl/>
        <w:spacing w:line="360" w:lineRule="auto"/>
        <w:ind w:firstLine="480"/>
        <w:jc w:val="left"/>
        <w:rPr>
          <w:i/>
          <w:color w:val="FF0000"/>
          <w:kern w:val="0"/>
          <w:sz w:val="18"/>
          <w:szCs w:val="18"/>
        </w:rPr>
      </w:pPr>
      <w:r>
        <w:rPr>
          <w:bCs/>
          <w:color w:val="222222"/>
          <w:kern w:val="0"/>
          <w:sz w:val="24"/>
        </w:rPr>
        <w:t>1.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总体要求：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按照《河北大学关于开展2025版研究生培养方案修订工作的指导意见》（校政字</w:t>
      </w:r>
      <w:r>
        <w:rPr>
          <w:rFonts w:eastAsiaTheme="minorEastAsia"/>
          <w:bCs/>
          <w:sz w:val="24"/>
        </w:rPr>
        <w:t>〔2025〕</w:t>
      </w:r>
      <w:r>
        <w:rPr>
          <w:rFonts w:hint="eastAsia" w:eastAsiaTheme="minorEastAsia"/>
          <w:bCs/>
          <w:sz w:val="24"/>
        </w:rPr>
        <w:t>90</w:t>
      </w:r>
      <w:r>
        <w:rPr>
          <w:rFonts w:eastAsiaTheme="minorEastAsia"/>
          <w:bCs/>
          <w:sz w:val="24"/>
        </w:rPr>
        <w:t>号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）规定，硕士研究生论文开题与答辩时间间隔原则上不少于12个月。</w:t>
      </w:r>
      <w:r>
        <w:rPr>
          <w:kern w:val="0"/>
          <w:sz w:val="24"/>
        </w:rPr>
        <w:t>学位（毕业）论文应当表明作者具有独立从事学术研究工作的能力，鼓励硕士研究生参与科学研究，取得创新性成果。</w:t>
      </w:r>
    </w:p>
    <w:p w14:paraId="4FAA20B4">
      <w:pPr>
        <w:widowControl/>
        <w:spacing w:line="360" w:lineRule="auto"/>
        <w:ind w:firstLine="480"/>
        <w:jc w:val="left"/>
        <w:rPr>
          <w:color w:val="222222"/>
          <w:kern w:val="0"/>
          <w:sz w:val="18"/>
          <w:szCs w:val="18"/>
        </w:rPr>
      </w:pPr>
      <w:r>
        <w:rPr>
          <w:bCs/>
          <w:color w:val="222222"/>
          <w:kern w:val="0"/>
          <w:sz w:val="24"/>
        </w:rPr>
        <w:t>2.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开题：</w:t>
      </w:r>
      <w:r>
        <w:rPr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  <w:r>
        <w:rPr>
          <w:iCs/>
          <w:kern w:val="0"/>
          <w:sz w:val="24"/>
        </w:rPr>
        <w:t>原则上在入学后第3学期（最迟不超过第4学期）完成开题。开题由3-5名具有高级专业技术职务人员参加，以学术报告的方式进行。</w:t>
      </w:r>
    </w:p>
    <w:p w14:paraId="4CB57028">
      <w:pPr>
        <w:widowControl/>
        <w:spacing w:line="360" w:lineRule="auto"/>
        <w:ind w:firstLine="480"/>
        <w:jc w:val="left"/>
        <w:rPr>
          <w:i/>
          <w:color w:val="FF0000"/>
          <w:kern w:val="0"/>
          <w:sz w:val="24"/>
        </w:rPr>
      </w:pPr>
      <w:r>
        <w:rPr>
          <w:bCs/>
          <w:color w:val="222222"/>
          <w:kern w:val="0"/>
          <w:sz w:val="24"/>
        </w:rPr>
        <w:t>3.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中期进展报告：</w:t>
      </w:r>
      <w:r>
        <w:rPr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679C9568">
      <w:pPr>
        <w:widowControl/>
        <w:spacing w:line="360" w:lineRule="auto"/>
        <w:ind w:firstLine="480"/>
        <w:jc w:val="left"/>
        <w:rPr>
          <w:kern w:val="0"/>
          <w:sz w:val="24"/>
        </w:rPr>
      </w:pPr>
      <w:r>
        <w:rPr>
          <w:bCs/>
          <w:color w:val="222222"/>
          <w:kern w:val="0"/>
          <w:sz w:val="24"/>
        </w:rPr>
        <w:t>4.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学位申请：</w:t>
      </w:r>
      <w:r>
        <w:rPr>
          <w:kern w:val="0"/>
          <w:sz w:val="24"/>
        </w:rPr>
        <w:t>达到学位授予条件的申请人，经导师同意后，应于答辩前三个月，向所属学位评定分委员会提出学位申请，提交学位申请材料。</w:t>
      </w:r>
    </w:p>
    <w:p w14:paraId="7D1C9FAD">
      <w:pPr>
        <w:widowControl/>
        <w:spacing w:line="360" w:lineRule="auto"/>
        <w:ind w:firstLine="480"/>
        <w:jc w:val="left"/>
        <w:rPr>
          <w:i/>
          <w:color w:val="FF0000"/>
          <w:kern w:val="0"/>
          <w:sz w:val="24"/>
        </w:rPr>
      </w:pPr>
      <w:r>
        <w:rPr>
          <w:bCs/>
          <w:color w:val="222222"/>
          <w:kern w:val="0"/>
          <w:sz w:val="24"/>
        </w:rPr>
        <w:t>5.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预答辩：</w:t>
      </w:r>
      <w:r>
        <w:rPr>
          <w:kern w:val="0"/>
          <w:sz w:val="24"/>
        </w:rPr>
        <w:t>学位申请人须进行学位论文预答辩。预答辩通过者，方可进入学位论文评阅、学位论文答辩等环节。学位（毕业）论文预答辩在正式答辩前3个月进行。</w:t>
      </w:r>
    </w:p>
    <w:p w14:paraId="4E26BB70">
      <w:pPr>
        <w:widowControl/>
        <w:spacing w:line="360" w:lineRule="auto"/>
        <w:ind w:firstLine="480"/>
        <w:jc w:val="left"/>
        <w:rPr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6.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论文评阅：</w:t>
      </w:r>
      <w:r>
        <w:rPr>
          <w:kern w:val="0"/>
          <w:sz w:val="24"/>
        </w:rPr>
        <w:t>学位（毕业）论文在获得导师组认可，经培养单位形式审查合格，并通过预答辩，方可提出进入评阅程序的申请。论文评阅在正式答辩前40天由研究生提出，由培养单位依据相关规定进行匿名评审。</w:t>
      </w:r>
      <w:r>
        <w:rPr>
          <w:color w:val="222222"/>
          <w:kern w:val="0"/>
          <w:sz w:val="24"/>
        </w:rPr>
        <w:t>评阅结果及异议处理按照《河北大学研究生学位论文或者实践成果评审管理办法》（校政字〔2025〕8号）执行。</w:t>
      </w:r>
    </w:p>
    <w:p w14:paraId="3EF1A0D0">
      <w:pPr>
        <w:widowControl/>
        <w:spacing w:line="360" w:lineRule="auto"/>
        <w:ind w:firstLine="480"/>
        <w:jc w:val="left"/>
        <w:rPr>
          <w:rFonts w:eastAsiaTheme="minorEastAsia"/>
          <w:i/>
          <w:color w:val="FF0000"/>
          <w:sz w:val="24"/>
        </w:rPr>
      </w:pPr>
      <w:r>
        <w:rPr>
          <w:bCs/>
          <w:color w:val="222222"/>
          <w:kern w:val="0"/>
          <w:sz w:val="24"/>
        </w:rPr>
        <w:t>7.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答辩：学位（毕业）论文答辩按照</w:t>
      </w:r>
      <w:r>
        <w:rPr>
          <w:color w:val="222222"/>
          <w:kern w:val="0"/>
          <w:sz w:val="24"/>
        </w:rPr>
        <w:t>《河北大学博士、硕士学位授予工作实施细则》（校政字〔2025〕7号）执行。</w:t>
      </w:r>
    </w:p>
    <w:p w14:paraId="56B31F55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30C5DC91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</w:p>
    <w:p w14:paraId="31AB749A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2. 学术活动。研究生</w:t>
      </w:r>
      <w:r>
        <w:rPr>
          <w:rFonts w:eastAsiaTheme="minorEastAsia"/>
          <w:color w:val="000000"/>
          <w:sz w:val="24"/>
        </w:rPr>
        <w:t>在读期间参加不少于</w:t>
      </w:r>
      <w:r>
        <w:rPr>
          <w:rFonts w:eastAsiaTheme="minorEastAsia"/>
          <w:iCs/>
          <w:sz w:val="24"/>
        </w:rPr>
        <w:t>10</w:t>
      </w:r>
      <w:r>
        <w:rPr>
          <w:rFonts w:eastAsiaTheme="minorEastAsia"/>
          <w:color w:val="000000"/>
          <w:sz w:val="24"/>
        </w:rPr>
        <w:t>次学术活动，并撰写学术报告小结；以主讲人或宣讲人身份，参加在校内外举行的学术报告或学术讲座不少于</w:t>
      </w:r>
      <w:r>
        <w:rPr>
          <w:rFonts w:eastAsiaTheme="minorEastAsia"/>
          <w:iCs/>
          <w:sz w:val="24"/>
        </w:rPr>
        <w:t>1</w:t>
      </w:r>
      <w:r>
        <w:rPr>
          <w:rFonts w:eastAsiaTheme="minorEastAsia"/>
          <w:color w:val="000000"/>
          <w:sz w:val="24"/>
        </w:rPr>
        <w:t>次。</w:t>
      </w:r>
    </w:p>
    <w:p w14:paraId="19A50E31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6C1E23E6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论文答辩。学位（毕业）论文经专家评审合格、通过学位（毕业）答辩，符合毕业资格审查后，准予毕业。</w:t>
      </w:r>
    </w:p>
    <w:p w14:paraId="5B540DF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42A792DE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研究内容上强调原创性和实际价值，注重成果的系统性和完整性，鼓励学科交叉创新，鼓励在专业领域学术期刊发表论文。</w:t>
      </w:r>
    </w:p>
    <w:p w14:paraId="31BA30F5">
      <w:pPr>
        <w:spacing w:before="156" w:beforeLines="50"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4EF4E678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满足本</w:t>
      </w:r>
      <w:r>
        <w:rPr>
          <w:kern w:val="0"/>
          <w:sz w:val="24"/>
        </w:rPr>
        <w:t>学院</w:t>
      </w:r>
      <w:r>
        <w:rPr>
          <w:color w:val="222222"/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color w:val="222222"/>
          <w:kern w:val="0"/>
          <w:sz w:val="24"/>
        </w:rPr>
        <w:t>《河北大学博士、硕士学位授予工作实施细则》（校政字〔2025〕7号）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243A5DA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6E2814F4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color w:val="000000"/>
          <w:sz w:val="24"/>
        </w:rPr>
        <w:t>本专业最低毕业</w:t>
      </w:r>
      <w:r>
        <w:rPr>
          <w:rFonts w:eastAsiaTheme="minorEastAsia"/>
          <w:sz w:val="24"/>
        </w:rPr>
        <w:t>学分为</w:t>
      </w:r>
      <w:r>
        <w:rPr>
          <w:rFonts w:hint="eastAsia" w:eastAsiaTheme="minorEastAsia"/>
          <w:sz w:val="24"/>
        </w:rPr>
        <w:t>25学</w:t>
      </w:r>
      <w:r>
        <w:rPr>
          <w:rFonts w:eastAsiaTheme="minorEastAsia"/>
          <w:sz w:val="24"/>
        </w:rPr>
        <w:t>分，其中学位课</w:t>
      </w:r>
      <w:r>
        <w:rPr>
          <w:rFonts w:hint="eastAsia" w:eastAsiaTheme="minorEastAsia"/>
          <w:sz w:val="24"/>
        </w:rPr>
        <w:t>16</w:t>
      </w:r>
      <w:r>
        <w:rPr>
          <w:rFonts w:eastAsiaTheme="minorEastAsia"/>
          <w:sz w:val="24"/>
        </w:rPr>
        <w:t>学分，非学位课</w:t>
      </w:r>
      <w:r>
        <w:rPr>
          <w:rFonts w:hint="eastAsia" w:eastAsiaTheme="minorEastAsia"/>
          <w:sz w:val="24"/>
        </w:rPr>
        <w:t>8</w:t>
      </w:r>
      <w:r>
        <w:rPr>
          <w:rFonts w:eastAsiaTheme="minorEastAsia"/>
          <w:sz w:val="24"/>
        </w:rPr>
        <w:t>学分，必修环节</w:t>
      </w:r>
      <w:r>
        <w:rPr>
          <w:rFonts w:hint="eastAsia" w:eastAsiaTheme="minorEastAsia"/>
          <w:sz w:val="24"/>
        </w:rPr>
        <w:t>1学</w:t>
      </w:r>
      <w:r>
        <w:rPr>
          <w:rFonts w:eastAsiaTheme="minorEastAsia"/>
          <w:sz w:val="24"/>
        </w:rPr>
        <w:t>分。</w:t>
      </w:r>
    </w:p>
    <w:p w14:paraId="12B8B873">
      <w:pPr>
        <w:spacing w:line="360" w:lineRule="auto"/>
        <w:rPr>
          <w:color w:val="FF0000"/>
          <w:sz w:val="24"/>
        </w:rPr>
      </w:pPr>
      <w:r>
        <w:rPr>
          <w:rFonts w:eastAsiaTheme="minorEastAsia"/>
          <w:color w:val="000000"/>
          <w:sz w:val="24"/>
        </w:rPr>
        <w:t xml:space="preserve">    课程考试不设补考环节，</w:t>
      </w:r>
      <w:r>
        <w:rPr>
          <w:color w:val="000000"/>
          <w:sz w:val="24"/>
        </w:rPr>
        <w:t>考试成绩低于60分的需重修。</w:t>
      </w:r>
    </w:p>
    <w:p w14:paraId="5388C527">
      <w:pPr>
        <w:spacing w:line="360" w:lineRule="auto"/>
        <w:rPr>
          <w:rFonts w:eastAsiaTheme="minorEastAsia"/>
          <w:iCs/>
          <w:sz w:val="24"/>
        </w:rPr>
      </w:pPr>
      <w:r>
        <w:rPr>
          <w:iCs/>
          <w:sz w:val="24"/>
        </w:rPr>
        <w:t xml:space="preserve">    课程考核方式包括考试和考查，</w:t>
      </w:r>
      <w:r>
        <w:rPr>
          <w:rFonts w:eastAsiaTheme="minorEastAsia"/>
          <w:iCs/>
          <w:sz w:val="24"/>
        </w:rPr>
        <w:t>可以采用口试、笔试或写读书报告、论文的形式，但应有—定数量的笔试（各专业根据实际情况填写）。无论采取何种考核方式，均应能真实反映学生对所学课程掌握的程度及运用知识的能力。</w:t>
      </w:r>
    </w:p>
    <w:p w14:paraId="3BB6DA1A">
      <w:pPr>
        <w:spacing w:after="156" w:afterLines="50" w:line="360" w:lineRule="auto"/>
        <w:ind w:firstLine="482" w:firstLineChars="200"/>
        <w:jc w:val="center"/>
        <w:rPr>
          <w:rFonts w:eastAsiaTheme="minorEastAsia"/>
          <w:b/>
          <w:bCs/>
          <w:sz w:val="24"/>
        </w:rPr>
      </w:pPr>
    </w:p>
    <w:p w14:paraId="70D9FB52">
      <w:pPr>
        <w:spacing w:after="156" w:afterLines="50" w:line="360" w:lineRule="auto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生物化学与分子生物学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Style w:val="6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039BDA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758B7DDC">
            <w:pPr>
              <w:spacing w:line="360" w:lineRule="auto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0368518B">
            <w:pPr>
              <w:spacing w:line="360" w:lineRule="auto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540CF545">
            <w:pPr>
              <w:spacing w:line="360" w:lineRule="auto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102A459D">
            <w:pPr>
              <w:spacing w:line="360" w:lineRule="auto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40BD60F1">
            <w:pPr>
              <w:spacing w:line="360" w:lineRule="auto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3C3CCD46">
            <w:pPr>
              <w:spacing w:line="360" w:lineRule="auto"/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BF03F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0D18A727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05D1452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4857D086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6BE78436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2BC7FC29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32218424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4AD72B59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BA6E01B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03C88A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1ABE2DB7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CEC754A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65C4703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7D1D2197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619EA673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E6468B7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0D11ED4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3E46C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3F75EB79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29D769C9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4801FBEA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0F2A2D2E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与论文写作</w:t>
            </w:r>
          </w:p>
        </w:tc>
        <w:tc>
          <w:tcPr>
            <w:tcW w:w="1081" w:type="dxa"/>
            <w:vAlign w:val="center"/>
          </w:tcPr>
          <w:p w14:paraId="60140A23">
            <w:pPr>
              <w:widowControl/>
              <w:jc w:val="center"/>
              <w:textAlignment w:val="center"/>
              <w:rPr>
                <w:rFonts w:hint="default" w:eastAsia="等线"/>
                <w:i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02005</w:t>
            </w:r>
          </w:p>
        </w:tc>
        <w:tc>
          <w:tcPr>
            <w:tcW w:w="709" w:type="dxa"/>
            <w:vAlign w:val="center"/>
          </w:tcPr>
          <w:p w14:paraId="7BD5C50A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iCs/>
              </w:rPr>
              <w:t>3</w:t>
            </w:r>
          </w:p>
        </w:tc>
        <w:tc>
          <w:tcPr>
            <w:tcW w:w="709" w:type="dxa"/>
            <w:vAlign w:val="center"/>
          </w:tcPr>
          <w:p w14:paraId="52F5192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45" w:type="dxa"/>
            <w:vAlign w:val="center"/>
          </w:tcPr>
          <w:p w14:paraId="1FD2C536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2A0E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21485F26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076F2D8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E4F3198">
            <w:pPr>
              <w:adjustRightInd w:val="0"/>
              <w:snapToGrid w:val="0"/>
              <w:spacing w:line="360" w:lineRule="auto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生物信息学理论与实践</w:t>
            </w:r>
          </w:p>
        </w:tc>
        <w:tc>
          <w:tcPr>
            <w:tcW w:w="1081" w:type="dxa"/>
            <w:vAlign w:val="center"/>
          </w:tcPr>
          <w:p w14:paraId="5F2E6810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XS1200002</w:t>
            </w:r>
          </w:p>
        </w:tc>
        <w:tc>
          <w:tcPr>
            <w:tcW w:w="709" w:type="dxa"/>
            <w:vAlign w:val="center"/>
          </w:tcPr>
          <w:p w14:paraId="125B1178">
            <w:pPr>
              <w:spacing w:line="360" w:lineRule="auto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4AB9F266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5A9509AC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4E4828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1167F461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C16EB5A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764FCBC9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6E49D407">
            <w:pPr>
              <w:spacing w:line="360" w:lineRule="auto"/>
            </w:pPr>
            <w:r>
              <w:rPr>
                <w:rFonts w:hint="eastAsia"/>
                <w:sz w:val="18"/>
                <w:szCs w:val="18"/>
              </w:rPr>
              <w:t>生命科学前沿研究</w:t>
            </w:r>
          </w:p>
        </w:tc>
        <w:tc>
          <w:tcPr>
            <w:tcW w:w="1081" w:type="dxa"/>
            <w:vAlign w:val="center"/>
          </w:tcPr>
          <w:p w14:paraId="2158140B">
            <w:pPr>
              <w:widowControl/>
              <w:jc w:val="center"/>
              <w:textAlignment w:val="center"/>
              <w:rPr>
                <w:rFonts w:hint="eastAsia" w:eastAsia="等线"/>
                <w:color w:val="FF0000"/>
                <w:sz w:val="18"/>
                <w:szCs w:val="18"/>
                <w:lang w:eastAsia="zh-CN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XS120000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709" w:type="dxa"/>
            <w:vAlign w:val="center"/>
          </w:tcPr>
          <w:p w14:paraId="4B05BB71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5F4C8E6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0ACBFA26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36780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41361115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23A249A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B9AF6D9">
            <w:pPr>
              <w:spacing w:line="360" w:lineRule="auto"/>
            </w:pPr>
            <w:r>
              <w:rPr>
                <w:rFonts w:hint="eastAsia"/>
                <w:iCs/>
                <w:sz w:val="18"/>
                <w:szCs w:val="18"/>
              </w:rPr>
              <w:t>现代分子生物学</w:t>
            </w:r>
          </w:p>
        </w:tc>
        <w:tc>
          <w:tcPr>
            <w:tcW w:w="1081" w:type="dxa"/>
            <w:vAlign w:val="center"/>
          </w:tcPr>
          <w:p w14:paraId="22FCA093">
            <w:pPr>
              <w:widowControl/>
              <w:jc w:val="center"/>
              <w:textAlignment w:val="center"/>
              <w:rPr>
                <w:color w:val="FF0000"/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XS1200005</w:t>
            </w:r>
          </w:p>
        </w:tc>
        <w:tc>
          <w:tcPr>
            <w:tcW w:w="709" w:type="dxa"/>
            <w:vAlign w:val="center"/>
          </w:tcPr>
          <w:p w14:paraId="50A8F4A7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7CBE8EEB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357DCEEC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2F659D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3703CE32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280A2503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283ABD8E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7086C5C7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7D5E5149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2661503D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7E4FEB3B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5B0023AD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2F6F8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519D78FB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13706DC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70ED8F2">
            <w:pPr>
              <w:adjustRightInd w:val="0"/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</w:p>
        </w:tc>
        <w:tc>
          <w:tcPr>
            <w:tcW w:w="1081" w:type="dxa"/>
            <w:vAlign w:val="center"/>
          </w:tcPr>
          <w:p w14:paraId="6FA5B080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TS0000102</w:t>
            </w:r>
          </w:p>
        </w:tc>
        <w:tc>
          <w:tcPr>
            <w:tcW w:w="709" w:type="dxa"/>
            <w:vAlign w:val="center"/>
          </w:tcPr>
          <w:p w14:paraId="4271109E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06974974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74E9A8A0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119EF8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7B6F28F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8C4D795">
            <w:pPr>
              <w:adjustRightInd w:val="0"/>
              <w:snapToGrid w:val="0"/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选修课</w:t>
            </w:r>
            <w:r>
              <w:rPr>
                <w:rFonts w:hint="eastAsia"/>
                <w:b/>
                <w:sz w:val="18"/>
                <w:szCs w:val="18"/>
              </w:rPr>
              <w:t>（不区分方向）（6学分）</w:t>
            </w:r>
          </w:p>
        </w:tc>
        <w:tc>
          <w:tcPr>
            <w:tcW w:w="3516" w:type="dxa"/>
            <w:vAlign w:val="center"/>
          </w:tcPr>
          <w:p w14:paraId="428F50FC">
            <w:pPr>
              <w:spacing w:line="360" w:lineRule="auto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分子遗传与表观遗传</w:t>
            </w:r>
          </w:p>
        </w:tc>
        <w:tc>
          <w:tcPr>
            <w:tcW w:w="1081" w:type="dxa"/>
            <w:vAlign w:val="center"/>
          </w:tcPr>
          <w:p w14:paraId="0F22B5EE">
            <w:pPr>
              <w:widowControl/>
              <w:jc w:val="center"/>
              <w:textAlignment w:val="center"/>
              <w:rPr>
                <w:color w:val="FF0000"/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XS1200004</w:t>
            </w:r>
          </w:p>
        </w:tc>
        <w:tc>
          <w:tcPr>
            <w:tcW w:w="709" w:type="dxa"/>
            <w:vAlign w:val="center"/>
          </w:tcPr>
          <w:p w14:paraId="41AA31E5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948EE24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08E69997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6243C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547EE61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390CD8B">
            <w:pPr>
              <w:adjustRightInd w:val="0"/>
              <w:snapToGrid w:val="0"/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529F9DA">
            <w:pPr>
              <w:spacing w:line="360" w:lineRule="auto"/>
              <w:rPr>
                <w:rFonts w:hint="eastAsia"/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分子生物学研究进展</w:t>
            </w:r>
          </w:p>
        </w:tc>
        <w:tc>
          <w:tcPr>
            <w:tcW w:w="1081" w:type="dxa"/>
            <w:vAlign w:val="center"/>
          </w:tcPr>
          <w:p w14:paraId="16630E6B"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XS1200201</w:t>
            </w:r>
          </w:p>
        </w:tc>
        <w:tc>
          <w:tcPr>
            <w:tcW w:w="709" w:type="dxa"/>
            <w:vAlign w:val="center"/>
          </w:tcPr>
          <w:p w14:paraId="712CD9C3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0AB0533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1BF35D01">
            <w:pPr>
              <w:adjustRightInd w:val="0"/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653FD6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AC2F886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4C4F4C3">
            <w:pPr>
              <w:adjustRightInd w:val="0"/>
              <w:snapToGrid w:val="0"/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52EEACA3">
            <w:pPr>
              <w:spacing w:line="360" w:lineRule="auto"/>
              <w:rPr>
                <w:i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分子生物学研究技术</w:t>
            </w:r>
          </w:p>
        </w:tc>
        <w:tc>
          <w:tcPr>
            <w:tcW w:w="1081" w:type="dxa"/>
            <w:vAlign w:val="center"/>
          </w:tcPr>
          <w:p w14:paraId="2961D437">
            <w:pPr>
              <w:widowControl/>
              <w:jc w:val="center"/>
              <w:textAlignment w:val="center"/>
              <w:rPr>
                <w:color w:val="FF0000"/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XS1200202</w:t>
            </w:r>
          </w:p>
        </w:tc>
        <w:tc>
          <w:tcPr>
            <w:tcW w:w="709" w:type="dxa"/>
            <w:vAlign w:val="center"/>
          </w:tcPr>
          <w:p w14:paraId="29170425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7306C1D3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6546B94E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3006D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D1C8A69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AF6C1E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57787F26">
            <w:pPr>
              <w:adjustRightInd w:val="0"/>
              <w:snapToGrid w:val="0"/>
              <w:spacing w:line="360" w:lineRule="auto"/>
              <w:rPr>
                <w:i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生物化学研究技术</w:t>
            </w:r>
          </w:p>
        </w:tc>
        <w:tc>
          <w:tcPr>
            <w:tcW w:w="1081" w:type="dxa"/>
            <w:vAlign w:val="center"/>
          </w:tcPr>
          <w:p w14:paraId="44B2A74D">
            <w:pPr>
              <w:widowControl/>
              <w:jc w:val="center"/>
              <w:textAlignment w:val="center"/>
              <w:rPr>
                <w:color w:val="FF0000"/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XS1200203</w:t>
            </w:r>
          </w:p>
        </w:tc>
        <w:tc>
          <w:tcPr>
            <w:tcW w:w="709" w:type="dxa"/>
            <w:vAlign w:val="center"/>
          </w:tcPr>
          <w:p w14:paraId="14C90E4A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0035F425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30E3D8F4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6BAE8E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96B17CF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C7D18F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634BC57">
            <w:pPr>
              <w:adjustRightInd w:val="0"/>
              <w:snapToGrid w:val="0"/>
              <w:spacing w:line="360" w:lineRule="auto"/>
              <w:rPr>
                <w:i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分子系统学原理与方法</w:t>
            </w:r>
          </w:p>
        </w:tc>
        <w:tc>
          <w:tcPr>
            <w:tcW w:w="1081" w:type="dxa"/>
            <w:vAlign w:val="center"/>
          </w:tcPr>
          <w:p w14:paraId="502A16F1">
            <w:pPr>
              <w:widowControl/>
              <w:jc w:val="center"/>
              <w:textAlignment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XS1200204</w:t>
            </w:r>
          </w:p>
        </w:tc>
        <w:tc>
          <w:tcPr>
            <w:tcW w:w="709" w:type="dxa"/>
            <w:vAlign w:val="center"/>
          </w:tcPr>
          <w:p w14:paraId="79BF045F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017B523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188CC6AD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1C6257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2AAF6EC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3CF785B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948EC84">
            <w:pPr>
              <w:adjustRightInd w:val="0"/>
              <w:snapToGrid w:val="0"/>
              <w:spacing w:line="360" w:lineRule="auto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生物统计学</w:t>
            </w:r>
          </w:p>
        </w:tc>
        <w:tc>
          <w:tcPr>
            <w:tcW w:w="1081" w:type="dxa"/>
            <w:vAlign w:val="center"/>
          </w:tcPr>
          <w:p w14:paraId="1DA632F0">
            <w:pPr>
              <w:widowControl/>
              <w:jc w:val="center"/>
              <w:textAlignment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XS1200205</w:t>
            </w:r>
          </w:p>
        </w:tc>
        <w:tc>
          <w:tcPr>
            <w:tcW w:w="709" w:type="dxa"/>
            <w:vAlign w:val="center"/>
          </w:tcPr>
          <w:p w14:paraId="0BFCD065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7CD376CC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57817495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E6232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3BE5F75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960C8B9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5101240B">
            <w:pPr>
              <w:adjustRightInd w:val="0"/>
              <w:snapToGrid w:val="0"/>
              <w:spacing w:line="360" w:lineRule="auto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分子毒理学</w:t>
            </w:r>
          </w:p>
        </w:tc>
        <w:tc>
          <w:tcPr>
            <w:tcW w:w="1081" w:type="dxa"/>
            <w:vAlign w:val="center"/>
          </w:tcPr>
          <w:p w14:paraId="33D094BC">
            <w:pPr>
              <w:widowControl/>
              <w:jc w:val="center"/>
              <w:textAlignment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XS12100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09" w:type="dxa"/>
            <w:vAlign w:val="center"/>
          </w:tcPr>
          <w:p w14:paraId="63E6C8DC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27B49496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55B51136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333973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571" w:type="dxa"/>
            <w:vMerge w:val="restart"/>
            <w:vAlign w:val="center"/>
          </w:tcPr>
          <w:p w14:paraId="7D6BFAFB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3288596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3DBC0AE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107BA662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72AAC8E7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CEA34D0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FF8E2CE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6A21F178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各学院可在此基础上自行增加环节</w:t>
            </w:r>
          </w:p>
        </w:tc>
      </w:tr>
      <w:tr w14:paraId="3BCC1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571" w:type="dxa"/>
            <w:vMerge w:val="continue"/>
            <w:vAlign w:val="center"/>
          </w:tcPr>
          <w:p w14:paraId="3E0BB0C5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1894450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A0EAD97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502675B6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E7EAA9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0C6477F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vAlign w:val="center"/>
          </w:tcPr>
          <w:p w14:paraId="055C2A36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F65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484AF4D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145E0EE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50D300FF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49DA1E1D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FC21274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34AD6C3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restart"/>
            <w:vAlign w:val="center"/>
          </w:tcPr>
          <w:p w14:paraId="491DE2E3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1A95F576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1446FE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7A46045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80E1D6B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08B705B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70622EC5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1A921F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089F2CD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57348108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7D77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28D1304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91F2F35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C62EB48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39E910A2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D2FEAC6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24E7230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continue"/>
          </w:tcPr>
          <w:p w14:paraId="467F877C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A6A3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9524FCB">
            <w:pPr>
              <w:spacing w:line="360" w:lineRule="auto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5CBF30A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C37ADBC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3F10DCBD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4F11787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02059DB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continue"/>
          </w:tcPr>
          <w:p w14:paraId="6423E8CB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5C7C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3D9DF67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85C3DB8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5B8AABE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187AE7E9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E1F818E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9B9E8F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4C2C5242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B8C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629C1BE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0AFA4528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E3BCCAC">
            <w:pPr>
              <w:spacing w:line="360" w:lineRule="auto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1727C4B8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BB27F56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9CC04CC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62E0D801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9DFF142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0F373DDB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554CBBF8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非学位课中的方向选修课模块由各培养单位自行设置，并给出具体选修学分要求。</w:t>
      </w:r>
    </w:p>
    <w:p w14:paraId="7BD408E2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2.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p w14:paraId="1065C69B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7D7E9A"/>
    <w:multiLevelType w:val="multilevel"/>
    <w:tmpl w:val="337D7E9A"/>
    <w:lvl w:ilvl="0" w:tentative="0">
      <w:start w:val="3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63D"/>
    <w:rsid w:val="00061F41"/>
    <w:rsid w:val="00071ACD"/>
    <w:rsid w:val="00071EA9"/>
    <w:rsid w:val="00144487"/>
    <w:rsid w:val="00155543"/>
    <w:rsid w:val="00182C6A"/>
    <w:rsid w:val="001A489D"/>
    <w:rsid w:val="001B0E92"/>
    <w:rsid w:val="001E7DAF"/>
    <w:rsid w:val="00213074"/>
    <w:rsid w:val="002238B1"/>
    <w:rsid w:val="0023079E"/>
    <w:rsid w:val="002444AD"/>
    <w:rsid w:val="00252795"/>
    <w:rsid w:val="00271D21"/>
    <w:rsid w:val="002D02F0"/>
    <w:rsid w:val="00307D83"/>
    <w:rsid w:val="003C264D"/>
    <w:rsid w:val="003F63E3"/>
    <w:rsid w:val="0044122A"/>
    <w:rsid w:val="00442D44"/>
    <w:rsid w:val="00514184"/>
    <w:rsid w:val="0052438D"/>
    <w:rsid w:val="00676060"/>
    <w:rsid w:val="00682945"/>
    <w:rsid w:val="006847FC"/>
    <w:rsid w:val="006C0CDC"/>
    <w:rsid w:val="00722977"/>
    <w:rsid w:val="007845A1"/>
    <w:rsid w:val="00787F1F"/>
    <w:rsid w:val="007A280C"/>
    <w:rsid w:val="007D6E7D"/>
    <w:rsid w:val="007F0A34"/>
    <w:rsid w:val="008246C3"/>
    <w:rsid w:val="008905AF"/>
    <w:rsid w:val="008976DA"/>
    <w:rsid w:val="008A6516"/>
    <w:rsid w:val="008D206E"/>
    <w:rsid w:val="008E11ED"/>
    <w:rsid w:val="008F1F8D"/>
    <w:rsid w:val="00905D83"/>
    <w:rsid w:val="00907930"/>
    <w:rsid w:val="009105FF"/>
    <w:rsid w:val="00914F40"/>
    <w:rsid w:val="00924EC2"/>
    <w:rsid w:val="0098473D"/>
    <w:rsid w:val="009B11B3"/>
    <w:rsid w:val="00AB5619"/>
    <w:rsid w:val="00AE3247"/>
    <w:rsid w:val="00B13ABD"/>
    <w:rsid w:val="00B64120"/>
    <w:rsid w:val="00B94971"/>
    <w:rsid w:val="00BF1BF2"/>
    <w:rsid w:val="00BF7A3B"/>
    <w:rsid w:val="00C01A85"/>
    <w:rsid w:val="00C53DC3"/>
    <w:rsid w:val="00C63272"/>
    <w:rsid w:val="00CC5CD7"/>
    <w:rsid w:val="00CD1E97"/>
    <w:rsid w:val="00D006A9"/>
    <w:rsid w:val="00D05A93"/>
    <w:rsid w:val="00D14066"/>
    <w:rsid w:val="00D14716"/>
    <w:rsid w:val="00D3188A"/>
    <w:rsid w:val="00DA1142"/>
    <w:rsid w:val="00DD6DD9"/>
    <w:rsid w:val="00DD756F"/>
    <w:rsid w:val="00DF763D"/>
    <w:rsid w:val="00E07BF6"/>
    <w:rsid w:val="00E55826"/>
    <w:rsid w:val="00EF7551"/>
    <w:rsid w:val="00EF76ED"/>
    <w:rsid w:val="00F93D20"/>
    <w:rsid w:val="00FA548A"/>
    <w:rsid w:val="00FD10CE"/>
    <w:rsid w:val="075D7A64"/>
    <w:rsid w:val="148D1964"/>
    <w:rsid w:val="164E5AC3"/>
    <w:rsid w:val="17825983"/>
    <w:rsid w:val="2B660667"/>
    <w:rsid w:val="45CA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3">
    <w:name w:val="heading 4"/>
    <w:basedOn w:val="1"/>
    <w:link w:val="11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ds-markdown-cite"/>
    <w:basedOn w:val="7"/>
    <w:qFormat/>
    <w:uiPriority w:val="0"/>
  </w:style>
  <w:style w:type="character" w:customStyle="1" w:styleId="10">
    <w:name w:val="标题 3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1">
    <w:name w:val="标题 4 字符"/>
    <w:basedOn w:val="7"/>
    <w:link w:val="3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">
    <w:name w:val="ds-markdown-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4436</Words>
  <Characters>4609</Characters>
  <Lines>34</Lines>
  <Paragraphs>9</Paragraphs>
  <TotalTime>0</TotalTime>
  <ScaleCrop>false</ScaleCrop>
  <LinksUpToDate>false</LinksUpToDate>
  <CharactersWithSpaces>4631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2025-04-24T09:33:00Z</dcterms:created>
  <dc:creator>LC</dc:creator>
  <cp:lastModifiedBy>可儿</cp:lastModifiedBy>
  <cp:lastPrinted>2025-05-13T00:35:00Z</cp:lastPrinted>
  <dcterms:modified xsi:type="dcterms:W3CDTF">2025-07-09T02:33:49Z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f5d10e365a75d6903594708137748de56d666e56045a2727db238c4549b35c03</vt:lpwstr>
  </property>
  <property fmtid="{D5CDD505-2E9C-101B-9397-08002B2CF9AE}" pid="3" name="KSOTemplateDocerSaveRecord">
    <vt:lpwstr>eyJoZGlkIjoiZTc1ZjU4ZGM4MmRlYjBkMGFiM2M0MTg2NzI5ZTI4NzUiLCJ1c2VySWQiOiIzMjM0MDI2NTMifQ==</vt:lpwstr>
  </property>
  <property fmtid="{D5CDD505-2E9C-101B-9397-08002B2CF9AE}" pid="4" name="KSOProductBuildVer">
    <vt:lpwstr>2052-12.1.0.21915</vt:lpwstr>
  </property>
  <property fmtid="{D5CDD505-2E9C-101B-9397-08002B2CF9AE}" pid="5" name="ICV">
    <vt:lpwstr>75AB32BF4676433FBD30BF1A08A95043_12</vt:lpwstr>
  </property>
</Properties>
</file>