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51E3C">
      <w:pPr>
        <w:ind w:left="321" w:leftChars="153" w:right="227"/>
        <w:jc w:val="center"/>
        <w:rPr>
          <w:rFonts w:eastAsia="黑体"/>
          <w:b/>
          <w:bCs/>
          <w:iCs/>
          <w:sz w:val="36"/>
          <w:szCs w:val="36"/>
        </w:rPr>
      </w:pPr>
      <w:r>
        <w:rPr>
          <w:rFonts w:hint="eastAsia" w:eastAsia="黑体"/>
          <w:b/>
          <w:bCs/>
          <w:iCs/>
          <w:sz w:val="36"/>
          <w:szCs w:val="36"/>
        </w:rPr>
        <w:t>水生生物学</w:t>
      </w:r>
      <w:r>
        <w:rPr>
          <w:rFonts w:eastAsia="黑体"/>
          <w:b/>
          <w:bCs/>
          <w:iCs/>
          <w:sz w:val="36"/>
          <w:szCs w:val="36"/>
        </w:rPr>
        <w:t>专业学术学位硕士研究生培养方案</w:t>
      </w:r>
    </w:p>
    <w:p w14:paraId="22D5BF36">
      <w:pPr>
        <w:ind w:left="321" w:leftChars="153" w:right="227"/>
        <w:jc w:val="center"/>
        <w:rPr>
          <w:rFonts w:eastAsia="黑体"/>
          <w:b/>
          <w:bCs/>
          <w:iCs/>
          <w:sz w:val="28"/>
          <w:szCs w:val="28"/>
        </w:rPr>
      </w:pPr>
      <w:r>
        <w:rPr>
          <w:rFonts w:eastAsia="黑体"/>
          <w:b/>
          <w:bCs/>
          <w:iCs/>
          <w:sz w:val="28"/>
          <w:szCs w:val="28"/>
        </w:rPr>
        <w:t>（</w:t>
      </w:r>
      <w:r>
        <w:rPr>
          <w:rFonts w:hint="eastAsia" w:eastAsia="黑体"/>
          <w:b/>
          <w:bCs/>
          <w:iCs/>
          <w:sz w:val="28"/>
          <w:szCs w:val="28"/>
        </w:rPr>
        <w:t>生命科学</w:t>
      </w:r>
      <w:r>
        <w:rPr>
          <w:rFonts w:eastAsia="黑体"/>
          <w:b/>
          <w:bCs/>
          <w:iCs/>
          <w:sz w:val="28"/>
          <w:szCs w:val="28"/>
        </w:rPr>
        <w:t>学院)</w:t>
      </w:r>
    </w:p>
    <w:p w14:paraId="7D15452B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14:paraId="340B788F">
      <w:pPr>
        <w:widowControl/>
        <w:spacing w:before="100" w:beforeAutospacing="1" w:after="100" w:afterAutospacing="1" w:line="270" w:lineRule="atLeast"/>
        <w:ind w:firstLine="960" w:firstLineChars="400"/>
        <w:jc w:val="left"/>
        <w:rPr>
          <w:kern w:val="0"/>
          <w:sz w:val="18"/>
          <w:szCs w:val="18"/>
        </w:rPr>
      </w:pPr>
      <w:r>
        <w:rPr>
          <w:kern w:val="0"/>
          <w:sz w:val="24"/>
        </w:rPr>
        <w:t>专业名称：</w:t>
      </w:r>
      <w:r>
        <w:rPr>
          <w:rFonts w:hint="eastAsia"/>
          <w:kern w:val="0"/>
          <w:sz w:val="24"/>
        </w:rPr>
        <w:t>水生生物学</w:t>
      </w:r>
    </w:p>
    <w:p w14:paraId="371CDC31">
      <w:pPr>
        <w:widowControl/>
        <w:spacing w:before="100" w:beforeAutospacing="1" w:after="100" w:afterAutospacing="1" w:line="270" w:lineRule="atLeast"/>
        <w:ind w:firstLine="960" w:firstLineChars="400"/>
        <w:jc w:val="left"/>
        <w:rPr>
          <w:kern w:val="0"/>
          <w:sz w:val="18"/>
          <w:szCs w:val="18"/>
        </w:rPr>
      </w:pPr>
      <w:r>
        <w:rPr>
          <w:kern w:val="0"/>
          <w:sz w:val="24"/>
        </w:rPr>
        <w:t>专业代码：</w:t>
      </w:r>
      <w:r>
        <w:rPr>
          <w:rFonts w:hint="eastAsia"/>
          <w:kern w:val="0"/>
          <w:sz w:val="24"/>
        </w:rPr>
        <w:t>071004</w:t>
      </w:r>
    </w:p>
    <w:p w14:paraId="69382043">
      <w:pPr>
        <w:spacing w:line="440" w:lineRule="exact"/>
        <w:ind w:firstLine="560" w:firstLineChars="200"/>
        <w:rPr>
          <w:rFonts w:eastAsia="黑体"/>
          <w:bCs/>
          <w:i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二、专业简介</w:t>
      </w:r>
    </w:p>
    <w:p w14:paraId="293A89BA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hint="eastAsia" w:eastAsiaTheme="minorEastAsia"/>
          <w:iCs/>
          <w:sz w:val="24"/>
        </w:rPr>
        <w:t>水生生物学是研究水生生物的种类、组成、演替、生命活动规律及其与环境之间相互关系的综合性学科。</w:t>
      </w:r>
      <w:r>
        <w:rPr>
          <w:rFonts w:eastAsiaTheme="minorEastAsia"/>
          <w:iCs/>
          <w:sz w:val="24"/>
        </w:rPr>
        <w:t>1996年，河北大学设立了水生生物学硕士学位点，这是学校在生物学领域的一个重要里程碑。这一学位点的设立，不仅填补了学校在水生生物学领域的空白，也为相关领域的研究生提供了深入学习和研究的机会</w:t>
      </w:r>
      <w:r>
        <w:rPr>
          <w:rFonts w:hint="eastAsia" w:eastAsiaTheme="minorEastAsia"/>
          <w:iCs/>
          <w:sz w:val="24"/>
        </w:rPr>
        <w:t>。</w:t>
      </w:r>
    </w:p>
    <w:p w14:paraId="45C260D0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hint="eastAsia" w:eastAsiaTheme="minorEastAsia"/>
          <w:iCs/>
          <w:sz w:val="24"/>
        </w:rPr>
        <w:t>本专业侧重于水生</w:t>
      </w:r>
      <w:r>
        <w:rPr>
          <w:rFonts w:eastAsiaTheme="minorEastAsia"/>
          <w:iCs/>
          <w:sz w:val="24"/>
        </w:rPr>
        <w:t>生物遗传基础与资源</w:t>
      </w:r>
      <w:r>
        <w:rPr>
          <w:rFonts w:hint="eastAsia" w:eastAsiaTheme="minorEastAsia"/>
          <w:iCs/>
          <w:sz w:val="24"/>
        </w:rPr>
        <w:t>利用、水生生物生理生化过程</w:t>
      </w:r>
      <w:r>
        <w:rPr>
          <w:rFonts w:eastAsiaTheme="minorEastAsia"/>
          <w:iCs/>
          <w:sz w:val="24"/>
        </w:rPr>
        <w:t>与调控</w:t>
      </w:r>
      <w:r>
        <w:rPr>
          <w:rFonts w:hint="eastAsia" w:eastAsiaTheme="minorEastAsia"/>
          <w:iCs/>
          <w:sz w:val="24"/>
        </w:rPr>
        <w:t>、水生生物多样性与生态保护等研究方向。该学科旨在</w:t>
      </w:r>
      <w:r>
        <w:rPr>
          <w:rFonts w:eastAsiaTheme="minorEastAsia"/>
          <w:iCs/>
          <w:sz w:val="24"/>
        </w:rPr>
        <w:t>研究</w:t>
      </w:r>
      <w:r>
        <w:rPr>
          <w:rFonts w:hint="eastAsia" w:eastAsiaTheme="minorEastAsia"/>
          <w:iCs/>
          <w:sz w:val="24"/>
        </w:rPr>
        <w:t>水生</w:t>
      </w:r>
      <w:r>
        <w:rPr>
          <w:rFonts w:eastAsiaTheme="minorEastAsia"/>
          <w:iCs/>
          <w:sz w:val="24"/>
        </w:rPr>
        <w:t>生物重要经济性状</w:t>
      </w:r>
      <w:r>
        <w:rPr>
          <w:rFonts w:hint="eastAsia" w:eastAsiaTheme="minorEastAsia"/>
          <w:iCs/>
          <w:sz w:val="24"/>
        </w:rPr>
        <w:t>形成</w:t>
      </w:r>
      <w:r>
        <w:rPr>
          <w:rFonts w:eastAsiaTheme="minorEastAsia"/>
          <w:iCs/>
          <w:sz w:val="24"/>
        </w:rPr>
        <w:t>的遗传学基础和调控规律，</w:t>
      </w:r>
      <w:r>
        <w:rPr>
          <w:rFonts w:hint="eastAsia" w:eastAsiaTheme="minorEastAsia"/>
          <w:iCs/>
          <w:sz w:val="24"/>
        </w:rPr>
        <w:t>构筑水产</w:t>
      </w:r>
      <w:r>
        <w:rPr>
          <w:rFonts w:eastAsiaTheme="minorEastAsia"/>
          <w:iCs/>
          <w:sz w:val="24"/>
        </w:rPr>
        <w:t>养殖优良种质创制的技术平台，为优良种质创制提供前沿理论和技术</w:t>
      </w:r>
      <w:r>
        <w:rPr>
          <w:rFonts w:hint="eastAsia" w:eastAsiaTheme="minorEastAsia"/>
          <w:iCs/>
          <w:sz w:val="24"/>
        </w:rPr>
        <w:t>；</w:t>
      </w:r>
      <w:r>
        <w:rPr>
          <w:rFonts w:eastAsiaTheme="minorEastAsia"/>
          <w:iCs/>
          <w:sz w:val="24"/>
        </w:rPr>
        <w:t>以</w:t>
      </w:r>
      <w:r>
        <w:rPr>
          <w:rFonts w:hint="eastAsia" w:eastAsiaTheme="minorEastAsia"/>
          <w:iCs/>
          <w:sz w:val="24"/>
        </w:rPr>
        <w:t>水生</w:t>
      </w:r>
      <w:r>
        <w:rPr>
          <w:rFonts w:eastAsiaTheme="minorEastAsia"/>
          <w:iCs/>
          <w:sz w:val="24"/>
        </w:rPr>
        <w:t>生物核心代谢途径为主线，解析其生理生化基础及关键组分的结构与功能，</w:t>
      </w:r>
      <w:r>
        <w:rPr>
          <w:rFonts w:hint="eastAsia" w:eastAsiaTheme="minorEastAsia"/>
          <w:iCs/>
          <w:sz w:val="24"/>
        </w:rPr>
        <w:t>明晰水生</w:t>
      </w:r>
      <w:r>
        <w:rPr>
          <w:rFonts w:eastAsiaTheme="minorEastAsia"/>
          <w:iCs/>
          <w:sz w:val="24"/>
        </w:rPr>
        <w:t>生物代谢网络特征及调控机制</w:t>
      </w:r>
      <w:r>
        <w:rPr>
          <w:rFonts w:hint="eastAsia" w:eastAsiaTheme="minorEastAsia"/>
          <w:iCs/>
          <w:sz w:val="24"/>
        </w:rPr>
        <w:t>；立足京津冀区域，在内陆水域、环渤海海岸带和渤海海域等开展水生浮游生物、底栖生物及鱼类多样性的研究，建立生态模型，进行退化水生生态系统生态修复的技术研发工作。本专业对于深入认识水生生物的生命活动规律，开发水生生物资源以及维护水域生态系统平衡等，均具有重要的理论和实践意义。</w:t>
      </w:r>
    </w:p>
    <w:p w14:paraId="4D08E6E6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14:paraId="698EEF80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方向一</w:t>
      </w:r>
      <w:r>
        <w:rPr>
          <w:rFonts w:hint="eastAsia" w:eastAsiaTheme="minorEastAsia"/>
          <w:iCs/>
          <w:sz w:val="24"/>
        </w:rPr>
        <w:t>：水生</w:t>
      </w:r>
      <w:r>
        <w:rPr>
          <w:rFonts w:eastAsiaTheme="minorEastAsia"/>
          <w:iCs/>
          <w:sz w:val="24"/>
        </w:rPr>
        <w:t>生物遗传基础与资源</w:t>
      </w:r>
      <w:r>
        <w:rPr>
          <w:rFonts w:hint="eastAsia" w:eastAsiaTheme="minorEastAsia"/>
          <w:iCs/>
          <w:sz w:val="24"/>
        </w:rPr>
        <w:t>利用</w:t>
      </w:r>
    </w:p>
    <w:p w14:paraId="2B86FB8F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研究</w:t>
      </w:r>
      <w:r>
        <w:rPr>
          <w:rFonts w:hint="eastAsia" w:eastAsiaTheme="minorEastAsia"/>
          <w:iCs/>
          <w:sz w:val="24"/>
        </w:rPr>
        <w:t>水生</w:t>
      </w:r>
      <w:r>
        <w:rPr>
          <w:rFonts w:eastAsiaTheme="minorEastAsia"/>
          <w:iCs/>
          <w:sz w:val="24"/>
        </w:rPr>
        <w:t>生物重要经济性状</w:t>
      </w:r>
      <w:r>
        <w:rPr>
          <w:rFonts w:hint="eastAsia" w:eastAsiaTheme="minorEastAsia"/>
          <w:iCs/>
          <w:sz w:val="24"/>
        </w:rPr>
        <w:t>形成</w:t>
      </w:r>
      <w:r>
        <w:rPr>
          <w:rFonts w:eastAsiaTheme="minorEastAsia"/>
          <w:iCs/>
          <w:sz w:val="24"/>
        </w:rPr>
        <w:t>的遗传学基础和调控规律，</w:t>
      </w:r>
      <w:r>
        <w:rPr>
          <w:rFonts w:hint="eastAsia" w:eastAsiaTheme="minorEastAsia"/>
          <w:iCs/>
          <w:sz w:val="24"/>
        </w:rPr>
        <w:t>构筑水产</w:t>
      </w:r>
      <w:r>
        <w:rPr>
          <w:rFonts w:eastAsiaTheme="minorEastAsia"/>
          <w:iCs/>
          <w:sz w:val="24"/>
        </w:rPr>
        <w:t>养殖优良种质创制的技术平台，为优良种质创制提供前沿理论和技术。主要研究内容包括：重要</w:t>
      </w:r>
      <w:r>
        <w:rPr>
          <w:rFonts w:hint="eastAsia" w:eastAsiaTheme="minorEastAsia"/>
          <w:iCs/>
          <w:sz w:val="24"/>
        </w:rPr>
        <w:t>水生</w:t>
      </w:r>
      <w:r>
        <w:rPr>
          <w:rFonts w:eastAsiaTheme="minorEastAsia"/>
          <w:iCs/>
          <w:sz w:val="24"/>
        </w:rPr>
        <w:t>生物</w:t>
      </w:r>
      <w:r>
        <w:rPr>
          <w:rFonts w:hint="eastAsia" w:eastAsiaTheme="minorEastAsia"/>
          <w:iCs/>
          <w:sz w:val="24"/>
        </w:rPr>
        <w:t>多</w:t>
      </w:r>
      <w:r>
        <w:rPr>
          <w:rFonts w:eastAsiaTheme="minorEastAsia"/>
          <w:iCs/>
          <w:sz w:val="24"/>
        </w:rPr>
        <w:t>组学</w:t>
      </w:r>
      <w:r>
        <w:rPr>
          <w:rFonts w:hint="eastAsia" w:eastAsiaTheme="minorEastAsia"/>
          <w:iCs/>
          <w:sz w:val="24"/>
        </w:rPr>
        <w:t>（基因组、转录组、蛋白质组、代谢组、宏基因组等）研究、水生</w:t>
      </w:r>
      <w:r>
        <w:rPr>
          <w:rFonts w:eastAsiaTheme="minorEastAsia"/>
          <w:iCs/>
          <w:sz w:val="24"/>
        </w:rPr>
        <w:t>生物繁殖规律与调控</w:t>
      </w:r>
      <w:r>
        <w:rPr>
          <w:rFonts w:hint="eastAsia" w:eastAsiaTheme="minorEastAsia"/>
          <w:iCs/>
          <w:sz w:val="24"/>
        </w:rPr>
        <w:t>机理、水生</w:t>
      </w:r>
      <w:r>
        <w:rPr>
          <w:rFonts w:eastAsiaTheme="minorEastAsia"/>
          <w:iCs/>
          <w:sz w:val="24"/>
        </w:rPr>
        <w:t>生物性别决定</w:t>
      </w:r>
      <w:r>
        <w:rPr>
          <w:rFonts w:hint="eastAsia" w:eastAsiaTheme="minorEastAsia"/>
          <w:iCs/>
          <w:sz w:val="24"/>
        </w:rPr>
        <w:t>与</w:t>
      </w:r>
      <w:r>
        <w:rPr>
          <w:rFonts w:eastAsiaTheme="minorEastAsia"/>
          <w:iCs/>
          <w:sz w:val="24"/>
        </w:rPr>
        <w:t>分化机制及</w:t>
      </w:r>
      <w:r>
        <w:rPr>
          <w:rFonts w:hint="eastAsia" w:eastAsiaTheme="minorEastAsia"/>
          <w:iCs/>
          <w:sz w:val="24"/>
        </w:rPr>
        <w:t>人工</w:t>
      </w:r>
      <w:r>
        <w:rPr>
          <w:rFonts w:eastAsiaTheme="minorEastAsia"/>
          <w:iCs/>
          <w:sz w:val="24"/>
        </w:rPr>
        <w:t>控制途径</w:t>
      </w:r>
      <w:r>
        <w:rPr>
          <w:rFonts w:hint="eastAsia" w:eastAsiaTheme="minorEastAsia"/>
          <w:iCs/>
          <w:sz w:val="24"/>
        </w:rPr>
        <w:t>、水生</w:t>
      </w:r>
      <w:r>
        <w:rPr>
          <w:rFonts w:eastAsiaTheme="minorEastAsia"/>
          <w:iCs/>
          <w:sz w:val="24"/>
        </w:rPr>
        <w:t>生物</w:t>
      </w:r>
      <w:r>
        <w:rPr>
          <w:rFonts w:hint="eastAsia" w:eastAsiaTheme="minorEastAsia"/>
          <w:iCs/>
          <w:sz w:val="24"/>
        </w:rPr>
        <w:t>优良</w:t>
      </w:r>
      <w:r>
        <w:rPr>
          <w:rFonts w:eastAsiaTheme="minorEastAsia"/>
          <w:iCs/>
          <w:sz w:val="24"/>
        </w:rPr>
        <w:t>性状</w:t>
      </w:r>
      <w:r>
        <w:rPr>
          <w:rFonts w:hint="eastAsia" w:eastAsiaTheme="minorEastAsia"/>
          <w:iCs/>
          <w:sz w:val="24"/>
        </w:rPr>
        <w:t>形成</w:t>
      </w:r>
      <w:r>
        <w:rPr>
          <w:rFonts w:eastAsiaTheme="minorEastAsia"/>
          <w:iCs/>
          <w:sz w:val="24"/>
        </w:rPr>
        <w:t>的遗传学基础及</w:t>
      </w:r>
      <w:r>
        <w:rPr>
          <w:rFonts w:hint="eastAsia" w:eastAsiaTheme="minorEastAsia"/>
          <w:iCs/>
          <w:sz w:val="24"/>
        </w:rPr>
        <w:t>其与养殖环境的互作、水生</w:t>
      </w:r>
      <w:r>
        <w:rPr>
          <w:rFonts w:eastAsiaTheme="minorEastAsia"/>
          <w:iCs/>
          <w:sz w:val="24"/>
        </w:rPr>
        <w:t>生物遗传操作关键技术</w:t>
      </w:r>
      <w:r>
        <w:rPr>
          <w:rFonts w:hint="eastAsia" w:eastAsiaTheme="minorEastAsia"/>
          <w:iCs/>
          <w:sz w:val="24"/>
        </w:rPr>
        <w:t>的研发以及水产</w:t>
      </w:r>
      <w:r>
        <w:rPr>
          <w:rFonts w:eastAsiaTheme="minorEastAsia"/>
          <w:iCs/>
          <w:sz w:val="24"/>
        </w:rPr>
        <w:t>新品种的分子设计</w:t>
      </w:r>
      <w:r>
        <w:rPr>
          <w:rFonts w:hint="eastAsia" w:eastAsiaTheme="minorEastAsia"/>
          <w:iCs/>
          <w:sz w:val="24"/>
        </w:rPr>
        <w:t>育种等。</w:t>
      </w:r>
    </w:p>
    <w:p w14:paraId="746D72AA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hint="eastAsia" w:eastAsiaTheme="minorEastAsia"/>
          <w:iCs/>
          <w:sz w:val="24"/>
        </w:rPr>
        <w:t>方向二：水生生物生理生化过程</w:t>
      </w:r>
      <w:r>
        <w:rPr>
          <w:rFonts w:eastAsiaTheme="minorEastAsia"/>
          <w:iCs/>
          <w:sz w:val="24"/>
        </w:rPr>
        <w:t>与调控</w:t>
      </w:r>
    </w:p>
    <w:p w14:paraId="25D4DC2B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以</w:t>
      </w:r>
      <w:r>
        <w:rPr>
          <w:rFonts w:hint="eastAsia" w:eastAsiaTheme="minorEastAsia"/>
          <w:iCs/>
          <w:sz w:val="24"/>
        </w:rPr>
        <w:t>水生</w:t>
      </w:r>
      <w:r>
        <w:rPr>
          <w:rFonts w:eastAsiaTheme="minorEastAsia"/>
          <w:iCs/>
          <w:sz w:val="24"/>
        </w:rPr>
        <w:t>生物核心代谢途径为主线，解析其生理生化基础及关键组分的结构与功能，</w:t>
      </w:r>
      <w:r>
        <w:rPr>
          <w:rFonts w:hint="eastAsia" w:eastAsiaTheme="minorEastAsia"/>
          <w:iCs/>
          <w:sz w:val="24"/>
        </w:rPr>
        <w:t>明晰水生</w:t>
      </w:r>
      <w:r>
        <w:rPr>
          <w:rFonts w:eastAsiaTheme="minorEastAsia"/>
          <w:iCs/>
          <w:sz w:val="24"/>
        </w:rPr>
        <w:t>生物代谢网络特征及调控机制</w:t>
      </w:r>
      <w:r>
        <w:rPr>
          <w:rFonts w:hint="eastAsia" w:eastAsiaTheme="minorEastAsia"/>
          <w:iCs/>
          <w:sz w:val="24"/>
        </w:rPr>
        <w:t>。</w:t>
      </w:r>
      <w:r>
        <w:rPr>
          <w:rFonts w:eastAsiaTheme="minorEastAsia"/>
          <w:iCs/>
          <w:sz w:val="24"/>
        </w:rPr>
        <w:t>主要研究内容包括：</w:t>
      </w:r>
      <w:r>
        <w:rPr>
          <w:rFonts w:hint="eastAsia" w:eastAsiaTheme="minorEastAsia"/>
          <w:iCs/>
          <w:sz w:val="24"/>
        </w:rPr>
        <w:t>重要污染物（重金属、农药与微塑料等）对水生生物的</w:t>
      </w:r>
      <w:r>
        <w:rPr>
          <w:rFonts w:eastAsiaTheme="minorEastAsia"/>
          <w:iCs/>
          <w:sz w:val="24"/>
        </w:rPr>
        <w:t>毒理学影响</w:t>
      </w:r>
      <w:r>
        <w:rPr>
          <w:rFonts w:hint="eastAsia" w:eastAsiaTheme="minorEastAsia"/>
          <w:iCs/>
          <w:sz w:val="24"/>
        </w:rPr>
        <w:t>、水生生物关键代谢过程与调控、水生生物活性物质的发现与应用、水生生物对</w:t>
      </w:r>
      <w:r>
        <w:rPr>
          <w:rFonts w:eastAsiaTheme="minorEastAsia"/>
          <w:iCs/>
          <w:sz w:val="24"/>
        </w:rPr>
        <w:t>病原感染免疫应答机理</w:t>
      </w:r>
      <w:r>
        <w:rPr>
          <w:rFonts w:hint="eastAsia" w:eastAsiaTheme="minorEastAsia"/>
          <w:iCs/>
          <w:sz w:val="24"/>
        </w:rPr>
        <w:t>及其免疫防御机制、水生</w:t>
      </w:r>
      <w:r>
        <w:rPr>
          <w:rFonts w:eastAsiaTheme="minorEastAsia"/>
          <w:iCs/>
          <w:sz w:val="24"/>
        </w:rPr>
        <w:t>生物与环境的相互作用以及环境适应的生理生化机制</w:t>
      </w:r>
      <w:r>
        <w:rPr>
          <w:rFonts w:hint="eastAsia" w:eastAsiaTheme="minorEastAsia"/>
          <w:iCs/>
          <w:sz w:val="24"/>
        </w:rPr>
        <w:t>。</w:t>
      </w:r>
    </w:p>
    <w:p w14:paraId="720F3390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hint="eastAsia" w:eastAsiaTheme="minorEastAsia"/>
          <w:iCs/>
          <w:sz w:val="24"/>
        </w:rPr>
        <w:t>方向三：水生生物多样性与生态保护</w:t>
      </w:r>
    </w:p>
    <w:p w14:paraId="4C3A0243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hint="eastAsia" w:eastAsiaTheme="minorEastAsia"/>
          <w:iCs/>
          <w:sz w:val="24"/>
        </w:rPr>
        <w:t>立足京津冀区域，在内陆水域、环渤海海岸带和渤海海域等开展水生浮游生物、底栖生物及鱼类多样性的研究，建立生态模型，进行退化水生生态系统生态修复的技术研发工作。</w:t>
      </w:r>
      <w:r>
        <w:rPr>
          <w:rFonts w:eastAsiaTheme="minorEastAsia"/>
          <w:iCs/>
          <w:sz w:val="24"/>
        </w:rPr>
        <w:t>主要研究内容包括：</w:t>
      </w:r>
      <w:r>
        <w:rPr>
          <w:rFonts w:hint="eastAsia" w:eastAsiaTheme="minorEastAsia"/>
          <w:iCs/>
          <w:sz w:val="24"/>
        </w:rPr>
        <w:t>水生</w:t>
      </w:r>
      <w:r>
        <w:rPr>
          <w:rFonts w:eastAsiaTheme="minorEastAsia"/>
          <w:iCs/>
          <w:sz w:val="24"/>
        </w:rPr>
        <w:t>生物多样性及其保护利用</w:t>
      </w:r>
      <w:r>
        <w:rPr>
          <w:rFonts w:hint="eastAsia" w:eastAsiaTheme="minorEastAsia"/>
          <w:iCs/>
          <w:sz w:val="24"/>
        </w:rPr>
        <w:t>、水生生物分类理论与方法、水生生物</w:t>
      </w:r>
      <w:r>
        <w:rPr>
          <w:rFonts w:eastAsiaTheme="minorEastAsia"/>
          <w:iCs/>
          <w:sz w:val="24"/>
        </w:rPr>
        <w:t>区系分类及系统演化</w:t>
      </w:r>
      <w:r>
        <w:rPr>
          <w:rFonts w:hint="eastAsia" w:eastAsiaTheme="minorEastAsia"/>
          <w:iCs/>
          <w:sz w:val="24"/>
        </w:rPr>
        <w:t>、</w:t>
      </w:r>
      <w:r>
        <w:rPr>
          <w:rFonts w:eastAsiaTheme="minorEastAsia"/>
          <w:iCs/>
          <w:sz w:val="24"/>
        </w:rPr>
        <w:t>气候变化</w:t>
      </w:r>
      <w:r>
        <w:rPr>
          <w:rFonts w:hint="eastAsia" w:eastAsiaTheme="minorEastAsia"/>
          <w:iCs/>
          <w:sz w:val="24"/>
        </w:rPr>
        <w:t>与</w:t>
      </w:r>
      <w:r>
        <w:rPr>
          <w:rFonts w:eastAsiaTheme="minorEastAsia"/>
          <w:iCs/>
          <w:sz w:val="24"/>
        </w:rPr>
        <w:t>人类活动</w:t>
      </w:r>
      <w:r>
        <w:rPr>
          <w:rFonts w:hint="eastAsia" w:eastAsiaTheme="minorEastAsia"/>
          <w:iCs/>
          <w:sz w:val="24"/>
        </w:rPr>
        <w:t>对水生</w:t>
      </w:r>
      <w:r>
        <w:rPr>
          <w:rFonts w:eastAsiaTheme="minorEastAsia"/>
          <w:iCs/>
          <w:sz w:val="24"/>
        </w:rPr>
        <w:t>生物多样性的</w:t>
      </w:r>
      <w:r>
        <w:rPr>
          <w:rFonts w:hint="eastAsia" w:eastAsiaTheme="minorEastAsia"/>
          <w:iCs/>
          <w:sz w:val="24"/>
        </w:rPr>
        <w:t>影响</w:t>
      </w:r>
      <w:r>
        <w:rPr>
          <w:rFonts w:eastAsiaTheme="minorEastAsia"/>
          <w:iCs/>
          <w:sz w:val="24"/>
        </w:rPr>
        <w:t>及分子机制</w:t>
      </w:r>
      <w:r>
        <w:rPr>
          <w:rFonts w:hint="eastAsia" w:eastAsiaTheme="minorEastAsia"/>
          <w:iCs/>
          <w:sz w:val="24"/>
        </w:rPr>
        <w:t>、生态模型的构建及退化水生生态系统生态修复技术的研发等。</w:t>
      </w:r>
    </w:p>
    <w:p w14:paraId="6875B45B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14:paraId="0694F61B">
      <w:pPr>
        <w:spacing w:line="440" w:lineRule="exact"/>
        <w:ind w:firstLine="480" w:firstLineChars="200"/>
        <w:rPr>
          <w:rFonts w:eastAsiaTheme="minorEastAsia"/>
          <w:i/>
          <w:sz w:val="24"/>
        </w:rPr>
      </w:pPr>
      <w:r>
        <w:rPr>
          <w:rFonts w:eastAsiaTheme="minorEastAsia"/>
          <w:sz w:val="24"/>
        </w:rPr>
        <w:t>本专业学制为3年，在校最长</w:t>
      </w:r>
      <w:r>
        <w:rPr>
          <w:rFonts w:eastAsiaTheme="minorEastAsia"/>
          <w:iCs/>
          <w:sz w:val="24"/>
        </w:rPr>
        <w:t>学习</w:t>
      </w:r>
      <w:r>
        <w:rPr>
          <w:rFonts w:eastAsiaTheme="minorEastAsia"/>
          <w:sz w:val="24"/>
        </w:rPr>
        <w:t>年限（含休学）不超过6年。</w:t>
      </w:r>
    </w:p>
    <w:p w14:paraId="1BB224A1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14:paraId="1C33FE85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1. 树立正确的中国特色社会主义核心价值观，具有坚定的理想信念，高尚的道德情操，优良的学术作风，高度的社会</w:t>
      </w:r>
      <w:r>
        <w:rPr>
          <w:bCs/>
          <w:kern w:val="0"/>
          <w:sz w:val="24"/>
        </w:rPr>
        <w:t>责任感</w:t>
      </w:r>
      <w:r>
        <w:rPr>
          <w:rFonts w:eastAsiaTheme="minorEastAsia"/>
          <w:iCs/>
          <w:sz w:val="24"/>
        </w:rPr>
        <w:t>。</w:t>
      </w:r>
    </w:p>
    <w:p w14:paraId="11B7F97A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2. 在本学科或者专业领域掌握坚实的基础理论和系统的专门知识；具有从事学术研究工作的能力。</w:t>
      </w:r>
    </w:p>
    <w:p w14:paraId="59EA89E5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3. 至少掌握一门外国语，能熟练阅读本专业的外文资料，具有撰写学术论文和进行国际学术交流的</w:t>
      </w:r>
      <w:r>
        <w:rPr>
          <w:bCs/>
          <w:kern w:val="0"/>
          <w:sz w:val="24"/>
        </w:rPr>
        <w:t>能力</w:t>
      </w:r>
      <w:r>
        <w:rPr>
          <w:rFonts w:eastAsiaTheme="minorEastAsia"/>
          <w:iCs/>
          <w:sz w:val="24"/>
        </w:rPr>
        <w:t>。</w:t>
      </w:r>
    </w:p>
    <w:p w14:paraId="15B90876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4. 具有良好的团队意识和团队合作精神。</w:t>
      </w:r>
    </w:p>
    <w:p w14:paraId="76864A6A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5. 具有良好的心理素养</w:t>
      </w:r>
      <w:r>
        <w:rPr>
          <w:rFonts w:hint="eastAsia" w:eastAsiaTheme="minorEastAsia"/>
          <w:iCs/>
          <w:sz w:val="24"/>
        </w:rPr>
        <w:t>和</w:t>
      </w:r>
      <w:r>
        <w:rPr>
          <w:rFonts w:hint="eastAsia"/>
          <w:bCs/>
          <w:kern w:val="0"/>
          <w:sz w:val="24"/>
        </w:rPr>
        <w:t>健康</w:t>
      </w:r>
      <w:r>
        <w:rPr>
          <w:rFonts w:hint="eastAsia" w:eastAsiaTheme="minorEastAsia"/>
          <w:iCs/>
          <w:sz w:val="24"/>
        </w:rPr>
        <w:t>的体魄</w:t>
      </w:r>
      <w:r>
        <w:rPr>
          <w:rFonts w:eastAsiaTheme="minorEastAsia"/>
          <w:iCs/>
          <w:sz w:val="24"/>
        </w:rPr>
        <w:t>。</w:t>
      </w:r>
    </w:p>
    <w:p w14:paraId="18E1C384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6. 培养德智体美劳全面发展的社会主义事业接班人。</w:t>
      </w:r>
    </w:p>
    <w:p w14:paraId="28164DEF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14:paraId="7AB89F64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rFonts w:hint="eastAsia" w:eastAsiaTheme="minorEastAsia"/>
          <w:iCs/>
          <w:sz w:val="24"/>
        </w:rPr>
        <w:t>全日制。</w:t>
      </w:r>
    </w:p>
    <w:p w14:paraId="624FFD85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bCs/>
          <w:iCs/>
          <w:sz w:val="24"/>
        </w:rPr>
      </w:pPr>
      <w:r>
        <w:rPr>
          <w:rFonts w:asciiTheme="minorEastAsia" w:hAnsiTheme="minorEastAsia" w:eastAsiaTheme="minorEastAsia"/>
          <w:bCs/>
          <w:iCs/>
          <w:sz w:val="24"/>
        </w:rPr>
        <w:t>包括</w:t>
      </w:r>
      <w:r>
        <w:rPr>
          <w:rFonts w:hint="eastAsia" w:asciiTheme="minorEastAsia" w:hAnsiTheme="minorEastAsia" w:eastAsiaTheme="minorEastAsia"/>
          <w:bCs/>
          <w:iCs/>
          <w:sz w:val="24"/>
        </w:rPr>
        <w:t>课程学习、科研训练、论文撰写和答辩等多个</w:t>
      </w:r>
      <w:r>
        <w:rPr>
          <w:rFonts w:asciiTheme="minorEastAsia" w:hAnsiTheme="minorEastAsia" w:eastAsiaTheme="minorEastAsia"/>
          <w:bCs/>
          <w:iCs/>
          <w:sz w:val="24"/>
        </w:rPr>
        <w:t>方面</w:t>
      </w:r>
      <w:r>
        <w:rPr>
          <w:rFonts w:hint="eastAsia" w:asciiTheme="minorEastAsia" w:hAnsiTheme="minorEastAsia" w:eastAsiaTheme="minorEastAsia"/>
          <w:bCs/>
          <w:iCs/>
          <w:sz w:val="24"/>
        </w:rPr>
        <w:t>。</w:t>
      </w:r>
    </w:p>
    <w:p w14:paraId="31BDBE58">
      <w:pPr>
        <w:spacing w:line="440" w:lineRule="exact"/>
        <w:ind w:firstLine="482" w:firstLineChars="200"/>
        <w:rPr>
          <w:rFonts w:hint="eastAsia" w:asciiTheme="minorEastAsia" w:hAnsiTheme="minorEastAsia" w:eastAsiaTheme="minorEastAsia"/>
          <w:b/>
          <w:bCs/>
          <w:iCs/>
          <w:sz w:val="24"/>
        </w:rPr>
      </w:pPr>
      <w:r>
        <w:rPr>
          <w:rFonts w:hint="eastAsia" w:asciiTheme="minorEastAsia" w:hAnsiTheme="minorEastAsia" w:eastAsiaTheme="minorEastAsia"/>
          <w:b/>
          <w:bCs/>
          <w:iCs/>
          <w:sz w:val="24"/>
        </w:rPr>
        <w:t>（一）课程学习</w:t>
      </w:r>
    </w:p>
    <w:p w14:paraId="573C0671">
      <w:pPr>
        <w:spacing w:line="440" w:lineRule="exact"/>
        <w:ind w:firstLine="480" w:firstLineChars="200"/>
        <w:rPr>
          <w:rFonts w:asciiTheme="minorEastAsia" w:hAnsiTheme="minorEastAsia" w:eastAsiaTheme="minorEastAsia"/>
          <w:iCs/>
          <w:sz w:val="24"/>
        </w:rPr>
      </w:pPr>
      <w:r>
        <w:rPr>
          <w:rFonts w:hint="eastAsia" w:asciiTheme="minorEastAsia" w:hAnsiTheme="minorEastAsia" w:eastAsiaTheme="minorEastAsia"/>
          <w:iCs/>
          <w:sz w:val="24"/>
        </w:rPr>
        <w:t>1. 专业课程：精心设置涵盖水生生物学前沿理论与核心知识的专业课程体系。除</w:t>
      </w:r>
      <w:bookmarkStart w:id="0" w:name="OLE_LINK8"/>
      <w:r>
        <w:rPr>
          <w:rFonts w:hint="eastAsia" w:asciiTheme="minorEastAsia" w:hAnsiTheme="minorEastAsia" w:eastAsiaTheme="minorEastAsia"/>
          <w:iCs/>
          <w:sz w:val="24"/>
        </w:rPr>
        <w:t>生态与环境科学</w:t>
      </w:r>
      <w:bookmarkEnd w:id="0"/>
      <w:r>
        <w:rPr>
          <w:rFonts w:hint="eastAsia" w:asciiTheme="minorEastAsia" w:hAnsiTheme="minorEastAsia" w:eastAsiaTheme="minorEastAsia"/>
          <w:iCs/>
          <w:sz w:val="24"/>
        </w:rPr>
        <w:t>（核心课程）、生物信息学理论与实践等经典核心课程外，增设如水生生物学、分子生物学、基因组学、水产动物遗传育种学、生物化学等选修课程。课程内容紧密跟踪国际学科发展趋势，邀请国内外知名专家参与授课或举办专题讲座，使学生深入理解水生生物学专业知识体系，精准把握学科前沿动态，为科研工作奠定坚实理论基础。</w:t>
      </w:r>
    </w:p>
    <w:p w14:paraId="34CFFA0A">
      <w:pPr>
        <w:spacing w:line="440" w:lineRule="exact"/>
        <w:ind w:firstLine="480" w:firstLineChars="200"/>
        <w:rPr>
          <w:rFonts w:asciiTheme="minorEastAsia" w:hAnsiTheme="minorEastAsia" w:eastAsiaTheme="minorEastAsia"/>
          <w:iCs/>
          <w:sz w:val="24"/>
        </w:rPr>
      </w:pPr>
      <w:r>
        <w:rPr>
          <w:rFonts w:hint="eastAsia" w:asciiTheme="minorEastAsia" w:hAnsiTheme="minorEastAsia" w:eastAsiaTheme="minorEastAsia"/>
          <w:iCs/>
          <w:sz w:val="24"/>
        </w:rPr>
        <w:t>2. 跨学科课程：鉴于水生生物学与多学科交叉融合的发展趋势，开设丰富多样的跨学科课程，如基因组学、生态与环境科学等。通过跨学科课程学习，打破学科壁垒，培养学生运用多学科思维和方法解决生物学问题的能力。鼓励学生参与跨学科科研项目和学术交流活动，促进不同学科知识的深度融合与创新应用。</w:t>
      </w:r>
    </w:p>
    <w:p w14:paraId="29B81512">
      <w:pPr>
        <w:spacing w:line="440" w:lineRule="exact"/>
        <w:ind w:firstLine="480" w:firstLineChars="200"/>
        <w:rPr>
          <w:rFonts w:hint="eastAsia" w:asciiTheme="minorEastAsia" w:hAnsiTheme="minorEastAsia" w:eastAsiaTheme="minorEastAsia"/>
          <w:iCs/>
          <w:sz w:val="24"/>
        </w:rPr>
      </w:pPr>
      <w:r>
        <w:rPr>
          <w:rFonts w:hint="eastAsia" w:asciiTheme="minorEastAsia" w:hAnsiTheme="minorEastAsia" w:eastAsiaTheme="minorEastAsia"/>
          <w:iCs/>
          <w:sz w:val="24"/>
        </w:rPr>
        <w:t>3. 外语课程：强化外语课程建设，开设学术英语阅读、写作、口语表达等课程。定期邀请国外专家来校讲学，营造浓厚的国际化学习氛围。</w:t>
      </w:r>
    </w:p>
    <w:p w14:paraId="160D194D">
      <w:pPr>
        <w:spacing w:line="440" w:lineRule="exact"/>
        <w:ind w:firstLine="482" w:firstLineChars="200"/>
        <w:rPr>
          <w:rFonts w:hint="eastAsia" w:asciiTheme="minorEastAsia" w:hAnsiTheme="minorEastAsia" w:eastAsiaTheme="minorEastAsia"/>
          <w:b/>
          <w:bCs/>
          <w:iCs/>
          <w:sz w:val="24"/>
        </w:rPr>
      </w:pPr>
      <w:r>
        <w:rPr>
          <w:rFonts w:hint="eastAsia" w:asciiTheme="minorEastAsia" w:hAnsiTheme="minorEastAsia" w:eastAsiaTheme="minorEastAsia"/>
          <w:b/>
          <w:bCs/>
          <w:iCs/>
          <w:sz w:val="24"/>
        </w:rPr>
        <w:t>（二）科研训练</w:t>
      </w:r>
    </w:p>
    <w:p w14:paraId="0F905693">
      <w:pPr>
        <w:spacing w:line="440" w:lineRule="exact"/>
        <w:ind w:firstLine="480" w:firstLineChars="200"/>
        <w:rPr>
          <w:rFonts w:asciiTheme="minorEastAsia" w:hAnsiTheme="minorEastAsia" w:eastAsiaTheme="minorEastAsia"/>
          <w:iCs/>
          <w:sz w:val="24"/>
        </w:rPr>
      </w:pPr>
      <w:r>
        <w:rPr>
          <w:rFonts w:hint="eastAsia" w:asciiTheme="minorEastAsia" w:hAnsiTheme="minorEastAsia" w:eastAsiaTheme="minorEastAsia"/>
          <w:iCs/>
          <w:sz w:val="24"/>
        </w:rPr>
        <w:t>1. 参与课题研究：研究生入学后即加入导师团队，深度参与科研项目。在导师指导下，学生从项目选题、实验设计、数据采集与分析到结果讨论与论文撰写，全程独立开展科研工作，培养科研实践能力、创新思维和独立解决问题的能力。鼓励学生参与国家级和省部级科研项目，在高水平科研实践中提升科研素养和竞争力。</w:t>
      </w:r>
    </w:p>
    <w:p w14:paraId="14B81F36">
      <w:pPr>
        <w:spacing w:line="440" w:lineRule="exact"/>
        <w:ind w:firstLine="480" w:firstLineChars="200"/>
        <w:rPr>
          <w:rFonts w:asciiTheme="minorEastAsia" w:hAnsiTheme="minorEastAsia" w:eastAsiaTheme="minorEastAsia"/>
          <w:iCs/>
          <w:sz w:val="24"/>
        </w:rPr>
      </w:pPr>
      <w:r>
        <w:rPr>
          <w:rFonts w:hint="eastAsia" w:asciiTheme="minorEastAsia" w:hAnsiTheme="minorEastAsia" w:eastAsiaTheme="minorEastAsia"/>
          <w:iCs/>
          <w:sz w:val="24"/>
        </w:rPr>
        <w:t>2. 学术交流：积极支持学生参加国内外高水平学术会议、研讨会和学术讲座，拓宽学术视野，了解学科最新研究进展和发展趋势。定期举办校内学术论坛，为学生提供学术交流平台，促进不同研究方向学生之间的思想碰撞与合作。</w:t>
      </w:r>
    </w:p>
    <w:p w14:paraId="0EF1F028">
      <w:pPr>
        <w:spacing w:line="440" w:lineRule="exact"/>
        <w:ind w:firstLine="480" w:firstLineChars="200"/>
        <w:rPr>
          <w:rFonts w:hint="eastAsia" w:asciiTheme="minorEastAsia" w:hAnsiTheme="minorEastAsia" w:eastAsiaTheme="minorEastAsia"/>
          <w:iCs/>
          <w:sz w:val="24"/>
        </w:rPr>
      </w:pPr>
      <w:r>
        <w:rPr>
          <w:rFonts w:hint="eastAsia" w:asciiTheme="minorEastAsia" w:hAnsiTheme="minorEastAsia" w:eastAsiaTheme="minorEastAsia"/>
          <w:iCs/>
          <w:sz w:val="24"/>
        </w:rPr>
        <w:t>3. 学术规范与道德培养：将学术规范与道德教育贯穿于培养全过程。通过开设专门课程、举办学术道德讲座、组织案例分析讨论等方式，使学生深刻理解学术规范和道德准则，掌握正确的文献引用、数据处理和学术论文撰写方法，坚决杜绝抄袭、剽窃等学术不端行为，树立良好的学术道德观念。</w:t>
      </w:r>
    </w:p>
    <w:p w14:paraId="7296EAFF">
      <w:pPr>
        <w:spacing w:line="440" w:lineRule="exact"/>
        <w:ind w:firstLine="482" w:firstLineChars="200"/>
        <w:rPr>
          <w:rFonts w:hint="eastAsia" w:asciiTheme="minorEastAsia" w:hAnsiTheme="minorEastAsia" w:eastAsiaTheme="minorEastAsia"/>
          <w:b/>
          <w:bCs/>
          <w:iCs/>
          <w:sz w:val="24"/>
        </w:rPr>
      </w:pPr>
      <w:r>
        <w:rPr>
          <w:rFonts w:hint="eastAsia" w:asciiTheme="minorEastAsia" w:hAnsiTheme="minorEastAsia" w:eastAsiaTheme="minorEastAsia"/>
          <w:b/>
          <w:bCs/>
          <w:iCs/>
          <w:sz w:val="24"/>
        </w:rPr>
        <w:t>（三）论文撰写与答辩</w:t>
      </w:r>
    </w:p>
    <w:p w14:paraId="7183A4A3">
      <w:pPr>
        <w:spacing w:line="440" w:lineRule="exact"/>
        <w:ind w:firstLine="480" w:firstLineChars="200"/>
        <w:rPr>
          <w:rFonts w:hint="eastAsia" w:eastAsiaTheme="minorEastAsia"/>
          <w:iCs/>
          <w:sz w:val="24"/>
        </w:rPr>
      </w:pPr>
      <w:r>
        <w:rPr>
          <w:rFonts w:hint="eastAsia" w:eastAsiaTheme="minorEastAsia"/>
          <w:iCs/>
          <w:sz w:val="24"/>
        </w:rPr>
        <w:t>在导师指导下，研究生独立完成学位论文的撰写。按照河北大学生命科学学院《关于研究生申请学位取得创新性成果的规定》（2025年4月30日），达到要求，参与学位论文的盲审，论文通过盲审，进入毕业答辩环节。</w:t>
      </w:r>
    </w:p>
    <w:p w14:paraId="17C7A9CE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七、中期筛选</w:t>
      </w:r>
    </w:p>
    <w:p w14:paraId="61C9FBA8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bookmarkStart w:id="1" w:name="_Toc59002625"/>
      <w:r>
        <w:rPr>
          <w:rFonts w:eastAsiaTheme="minorEastAsia"/>
          <w:bCs/>
          <w:sz w:val="24"/>
        </w:rPr>
        <w:t>在完成培养方案规定的课程学习、考核成绩合格、获得规定的学分后，</w:t>
      </w:r>
      <w:bookmarkEnd w:id="1"/>
      <w:r>
        <w:rPr>
          <w:rFonts w:eastAsiaTheme="minorEastAsia"/>
          <w:bCs/>
          <w:sz w:val="24"/>
        </w:rPr>
        <w:t>按照《河北大学研究生中期筛选管理办法》（校政字〔2021〕15号）的相关规定，组织开展中期筛选工作。</w:t>
      </w:r>
    </w:p>
    <w:p w14:paraId="1CC8423C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14:paraId="49A1C858">
      <w:pPr>
        <w:spacing w:line="440" w:lineRule="exact"/>
        <w:ind w:firstLine="480" w:firstLineChars="200"/>
        <w:rPr>
          <w:rFonts w:eastAsiaTheme="minorEastAsia"/>
          <w:iCs/>
          <w:sz w:val="24"/>
        </w:rPr>
      </w:pPr>
      <w:r>
        <w:rPr>
          <w:bCs/>
          <w:kern w:val="0"/>
          <w:sz w:val="24"/>
        </w:rPr>
        <w:t>1.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>总体要求：</w:t>
      </w:r>
      <w:r>
        <w:rPr>
          <w:kern w:val="0"/>
          <w:sz w:val="24"/>
        </w:rPr>
        <w:t>按照《河北大学关于开展2025版研究生培养方案修订工作的指导意见》（校政字</w:t>
      </w:r>
      <w:r>
        <w:rPr>
          <w:rFonts w:eastAsiaTheme="minorEastAsia"/>
          <w:bCs/>
          <w:sz w:val="24"/>
        </w:rPr>
        <w:t>〔2025〕</w:t>
      </w:r>
      <w:r>
        <w:rPr>
          <w:rFonts w:hint="eastAsia" w:eastAsiaTheme="minorEastAsia"/>
          <w:bCs/>
          <w:sz w:val="24"/>
        </w:rPr>
        <w:t>9</w:t>
      </w:r>
      <w:r>
        <w:rPr>
          <w:rFonts w:eastAsiaTheme="minorEastAsia"/>
          <w:bCs/>
          <w:sz w:val="24"/>
        </w:rPr>
        <w:t>号</w:t>
      </w:r>
      <w:r>
        <w:rPr>
          <w:kern w:val="0"/>
          <w:sz w:val="24"/>
        </w:rPr>
        <w:t>）规定，硕士研究生论文开题与答辩时间间隔原则上不少于12个月。</w:t>
      </w:r>
      <w:r>
        <w:rPr>
          <w:rFonts w:hint="eastAsia" w:eastAsiaTheme="minorEastAsia"/>
          <w:iCs/>
          <w:sz w:val="24"/>
        </w:rPr>
        <w:t>硕士研究生必须在导师指导下独立完成学位（毕业）论文。学位（毕业）论文应表明作者较好的掌握了本学科的基础理论、专门知识和基本技能，并取得一定水平的科研成果，不得抄袭和剽窃他人成果。学术硕士学位（毕业）论文的研究工作必须经过开题、中期进展、预答辩、评审、答辩等环节。</w:t>
      </w:r>
    </w:p>
    <w:p w14:paraId="5E8FBBEC">
      <w:pPr>
        <w:spacing w:line="440" w:lineRule="exact"/>
        <w:ind w:firstLine="480" w:firstLineChars="200"/>
        <w:rPr>
          <w:i/>
          <w:kern w:val="0"/>
          <w:sz w:val="18"/>
          <w:szCs w:val="18"/>
        </w:rPr>
      </w:pPr>
      <w:r>
        <w:rPr>
          <w:bCs/>
          <w:kern w:val="0"/>
          <w:sz w:val="24"/>
        </w:rPr>
        <w:t>2.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>开题：</w:t>
      </w:r>
      <w:r>
        <w:rPr>
          <w:iCs/>
          <w:kern w:val="0"/>
          <w:sz w:val="24"/>
        </w:rPr>
        <w:t>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  <w:r>
        <w:rPr>
          <w:rFonts w:hint="eastAsia"/>
          <w:iCs/>
          <w:kern w:val="0"/>
          <w:sz w:val="24"/>
        </w:rPr>
        <w:t>硕士研究生</w:t>
      </w:r>
      <w:r>
        <w:rPr>
          <w:iCs/>
          <w:kern w:val="0"/>
          <w:sz w:val="24"/>
        </w:rPr>
        <w:t>在入学后第3学期</w:t>
      </w:r>
      <w:r>
        <w:rPr>
          <w:rFonts w:hint="eastAsia"/>
          <w:iCs/>
          <w:kern w:val="0"/>
          <w:sz w:val="24"/>
        </w:rPr>
        <w:t>开学前</w:t>
      </w:r>
      <w:r>
        <w:rPr>
          <w:iCs/>
          <w:kern w:val="0"/>
          <w:sz w:val="24"/>
        </w:rPr>
        <w:t>（</w:t>
      </w:r>
      <w:r>
        <w:rPr>
          <w:rFonts w:hint="eastAsia"/>
          <w:iCs/>
          <w:kern w:val="0"/>
          <w:sz w:val="24"/>
        </w:rPr>
        <w:t>8月15日之前</w:t>
      </w:r>
      <w:r>
        <w:rPr>
          <w:iCs/>
          <w:kern w:val="0"/>
          <w:sz w:val="24"/>
        </w:rPr>
        <w:t>）完成开题</w:t>
      </w:r>
      <w:r>
        <w:rPr>
          <w:rFonts w:hint="eastAsia"/>
          <w:iCs/>
          <w:kern w:val="0"/>
          <w:sz w:val="24"/>
        </w:rPr>
        <w:t>；</w:t>
      </w:r>
      <w:r>
        <w:rPr>
          <w:iCs/>
          <w:kern w:val="0"/>
          <w:sz w:val="24"/>
        </w:rPr>
        <w:t>开题由</w:t>
      </w:r>
      <w:r>
        <w:rPr>
          <w:rFonts w:hint="eastAsia"/>
          <w:iCs/>
          <w:kern w:val="0"/>
          <w:sz w:val="24"/>
        </w:rPr>
        <w:t>至少</w:t>
      </w:r>
      <w:r>
        <w:rPr>
          <w:iCs/>
          <w:kern w:val="0"/>
          <w:sz w:val="24"/>
        </w:rPr>
        <w:t>3名具有高级专业技术职务人员</w:t>
      </w:r>
      <w:r>
        <w:rPr>
          <w:rFonts w:hint="eastAsia"/>
          <w:iCs/>
          <w:kern w:val="0"/>
          <w:sz w:val="24"/>
        </w:rPr>
        <w:t>（校外专家不少于1/3）</w:t>
      </w:r>
      <w:r>
        <w:rPr>
          <w:iCs/>
          <w:kern w:val="0"/>
          <w:sz w:val="24"/>
        </w:rPr>
        <w:t>参加</w:t>
      </w:r>
      <w:r>
        <w:rPr>
          <w:rFonts w:hint="eastAsia"/>
          <w:iCs/>
          <w:kern w:val="0"/>
          <w:sz w:val="24"/>
        </w:rPr>
        <w:t>，</w:t>
      </w:r>
      <w:r>
        <w:rPr>
          <w:iCs/>
          <w:kern w:val="0"/>
          <w:sz w:val="24"/>
        </w:rPr>
        <w:t>以学术报告的方式进行。</w:t>
      </w:r>
    </w:p>
    <w:p w14:paraId="4B293269">
      <w:pPr>
        <w:spacing w:line="440" w:lineRule="exact"/>
        <w:ind w:firstLine="480" w:firstLineChars="200"/>
        <w:rPr>
          <w:i/>
          <w:kern w:val="0"/>
          <w:sz w:val="24"/>
        </w:rPr>
      </w:pPr>
      <w:r>
        <w:rPr>
          <w:bCs/>
          <w:kern w:val="0"/>
          <w:sz w:val="24"/>
        </w:rPr>
        <w:t>3.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>中期进展报告：</w:t>
      </w:r>
      <w:r>
        <w:rPr>
          <w:iCs/>
          <w:kern w:val="0"/>
          <w:sz w:val="24"/>
        </w:rPr>
        <w:t>中期进展报告是检查研究生个人综合能力及学位论文进展、指导研究生把握学位（毕业）论文方向、提高学位（毕业）论文质量的必要环节。中期进展报告在入学后第5学期</w:t>
      </w:r>
      <w:r>
        <w:rPr>
          <w:rFonts w:hint="eastAsia"/>
          <w:iCs/>
          <w:kern w:val="0"/>
          <w:sz w:val="24"/>
        </w:rPr>
        <w:t>开学前</w:t>
      </w:r>
      <w:r>
        <w:rPr>
          <w:iCs/>
          <w:kern w:val="0"/>
          <w:sz w:val="24"/>
        </w:rPr>
        <w:t>（</w:t>
      </w:r>
      <w:r>
        <w:rPr>
          <w:rFonts w:hint="eastAsia"/>
          <w:iCs/>
          <w:kern w:val="0"/>
          <w:sz w:val="24"/>
        </w:rPr>
        <w:t>8月15日之前</w:t>
      </w:r>
      <w:r>
        <w:rPr>
          <w:iCs/>
          <w:kern w:val="0"/>
          <w:sz w:val="24"/>
        </w:rPr>
        <w:t>）</w:t>
      </w:r>
      <w:r>
        <w:rPr>
          <w:rFonts w:hint="eastAsia"/>
          <w:iCs/>
          <w:kern w:val="0"/>
          <w:sz w:val="24"/>
        </w:rPr>
        <w:t>完成</w:t>
      </w:r>
      <w:r>
        <w:rPr>
          <w:iCs/>
          <w:kern w:val="0"/>
          <w:sz w:val="24"/>
        </w:rPr>
        <w:t>；</w:t>
      </w:r>
      <w:r>
        <w:rPr>
          <w:bCs/>
          <w:kern w:val="0"/>
          <w:sz w:val="24"/>
        </w:rPr>
        <w:t>中期进展报告</w:t>
      </w:r>
      <w:bookmarkStart w:id="2" w:name="OLE_LINK4"/>
      <w:r>
        <w:rPr>
          <w:iCs/>
          <w:kern w:val="0"/>
          <w:sz w:val="24"/>
        </w:rPr>
        <w:t>由</w:t>
      </w:r>
      <w:r>
        <w:rPr>
          <w:rFonts w:hint="eastAsia"/>
          <w:iCs/>
          <w:kern w:val="0"/>
          <w:sz w:val="24"/>
        </w:rPr>
        <w:t>至少</w:t>
      </w:r>
      <w:r>
        <w:rPr>
          <w:iCs/>
          <w:kern w:val="0"/>
          <w:sz w:val="24"/>
        </w:rPr>
        <w:t>3名具有高级专业技术职务人员</w:t>
      </w:r>
      <w:r>
        <w:rPr>
          <w:rFonts w:hint="eastAsia"/>
          <w:iCs/>
          <w:kern w:val="0"/>
          <w:sz w:val="24"/>
        </w:rPr>
        <w:t>（校外专家不少于1/3）</w:t>
      </w:r>
      <w:r>
        <w:rPr>
          <w:iCs/>
          <w:kern w:val="0"/>
          <w:sz w:val="24"/>
        </w:rPr>
        <w:t>参加</w:t>
      </w:r>
      <w:r>
        <w:rPr>
          <w:rFonts w:hint="eastAsia"/>
          <w:iCs/>
          <w:kern w:val="0"/>
          <w:sz w:val="24"/>
        </w:rPr>
        <w:t>，</w:t>
      </w:r>
      <w:r>
        <w:rPr>
          <w:iCs/>
          <w:kern w:val="0"/>
          <w:sz w:val="24"/>
        </w:rPr>
        <w:t>以学术报告的方式进行。</w:t>
      </w:r>
      <w:bookmarkEnd w:id="2"/>
    </w:p>
    <w:p w14:paraId="067FD2A5">
      <w:pPr>
        <w:spacing w:line="440" w:lineRule="exact"/>
        <w:ind w:firstLine="480" w:firstLineChars="200"/>
        <w:rPr>
          <w:i/>
          <w:kern w:val="0"/>
          <w:sz w:val="24"/>
        </w:rPr>
      </w:pPr>
      <w:r>
        <w:rPr>
          <w:bCs/>
          <w:kern w:val="0"/>
          <w:sz w:val="24"/>
        </w:rPr>
        <w:t>4.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>学位申请：</w:t>
      </w:r>
      <w:r>
        <w:rPr>
          <w:iCs/>
          <w:kern w:val="0"/>
          <w:sz w:val="24"/>
        </w:rPr>
        <w:t>达到学位授予条件的申请人，经导师同意后，应于答辩前三个月，向</w:t>
      </w:r>
      <w:r>
        <w:rPr>
          <w:rFonts w:hint="eastAsia"/>
          <w:iCs/>
          <w:kern w:val="0"/>
          <w:sz w:val="24"/>
        </w:rPr>
        <w:t>学院</w:t>
      </w:r>
      <w:r>
        <w:rPr>
          <w:iCs/>
          <w:kern w:val="0"/>
          <w:sz w:val="24"/>
        </w:rPr>
        <w:t>学位评定分</w:t>
      </w:r>
      <w:r>
        <w:rPr>
          <w:bCs/>
          <w:kern w:val="0"/>
          <w:sz w:val="24"/>
        </w:rPr>
        <w:t>委员会</w:t>
      </w:r>
      <w:r>
        <w:rPr>
          <w:iCs/>
          <w:kern w:val="0"/>
          <w:sz w:val="24"/>
        </w:rPr>
        <w:t>提出学位申请，提交学位申请材料。</w:t>
      </w:r>
    </w:p>
    <w:p w14:paraId="70C0B804">
      <w:pPr>
        <w:spacing w:line="440" w:lineRule="exact"/>
        <w:ind w:firstLine="480" w:firstLineChars="200"/>
        <w:rPr>
          <w:i/>
          <w:kern w:val="0"/>
          <w:sz w:val="24"/>
        </w:rPr>
      </w:pPr>
      <w:r>
        <w:rPr>
          <w:bCs/>
          <w:kern w:val="0"/>
          <w:sz w:val="24"/>
        </w:rPr>
        <w:t>5.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>预答辩：</w:t>
      </w:r>
      <w:r>
        <w:rPr>
          <w:iCs/>
          <w:kern w:val="0"/>
          <w:sz w:val="24"/>
        </w:rPr>
        <w:t>学位申请人须进行学位论文预答辩。预答辩通过者，方可进入学位论文评阅、答辩等环节。学位（毕业）论文预答辩在正式答辩前3个月进行。</w:t>
      </w:r>
      <w:r>
        <w:rPr>
          <w:rFonts w:hint="eastAsia"/>
          <w:iCs/>
          <w:kern w:val="0"/>
          <w:sz w:val="24"/>
        </w:rPr>
        <w:t>预答辩由导师组自行组织，</w:t>
      </w:r>
      <w:r>
        <w:rPr>
          <w:iCs/>
          <w:kern w:val="0"/>
          <w:sz w:val="24"/>
        </w:rPr>
        <w:t>由</w:t>
      </w:r>
      <w:r>
        <w:rPr>
          <w:rFonts w:hint="eastAsia"/>
          <w:iCs/>
          <w:kern w:val="0"/>
          <w:sz w:val="24"/>
        </w:rPr>
        <w:t>至少</w:t>
      </w:r>
      <w:r>
        <w:rPr>
          <w:iCs/>
          <w:kern w:val="0"/>
          <w:sz w:val="24"/>
        </w:rPr>
        <w:t>3名具有高级专业技术职务人员参加</w:t>
      </w:r>
      <w:r>
        <w:rPr>
          <w:rFonts w:hint="eastAsia"/>
          <w:iCs/>
          <w:kern w:val="0"/>
          <w:sz w:val="24"/>
        </w:rPr>
        <w:t>，</w:t>
      </w:r>
      <w:r>
        <w:rPr>
          <w:iCs/>
          <w:kern w:val="0"/>
          <w:sz w:val="24"/>
        </w:rPr>
        <w:t>以学术报告的方式进行</w:t>
      </w:r>
      <w:r>
        <w:rPr>
          <w:rFonts w:hint="eastAsia"/>
          <w:iCs/>
          <w:kern w:val="0"/>
          <w:sz w:val="24"/>
        </w:rPr>
        <w:t>；研究生的预答辩，导师需回避。</w:t>
      </w:r>
    </w:p>
    <w:p w14:paraId="2C605483">
      <w:pPr>
        <w:spacing w:line="440" w:lineRule="exact"/>
        <w:ind w:firstLine="480" w:firstLineChars="200"/>
        <w:rPr>
          <w:kern w:val="0"/>
          <w:sz w:val="24"/>
        </w:rPr>
      </w:pPr>
      <w:r>
        <w:rPr>
          <w:bCs/>
          <w:kern w:val="0"/>
          <w:sz w:val="24"/>
        </w:rPr>
        <w:t>6.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>论文评阅：</w:t>
      </w:r>
      <w:r>
        <w:rPr>
          <w:rFonts w:hint="eastAsia" w:ascii="宋体" w:hAnsi="宋体" w:cs="宋体"/>
          <w:iCs/>
          <w:kern w:val="0"/>
          <w:sz w:val="24"/>
        </w:rPr>
        <w:t>学位</w:t>
      </w:r>
      <w:r>
        <w:rPr>
          <w:iCs/>
          <w:kern w:val="0"/>
          <w:sz w:val="24"/>
        </w:rPr>
        <w:t>（毕业）论文在获得导师组认可，经培养单位形式审查合格，并通过预答辩，方可提出进入评阅程序的申请。论文评阅在正式答辩前40天由研究生提出，由培养单位依据相关规定</w:t>
      </w:r>
      <w:r>
        <w:rPr>
          <w:bCs/>
          <w:kern w:val="0"/>
          <w:sz w:val="24"/>
        </w:rPr>
        <w:t>进行</w:t>
      </w:r>
      <w:r>
        <w:rPr>
          <w:iCs/>
          <w:kern w:val="0"/>
          <w:sz w:val="24"/>
        </w:rPr>
        <w:t>匿名评审。</w:t>
      </w:r>
      <w:r>
        <w:rPr>
          <w:kern w:val="0"/>
          <w:sz w:val="24"/>
        </w:rPr>
        <w:t>评阅结果及异议处理按照《河北大学研究生学位论文或者实践成果评审管理办法》（校政字〔2025〕8号）执行。</w:t>
      </w:r>
    </w:p>
    <w:p w14:paraId="0696DE2A">
      <w:pPr>
        <w:spacing w:line="440" w:lineRule="exact"/>
        <w:ind w:firstLine="480" w:firstLineChars="200"/>
        <w:rPr>
          <w:rFonts w:eastAsiaTheme="minorEastAsia"/>
          <w:i/>
          <w:sz w:val="24"/>
        </w:rPr>
      </w:pPr>
      <w:r>
        <w:rPr>
          <w:bCs/>
          <w:kern w:val="0"/>
          <w:sz w:val="24"/>
        </w:rPr>
        <w:t>7.</w:t>
      </w:r>
      <w:r>
        <w:rPr>
          <w:rFonts w:hint="eastAsia"/>
          <w:bCs/>
          <w:kern w:val="0"/>
          <w:sz w:val="24"/>
        </w:rPr>
        <w:t xml:space="preserve"> </w:t>
      </w:r>
      <w:r>
        <w:rPr>
          <w:bCs/>
          <w:kern w:val="0"/>
          <w:sz w:val="24"/>
        </w:rPr>
        <w:t>答辩：学位（毕业）论文答辩</w:t>
      </w:r>
      <w:r>
        <w:rPr>
          <w:rFonts w:eastAsiaTheme="minorEastAsia"/>
          <w:bCs/>
          <w:sz w:val="24"/>
        </w:rPr>
        <w:t>按照</w:t>
      </w:r>
      <w:r>
        <w:rPr>
          <w:kern w:val="0"/>
          <w:sz w:val="24"/>
        </w:rPr>
        <w:t>《河北大学博士、硕士学位授予工作实施细则》（校政字〔2025〕7号）执行。</w:t>
      </w:r>
    </w:p>
    <w:p w14:paraId="64D5AA0D">
      <w:pPr>
        <w:spacing w:before="156" w:beforeLines="50"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14:paraId="73E9A8C9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课程学习。研究生在规定修业年限内完成培养方案规定的课程学习，考核成绩合格，获得规定的学分。</w:t>
      </w:r>
    </w:p>
    <w:p w14:paraId="65FD0EB8">
      <w:pPr>
        <w:spacing w:line="44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bCs/>
          <w:sz w:val="24"/>
        </w:rPr>
        <w:t>2. 学术活动。研究生</w:t>
      </w:r>
      <w:r>
        <w:rPr>
          <w:rFonts w:eastAsiaTheme="minorEastAsia"/>
          <w:sz w:val="24"/>
        </w:rPr>
        <w:t>在读期间参加不少于10次学术活动，并撰写学术报告小结；以主讲人或宣讲人身份，参加在校内外举行的学术报告或学术讲座不少于1次。</w:t>
      </w:r>
    </w:p>
    <w:p w14:paraId="382A91AB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sz w:val="24"/>
        </w:rPr>
        <w:t>3. 符合提前毕业条件的研究生，可按照学校相关规定</w:t>
      </w:r>
      <w:r>
        <w:rPr>
          <w:rFonts w:eastAsiaTheme="minorEastAsia"/>
          <w:bCs/>
          <w:sz w:val="24"/>
        </w:rPr>
        <w:t>申请</w:t>
      </w:r>
      <w:r>
        <w:rPr>
          <w:rFonts w:eastAsiaTheme="minorEastAsia"/>
          <w:sz w:val="24"/>
        </w:rPr>
        <w:t>提前毕业。</w:t>
      </w:r>
    </w:p>
    <w:p w14:paraId="54232B61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4. 论文答辩。学位（毕业）论文经专家评审合格、通过学位（毕业）答辩，符合毕业资格审查后，准予毕业。</w:t>
      </w:r>
    </w:p>
    <w:p w14:paraId="64441568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14:paraId="22F62993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bookmarkStart w:id="3" w:name="OLE_LINK7"/>
      <w:r>
        <w:rPr>
          <w:rFonts w:hint="eastAsia" w:eastAsiaTheme="minorEastAsia"/>
          <w:bCs/>
          <w:sz w:val="24"/>
        </w:rPr>
        <w:t>按照河北大学</w:t>
      </w:r>
      <w:r>
        <w:rPr>
          <w:rFonts w:hint="eastAsia" w:eastAsiaTheme="minorEastAsia"/>
          <w:iCs/>
          <w:sz w:val="24"/>
        </w:rPr>
        <w:t>生命科学学院《关于研究生申请学位取得创新性成果的规定》（2025年4月30日）</w:t>
      </w:r>
      <w:r>
        <w:rPr>
          <w:rFonts w:hint="eastAsia" w:eastAsiaTheme="minorEastAsia"/>
          <w:bCs/>
          <w:sz w:val="24"/>
        </w:rPr>
        <w:t>执行</w:t>
      </w:r>
      <w:r>
        <w:rPr>
          <w:rFonts w:eastAsiaTheme="minorEastAsia"/>
          <w:bCs/>
          <w:sz w:val="24"/>
        </w:rPr>
        <w:t>。</w:t>
      </w:r>
    </w:p>
    <w:bookmarkEnd w:id="3"/>
    <w:p w14:paraId="58A5AA5E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14:paraId="6685BA4D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研究生通过毕业资格审查，</w:t>
      </w:r>
      <w:r>
        <w:rPr>
          <w:kern w:val="0"/>
          <w:sz w:val="24"/>
        </w:rPr>
        <w:t>满足本学院制定的创新性成果要求，</w:t>
      </w:r>
      <w:r>
        <w:rPr>
          <w:rFonts w:eastAsiaTheme="minorEastAsia"/>
          <w:bCs/>
          <w:sz w:val="24"/>
        </w:rPr>
        <w:t>符合</w:t>
      </w:r>
      <w:r>
        <w:rPr>
          <w:kern w:val="0"/>
          <w:sz w:val="24"/>
        </w:rPr>
        <w:t>《河北大学博士、硕士学位授予工作实施细则》（校政字〔2025〕7号）</w:t>
      </w:r>
      <w:r>
        <w:rPr>
          <w:rFonts w:eastAsiaTheme="minorEastAsia"/>
          <w:bCs/>
          <w:sz w:val="24"/>
        </w:rPr>
        <w:t>的有关规定，达到学校学位授予标准，经学校学位评定委员会审议，授予硕士学位。</w:t>
      </w:r>
    </w:p>
    <w:p w14:paraId="33491A3A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14:paraId="167FFF63">
      <w:pPr>
        <w:spacing w:line="44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本专业最低毕业学分为</w:t>
      </w:r>
      <w:r>
        <w:rPr>
          <w:rFonts w:hint="eastAsia" w:eastAsiaTheme="minorEastAsia"/>
          <w:sz w:val="24"/>
        </w:rPr>
        <w:t>24</w:t>
      </w:r>
      <w:r>
        <w:rPr>
          <w:rFonts w:eastAsiaTheme="minorEastAsia"/>
          <w:sz w:val="24"/>
        </w:rPr>
        <w:t>分，其中学位课</w:t>
      </w:r>
      <w:r>
        <w:rPr>
          <w:rFonts w:hint="eastAsia" w:eastAsiaTheme="minorEastAsia"/>
          <w:sz w:val="24"/>
        </w:rPr>
        <w:t>17</w:t>
      </w:r>
      <w:r>
        <w:rPr>
          <w:rFonts w:eastAsiaTheme="minorEastAsia"/>
          <w:sz w:val="24"/>
        </w:rPr>
        <w:t>学分，非学位课</w:t>
      </w:r>
      <w:r>
        <w:rPr>
          <w:rFonts w:hint="eastAsia" w:eastAsiaTheme="minorEastAsia"/>
          <w:sz w:val="24"/>
        </w:rPr>
        <w:t>4</w:t>
      </w:r>
      <w:r>
        <w:rPr>
          <w:rFonts w:eastAsiaTheme="minorEastAsia"/>
          <w:sz w:val="24"/>
        </w:rPr>
        <w:t>学分，必修环节</w:t>
      </w:r>
      <w:r>
        <w:rPr>
          <w:rFonts w:hint="eastAsia" w:eastAsiaTheme="minorEastAsia"/>
          <w:sz w:val="24"/>
        </w:rPr>
        <w:t>3</w:t>
      </w:r>
      <w:r>
        <w:rPr>
          <w:rFonts w:eastAsiaTheme="minorEastAsia"/>
          <w:sz w:val="24"/>
        </w:rPr>
        <w:t>分。课程考试不设补考环节，</w:t>
      </w:r>
      <w:r>
        <w:rPr>
          <w:sz w:val="24"/>
        </w:rPr>
        <w:t>考试成绩低于60分的需重修。</w:t>
      </w:r>
    </w:p>
    <w:p w14:paraId="2E83092B">
      <w:pPr>
        <w:widowControl/>
        <w:jc w:val="left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br w:type="page"/>
      </w:r>
    </w:p>
    <w:p w14:paraId="73F4CB34">
      <w:pPr>
        <w:spacing w:after="156" w:afterLines="50" w:line="440" w:lineRule="exact"/>
        <w:ind w:firstLine="482" w:firstLineChars="200"/>
        <w:jc w:val="center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水生生物学</w:t>
      </w:r>
      <w:r>
        <w:rPr>
          <w:rFonts w:eastAsiaTheme="minorEastAsia"/>
          <w:b/>
          <w:bCs/>
          <w:sz w:val="24"/>
        </w:rPr>
        <w:t>专业学术学位硕士研究生课程及培养环节设置一览表</w:t>
      </w:r>
    </w:p>
    <w:tbl>
      <w:tblPr>
        <w:tblStyle w:val="11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14:paraId="7E45C9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gridSpan w:val="2"/>
            <w:vAlign w:val="center"/>
          </w:tcPr>
          <w:p w14:paraId="11248AD8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41EF4B2C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1423B47F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课程编号</w:t>
            </w:r>
          </w:p>
        </w:tc>
        <w:tc>
          <w:tcPr>
            <w:tcW w:w="709" w:type="dxa"/>
            <w:vAlign w:val="center"/>
          </w:tcPr>
          <w:p w14:paraId="38D039FD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学分</w:t>
            </w:r>
          </w:p>
        </w:tc>
        <w:tc>
          <w:tcPr>
            <w:tcW w:w="709" w:type="dxa"/>
            <w:vAlign w:val="center"/>
          </w:tcPr>
          <w:p w14:paraId="274D6E30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学期</w:t>
            </w:r>
          </w:p>
        </w:tc>
        <w:tc>
          <w:tcPr>
            <w:tcW w:w="1045" w:type="dxa"/>
            <w:vAlign w:val="center"/>
          </w:tcPr>
          <w:p w14:paraId="6088E1A8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备注</w:t>
            </w:r>
          </w:p>
        </w:tc>
      </w:tr>
      <w:tr w14:paraId="309E2A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restart"/>
            <w:vAlign w:val="center"/>
          </w:tcPr>
          <w:p w14:paraId="563E6A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339284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公共必修课</w:t>
            </w:r>
          </w:p>
          <w:p w14:paraId="16F1C4D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541867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473867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TS0000001</w:t>
            </w:r>
          </w:p>
        </w:tc>
        <w:tc>
          <w:tcPr>
            <w:tcW w:w="709" w:type="dxa"/>
            <w:vAlign w:val="center"/>
          </w:tcPr>
          <w:p w14:paraId="59DBFB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673AEE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5AD4CBE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63A35E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3EC931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77DB6F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3CE056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0571BD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 w14:paraId="7791B0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2B3997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5B8049F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438A8B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0D6F39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F08C9C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学科基础课</w:t>
            </w:r>
          </w:p>
          <w:p w14:paraId="0F32D25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2BBCC3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 w14:paraId="03B43C67">
            <w:pPr>
              <w:widowControl/>
              <w:jc w:val="center"/>
              <w:textAlignment w:val="center"/>
              <w:rPr>
                <w:rFonts w:hint="default" w:eastAsia="等线"/>
                <w:sz w:val="18"/>
                <w:szCs w:val="18"/>
                <w:lang w:val="en-US" w:eastAsia="zh-CN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</w:t>
            </w:r>
            <w:r>
              <w:rPr>
                <w:rFonts w:hint="eastAsia" w:eastAsia="等线"/>
                <w:color w:val="000000"/>
                <w:kern w:val="0"/>
                <w:sz w:val="18"/>
                <w:szCs w:val="18"/>
                <w:lang w:val="en-US" w:eastAsia="zh-CN" w:bidi="ar"/>
              </w:rPr>
              <w:t>2005</w:t>
            </w:r>
          </w:p>
        </w:tc>
        <w:tc>
          <w:tcPr>
            <w:tcW w:w="709" w:type="dxa"/>
            <w:vAlign w:val="center"/>
          </w:tcPr>
          <w:p w14:paraId="347DF9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5FE645F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201793B7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4D5853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351D4E8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05A735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90803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生态与环境科学</w:t>
            </w:r>
          </w:p>
        </w:tc>
        <w:tc>
          <w:tcPr>
            <w:tcW w:w="1081" w:type="dxa"/>
            <w:vAlign w:val="center"/>
          </w:tcPr>
          <w:p w14:paraId="736E0FF6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bookmarkStart w:id="4" w:name="_GoBack"/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XS1204001</w:t>
            </w:r>
            <w:bookmarkEnd w:id="4"/>
          </w:p>
        </w:tc>
        <w:tc>
          <w:tcPr>
            <w:tcW w:w="709" w:type="dxa"/>
            <w:vAlign w:val="center"/>
          </w:tcPr>
          <w:p w14:paraId="606748E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75658FF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5451488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0EA65F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08E547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F4AF31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专业必修课</w:t>
            </w:r>
          </w:p>
          <w:p w14:paraId="795C39A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621CB16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生物信息学理论与实践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1CDBDDE">
            <w:pPr>
              <w:widowControl/>
              <w:jc w:val="center"/>
              <w:textAlignment w:val="center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XS1200002</w:t>
            </w:r>
          </w:p>
        </w:tc>
        <w:tc>
          <w:tcPr>
            <w:tcW w:w="709" w:type="dxa"/>
            <w:vAlign w:val="center"/>
          </w:tcPr>
          <w:p w14:paraId="4CF9A9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20DAAC7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0017084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7350B6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1F9FBAB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DCBD2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F583B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生命科学前沿研究1</w:t>
            </w:r>
          </w:p>
        </w:tc>
        <w:tc>
          <w:tcPr>
            <w:tcW w:w="1081" w:type="dxa"/>
            <w:vAlign w:val="center"/>
          </w:tcPr>
          <w:p w14:paraId="16F2F2B0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XS1202003</w:t>
            </w:r>
          </w:p>
        </w:tc>
        <w:tc>
          <w:tcPr>
            <w:tcW w:w="709" w:type="dxa"/>
            <w:vAlign w:val="center"/>
          </w:tcPr>
          <w:p w14:paraId="015513D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37E6168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10FA746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577F2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A802F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2B5D68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34F32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生命科学前沿研究2</w:t>
            </w:r>
          </w:p>
        </w:tc>
        <w:tc>
          <w:tcPr>
            <w:tcW w:w="1081" w:type="dxa"/>
            <w:vAlign w:val="center"/>
          </w:tcPr>
          <w:p w14:paraId="6ED5A653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XS1202004</w:t>
            </w:r>
          </w:p>
        </w:tc>
        <w:tc>
          <w:tcPr>
            <w:tcW w:w="709" w:type="dxa"/>
            <w:vAlign w:val="center"/>
          </w:tcPr>
          <w:p w14:paraId="155AB0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532ED2D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</w:tcPr>
          <w:p w14:paraId="465C218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51FE8C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restart"/>
            <w:vAlign w:val="center"/>
          </w:tcPr>
          <w:p w14:paraId="4550298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2F573E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公共通识课</w:t>
            </w:r>
          </w:p>
          <w:p w14:paraId="40F335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（2学分）</w:t>
            </w:r>
          </w:p>
        </w:tc>
        <w:tc>
          <w:tcPr>
            <w:tcW w:w="3516" w:type="dxa"/>
            <w:vAlign w:val="center"/>
          </w:tcPr>
          <w:p w14:paraId="4D50FC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36ECFA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TT0000101</w:t>
            </w:r>
          </w:p>
        </w:tc>
        <w:tc>
          <w:tcPr>
            <w:tcW w:w="709" w:type="dxa"/>
            <w:vAlign w:val="center"/>
          </w:tcPr>
          <w:p w14:paraId="3C46A4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7D20E0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71512B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14:paraId="095559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2D5BB4E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238226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2E8D19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自然辩证法概论</w:t>
            </w:r>
          </w:p>
        </w:tc>
        <w:tc>
          <w:tcPr>
            <w:tcW w:w="1081" w:type="dxa"/>
            <w:vAlign w:val="center"/>
          </w:tcPr>
          <w:p w14:paraId="760C61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TS0000102</w:t>
            </w:r>
          </w:p>
        </w:tc>
        <w:tc>
          <w:tcPr>
            <w:tcW w:w="709" w:type="dxa"/>
            <w:vAlign w:val="center"/>
          </w:tcPr>
          <w:p w14:paraId="53F585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0D131B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310434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14:paraId="257F94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A605D03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DDCFC27">
            <w:pPr>
              <w:adjustRightInd w:val="0"/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水生生物遗传基础与资源利用</w:t>
            </w:r>
            <w:r>
              <w:rPr>
                <w:b/>
                <w:sz w:val="18"/>
                <w:szCs w:val="18"/>
              </w:rPr>
              <w:t>方向</w:t>
            </w:r>
          </w:p>
          <w:p w14:paraId="31C2499F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选修课</w:t>
            </w:r>
          </w:p>
        </w:tc>
        <w:tc>
          <w:tcPr>
            <w:tcW w:w="3516" w:type="dxa"/>
            <w:vAlign w:val="center"/>
          </w:tcPr>
          <w:p w14:paraId="058F30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水生生物学</w:t>
            </w:r>
          </w:p>
        </w:tc>
        <w:tc>
          <w:tcPr>
            <w:tcW w:w="1081" w:type="dxa"/>
            <w:vAlign w:val="center"/>
          </w:tcPr>
          <w:p w14:paraId="613ED37F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XS12042</w:t>
            </w:r>
            <w:r>
              <w:rPr>
                <w:rFonts w:hint="eastAsia" w:eastAsia="等线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09" w:type="dxa"/>
          </w:tcPr>
          <w:p w14:paraId="4244911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5B7E228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10FF575C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本方向研究生至少选修</w:t>
            </w:r>
          </w:p>
          <w:p w14:paraId="2EC70E62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学分</w:t>
            </w:r>
          </w:p>
        </w:tc>
      </w:tr>
      <w:tr w14:paraId="655FF1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0124265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789E24D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0FBB74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基因组学</w:t>
            </w:r>
          </w:p>
        </w:tc>
        <w:tc>
          <w:tcPr>
            <w:tcW w:w="1081" w:type="dxa"/>
            <w:vAlign w:val="center"/>
          </w:tcPr>
          <w:p w14:paraId="255DD72E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XS12042</w:t>
            </w:r>
            <w:r>
              <w:rPr>
                <w:rFonts w:hint="eastAsia" w:eastAsia="等线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09" w:type="dxa"/>
          </w:tcPr>
          <w:p w14:paraId="1C14B583"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09" w:type="dxa"/>
          </w:tcPr>
          <w:p w14:paraId="6184261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25B6802C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14:paraId="461332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CCCFD53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F1F328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AE2CC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水产动物遗传育种学</w:t>
            </w:r>
          </w:p>
        </w:tc>
        <w:tc>
          <w:tcPr>
            <w:tcW w:w="1081" w:type="dxa"/>
            <w:vAlign w:val="center"/>
          </w:tcPr>
          <w:p w14:paraId="69D4A0F5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XS12042</w:t>
            </w:r>
            <w:r>
              <w:rPr>
                <w:rFonts w:hint="eastAsia" w:eastAsia="等线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709" w:type="dxa"/>
          </w:tcPr>
          <w:p w14:paraId="1D2FC96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4D4EF5B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69358A9A">
            <w:pPr>
              <w:jc w:val="center"/>
              <w:rPr>
                <w:sz w:val="18"/>
                <w:szCs w:val="18"/>
              </w:rPr>
            </w:pPr>
          </w:p>
        </w:tc>
      </w:tr>
      <w:tr w14:paraId="583FD7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97E8812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36370649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水生生物生理生化过程与调控</w:t>
            </w:r>
            <w:r>
              <w:rPr>
                <w:b/>
                <w:sz w:val="18"/>
                <w:szCs w:val="18"/>
              </w:rPr>
              <w:t>方向</w:t>
            </w:r>
          </w:p>
          <w:p w14:paraId="77F90000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选修课</w:t>
            </w:r>
          </w:p>
        </w:tc>
        <w:tc>
          <w:tcPr>
            <w:tcW w:w="3516" w:type="dxa"/>
            <w:vAlign w:val="center"/>
          </w:tcPr>
          <w:p w14:paraId="2681E5E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水生生物学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05DA9F4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XS12042</w:t>
            </w:r>
            <w:r>
              <w:rPr>
                <w:rFonts w:hint="eastAsia" w:eastAsia="等线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09" w:type="dxa"/>
          </w:tcPr>
          <w:p w14:paraId="044DEA1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3C19E57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48841AA2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本方向研究生至少选修</w:t>
            </w:r>
          </w:p>
          <w:p w14:paraId="0EFE98FD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学分</w:t>
            </w:r>
          </w:p>
        </w:tc>
      </w:tr>
      <w:tr w14:paraId="5A27C2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53F8CD3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20A327A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tcBorders>
              <w:bottom w:val="single" w:color="auto" w:sz="8" w:space="0"/>
            </w:tcBorders>
            <w:vAlign w:val="center"/>
          </w:tcPr>
          <w:p w14:paraId="2C3F322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基因组学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F741F72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XS12042</w:t>
            </w:r>
            <w:r>
              <w:rPr>
                <w:rFonts w:hint="eastAsia" w:eastAsia="等线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09" w:type="dxa"/>
          </w:tcPr>
          <w:p w14:paraId="74E7160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09" w:type="dxa"/>
          </w:tcPr>
          <w:p w14:paraId="60440A0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2D420E35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14:paraId="6D837E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C10E2F2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tcBorders>
              <w:top w:val="single" w:color="auto" w:sz="8" w:space="0"/>
            </w:tcBorders>
            <w:vAlign w:val="center"/>
          </w:tcPr>
          <w:p w14:paraId="0EDF5042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水生生物多样性与生态保护方向</w:t>
            </w:r>
          </w:p>
          <w:p w14:paraId="2816AE7F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选修课</w:t>
            </w:r>
          </w:p>
        </w:tc>
        <w:tc>
          <w:tcPr>
            <w:tcW w:w="3516" w:type="dxa"/>
            <w:tcBorders>
              <w:top w:val="single" w:color="auto" w:sz="8" w:space="0"/>
            </w:tcBorders>
            <w:vAlign w:val="center"/>
          </w:tcPr>
          <w:p w14:paraId="093112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水生生物学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AA58CAD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XS12042</w:t>
            </w:r>
            <w:r>
              <w:rPr>
                <w:rFonts w:hint="eastAsia" w:eastAsia="等线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09" w:type="dxa"/>
          </w:tcPr>
          <w:p w14:paraId="7C1293E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6FC1C51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77B2BCAC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本方向研究生至少选修</w:t>
            </w:r>
          </w:p>
          <w:p w14:paraId="1EFD110A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学分</w:t>
            </w:r>
          </w:p>
        </w:tc>
      </w:tr>
      <w:tr w14:paraId="19879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0D8273A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</w:tcPr>
          <w:p w14:paraId="6F65B30F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tcBorders>
              <w:top w:val="single" w:color="auto" w:sz="8" w:space="0"/>
            </w:tcBorders>
            <w:vAlign w:val="center"/>
          </w:tcPr>
          <w:p w14:paraId="2B93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鱼类生物学</w:t>
            </w:r>
          </w:p>
        </w:tc>
        <w:tc>
          <w:tcPr>
            <w:tcW w:w="1081" w:type="dxa"/>
            <w:vAlign w:val="center"/>
          </w:tcPr>
          <w:p w14:paraId="4B60ADF8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XS12042</w:t>
            </w:r>
            <w:r>
              <w:rPr>
                <w:rFonts w:hint="eastAsia" w:eastAsia="等线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eastAsia="等线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709" w:type="dxa"/>
          </w:tcPr>
          <w:p w14:paraId="56FEE97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0C4E98E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3E4C8B44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14:paraId="180FBF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restart"/>
            <w:vAlign w:val="center"/>
          </w:tcPr>
          <w:p w14:paraId="0197557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必修环节</w:t>
            </w:r>
          </w:p>
          <w:p w14:paraId="25B5A7A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4ED25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58BFE7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552783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7DF6EE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01AF21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36B6A61F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14:paraId="41BD00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 w14:paraId="2F287F0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F9EBAD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477194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学术活动≥10次</w:t>
            </w:r>
          </w:p>
        </w:tc>
        <w:tc>
          <w:tcPr>
            <w:tcW w:w="1081" w:type="dxa"/>
            <w:vAlign w:val="center"/>
          </w:tcPr>
          <w:p w14:paraId="6B48C1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143DAA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03288F7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1-5</w:t>
            </w:r>
          </w:p>
        </w:tc>
        <w:tc>
          <w:tcPr>
            <w:tcW w:w="1045" w:type="dxa"/>
            <w:vMerge w:val="continue"/>
            <w:vAlign w:val="center"/>
          </w:tcPr>
          <w:p w14:paraId="46157F2F">
            <w:pPr>
              <w:jc w:val="center"/>
              <w:rPr>
                <w:sz w:val="18"/>
                <w:szCs w:val="18"/>
              </w:rPr>
            </w:pPr>
          </w:p>
        </w:tc>
      </w:tr>
      <w:tr w14:paraId="61F24F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ACBD15C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82B74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46257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2708A6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11F4CA1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6F99B3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restart"/>
            <w:vAlign w:val="center"/>
          </w:tcPr>
          <w:p w14:paraId="60C546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过程管理</w:t>
            </w:r>
          </w:p>
          <w:p w14:paraId="0B309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无学分</w:t>
            </w:r>
          </w:p>
        </w:tc>
      </w:tr>
      <w:tr w14:paraId="0CE67D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7D3350E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CA7222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2D69B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5E1542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0B6070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123915A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2-3</w:t>
            </w:r>
          </w:p>
        </w:tc>
        <w:tc>
          <w:tcPr>
            <w:tcW w:w="1045" w:type="dxa"/>
            <w:vMerge w:val="continue"/>
            <w:vAlign w:val="center"/>
          </w:tcPr>
          <w:p w14:paraId="32FF72DE">
            <w:pPr>
              <w:jc w:val="center"/>
              <w:rPr>
                <w:sz w:val="18"/>
                <w:szCs w:val="18"/>
              </w:rPr>
            </w:pPr>
          </w:p>
        </w:tc>
      </w:tr>
      <w:tr w14:paraId="33FA7D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15728DF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7C7B6C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3BA9F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79735B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59955C3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51FE932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4-5</w:t>
            </w:r>
          </w:p>
        </w:tc>
        <w:tc>
          <w:tcPr>
            <w:tcW w:w="1045" w:type="dxa"/>
            <w:vMerge w:val="continue"/>
          </w:tcPr>
          <w:p w14:paraId="2E60005B">
            <w:pPr>
              <w:jc w:val="center"/>
              <w:rPr>
                <w:sz w:val="18"/>
                <w:szCs w:val="18"/>
              </w:rPr>
            </w:pPr>
          </w:p>
        </w:tc>
      </w:tr>
      <w:tr w14:paraId="164C42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BBE936B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92A35E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363BE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54A097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FE626B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2B677CB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45" w:type="dxa"/>
            <w:vMerge w:val="continue"/>
          </w:tcPr>
          <w:p w14:paraId="3C294516">
            <w:pPr>
              <w:jc w:val="center"/>
              <w:rPr>
                <w:sz w:val="18"/>
                <w:szCs w:val="18"/>
              </w:rPr>
            </w:pPr>
          </w:p>
        </w:tc>
      </w:tr>
      <w:tr w14:paraId="677642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69DE702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</w:tcPr>
          <w:p w14:paraId="72B3F8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D4445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3F1F2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9E286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725414B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45" w:type="dxa"/>
            <w:vMerge w:val="continue"/>
          </w:tcPr>
          <w:p w14:paraId="1EACD50E">
            <w:pPr>
              <w:jc w:val="center"/>
              <w:rPr>
                <w:sz w:val="18"/>
                <w:szCs w:val="18"/>
              </w:rPr>
            </w:pPr>
          </w:p>
        </w:tc>
      </w:tr>
      <w:tr w14:paraId="53340E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EE95A84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</w:tcPr>
          <w:p w14:paraId="194248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ED4F8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6B51AF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7BF96E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4C0E26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45" w:type="dxa"/>
            <w:vMerge w:val="continue"/>
          </w:tcPr>
          <w:p w14:paraId="55F5D688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F2F520F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*公共外语课程按入学时的外国语考试科目修读相关语种。</w:t>
      </w:r>
    </w:p>
    <w:p w14:paraId="256BB6A2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304A2CA2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非学位课中的方向选修课模块由各培养单位自行设置，并给出具体选修学分要求。</w:t>
      </w:r>
    </w:p>
    <w:p w14:paraId="289F1D24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2. 毕业总学分：</w:t>
      </w:r>
      <w:r>
        <w:rPr>
          <w:rFonts w:hint="eastAsia" w:eastAsiaTheme="minor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hint="eastAsia" w:eastAsiaTheme="minor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+必修环节。</w:t>
      </w:r>
    </w:p>
    <w:sectPr>
      <w:pgSz w:w="11906" w:h="16838"/>
      <w:pgMar w:top="1418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0B"/>
    <w:rsid w:val="00000F48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1169"/>
    <w:rsid w:val="00011E8C"/>
    <w:rsid w:val="00012EFE"/>
    <w:rsid w:val="0001365A"/>
    <w:rsid w:val="000136E9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D34"/>
    <w:rsid w:val="000266E2"/>
    <w:rsid w:val="00026ED3"/>
    <w:rsid w:val="00026F8F"/>
    <w:rsid w:val="00027376"/>
    <w:rsid w:val="000312C8"/>
    <w:rsid w:val="00031719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0525"/>
    <w:rsid w:val="000517AD"/>
    <w:rsid w:val="0005309E"/>
    <w:rsid w:val="00053173"/>
    <w:rsid w:val="00054712"/>
    <w:rsid w:val="00054F25"/>
    <w:rsid w:val="00060C9E"/>
    <w:rsid w:val="00060E5A"/>
    <w:rsid w:val="00061443"/>
    <w:rsid w:val="00061DCD"/>
    <w:rsid w:val="000627FF"/>
    <w:rsid w:val="00065525"/>
    <w:rsid w:val="00065668"/>
    <w:rsid w:val="00065862"/>
    <w:rsid w:val="00067DA2"/>
    <w:rsid w:val="00070FB5"/>
    <w:rsid w:val="00073226"/>
    <w:rsid w:val="00076444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4EE7"/>
    <w:rsid w:val="00085ED4"/>
    <w:rsid w:val="000865C0"/>
    <w:rsid w:val="00086A2D"/>
    <w:rsid w:val="000877D8"/>
    <w:rsid w:val="00087BB6"/>
    <w:rsid w:val="000903CF"/>
    <w:rsid w:val="00091106"/>
    <w:rsid w:val="00093E55"/>
    <w:rsid w:val="00094EF5"/>
    <w:rsid w:val="00095FAE"/>
    <w:rsid w:val="000A0C3E"/>
    <w:rsid w:val="000A1577"/>
    <w:rsid w:val="000A1769"/>
    <w:rsid w:val="000A227E"/>
    <w:rsid w:val="000A422B"/>
    <w:rsid w:val="000A46F4"/>
    <w:rsid w:val="000A47A2"/>
    <w:rsid w:val="000A48BC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229D"/>
    <w:rsid w:val="000C684D"/>
    <w:rsid w:val="000C7109"/>
    <w:rsid w:val="000C7B56"/>
    <w:rsid w:val="000D0856"/>
    <w:rsid w:val="000D0CA9"/>
    <w:rsid w:val="000D21C4"/>
    <w:rsid w:val="000D2324"/>
    <w:rsid w:val="000D3BAB"/>
    <w:rsid w:val="000D3D52"/>
    <w:rsid w:val="000D41D0"/>
    <w:rsid w:val="000D6149"/>
    <w:rsid w:val="000D6CC0"/>
    <w:rsid w:val="000D6CD9"/>
    <w:rsid w:val="000D71B2"/>
    <w:rsid w:val="000E0380"/>
    <w:rsid w:val="000E2728"/>
    <w:rsid w:val="000E51AE"/>
    <w:rsid w:val="000E5229"/>
    <w:rsid w:val="000E58F5"/>
    <w:rsid w:val="000F12FD"/>
    <w:rsid w:val="000F21F3"/>
    <w:rsid w:val="000F238B"/>
    <w:rsid w:val="000F2DCE"/>
    <w:rsid w:val="000F2E11"/>
    <w:rsid w:val="000F300F"/>
    <w:rsid w:val="000F3134"/>
    <w:rsid w:val="000F335A"/>
    <w:rsid w:val="000F3809"/>
    <w:rsid w:val="000F4E87"/>
    <w:rsid w:val="001003BD"/>
    <w:rsid w:val="001004D8"/>
    <w:rsid w:val="00100A1C"/>
    <w:rsid w:val="001015A9"/>
    <w:rsid w:val="00101F57"/>
    <w:rsid w:val="00104300"/>
    <w:rsid w:val="00104B89"/>
    <w:rsid w:val="00104BB1"/>
    <w:rsid w:val="0010579B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4345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36E0A"/>
    <w:rsid w:val="0014145D"/>
    <w:rsid w:val="00141A90"/>
    <w:rsid w:val="00141C03"/>
    <w:rsid w:val="00141D33"/>
    <w:rsid w:val="00142AE5"/>
    <w:rsid w:val="001434A0"/>
    <w:rsid w:val="0014508B"/>
    <w:rsid w:val="001452F2"/>
    <w:rsid w:val="00150EC3"/>
    <w:rsid w:val="001513DE"/>
    <w:rsid w:val="001519AB"/>
    <w:rsid w:val="00153B3C"/>
    <w:rsid w:val="001548B0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2299"/>
    <w:rsid w:val="0017260D"/>
    <w:rsid w:val="00172DEF"/>
    <w:rsid w:val="00173690"/>
    <w:rsid w:val="00173BBC"/>
    <w:rsid w:val="00174672"/>
    <w:rsid w:val="001749C9"/>
    <w:rsid w:val="00175F90"/>
    <w:rsid w:val="00175FDB"/>
    <w:rsid w:val="0017600D"/>
    <w:rsid w:val="001770BE"/>
    <w:rsid w:val="001774C8"/>
    <w:rsid w:val="00181B98"/>
    <w:rsid w:val="001827EC"/>
    <w:rsid w:val="00190742"/>
    <w:rsid w:val="0019270C"/>
    <w:rsid w:val="00192C94"/>
    <w:rsid w:val="00192FFB"/>
    <w:rsid w:val="00193EB1"/>
    <w:rsid w:val="001944A6"/>
    <w:rsid w:val="00194BD6"/>
    <w:rsid w:val="00196101"/>
    <w:rsid w:val="0019611A"/>
    <w:rsid w:val="00196623"/>
    <w:rsid w:val="00196830"/>
    <w:rsid w:val="00196F50"/>
    <w:rsid w:val="00197D7B"/>
    <w:rsid w:val="001A0657"/>
    <w:rsid w:val="001A567C"/>
    <w:rsid w:val="001A6029"/>
    <w:rsid w:val="001A7229"/>
    <w:rsid w:val="001A78CF"/>
    <w:rsid w:val="001B0D85"/>
    <w:rsid w:val="001B2A51"/>
    <w:rsid w:val="001B30C4"/>
    <w:rsid w:val="001B3828"/>
    <w:rsid w:val="001B465A"/>
    <w:rsid w:val="001B4FF4"/>
    <w:rsid w:val="001B62AC"/>
    <w:rsid w:val="001B66AF"/>
    <w:rsid w:val="001C2996"/>
    <w:rsid w:val="001C30DC"/>
    <w:rsid w:val="001C45C2"/>
    <w:rsid w:val="001C481C"/>
    <w:rsid w:val="001C5480"/>
    <w:rsid w:val="001C6211"/>
    <w:rsid w:val="001C7066"/>
    <w:rsid w:val="001C752D"/>
    <w:rsid w:val="001D1C64"/>
    <w:rsid w:val="001D1E43"/>
    <w:rsid w:val="001D2313"/>
    <w:rsid w:val="001D28BB"/>
    <w:rsid w:val="001D3EA6"/>
    <w:rsid w:val="001D45FC"/>
    <w:rsid w:val="001D599A"/>
    <w:rsid w:val="001D621F"/>
    <w:rsid w:val="001D690F"/>
    <w:rsid w:val="001D6A65"/>
    <w:rsid w:val="001D78A6"/>
    <w:rsid w:val="001D7AE8"/>
    <w:rsid w:val="001E0FD8"/>
    <w:rsid w:val="001E149A"/>
    <w:rsid w:val="001E1523"/>
    <w:rsid w:val="001E173F"/>
    <w:rsid w:val="001E2472"/>
    <w:rsid w:val="001E339C"/>
    <w:rsid w:val="001E47AA"/>
    <w:rsid w:val="001E4A22"/>
    <w:rsid w:val="001E5492"/>
    <w:rsid w:val="001E57D0"/>
    <w:rsid w:val="001F03A6"/>
    <w:rsid w:val="001F0AE0"/>
    <w:rsid w:val="001F11BA"/>
    <w:rsid w:val="001F1A8A"/>
    <w:rsid w:val="001F1F2E"/>
    <w:rsid w:val="001F1F8B"/>
    <w:rsid w:val="001F2B47"/>
    <w:rsid w:val="001F431F"/>
    <w:rsid w:val="001F4761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FD9"/>
    <w:rsid w:val="002072D0"/>
    <w:rsid w:val="002106EB"/>
    <w:rsid w:val="002120B8"/>
    <w:rsid w:val="002120E9"/>
    <w:rsid w:val="00212267"/>
    <w:rsid w:val="00215A41"/>
    <w:rsid w:val="0021662C"/>
    <w:rsid w:val="00216D4F"/>
    <w:rsid w:val="00217554"/>
    <w:rsid w:val="00217A8B"/>
    <w:rsid w:val="0022264F"/>
    <w:rsid w:val="00222A5E"/>
    <w:rsid w:val="002231B6"/>
    <w:rsid w:val="002249A4"/>
    <w:rsid w:val="00226F23"/>
    <w:rsid w:val="0023080B"/>
    <w:rsid w:val="002309EB"/>
    <w:rsid w:val="00230D9E"/>
    <w:rsid w:val="00230DC4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664C"/>
    <w:rsid w:val="00247400"/>
    <w:rsid w:val="002477E4"/>
    <w:rsid w:val="0025208A"/>
    <w:rsid w:val="00252753"/>
    <w:rsid w:val="0025480C"/>
    <w:rsid w:val="00254838"/>
    <w:rsid w:val="00255288"/>
    <w:rsid w:val="002558BC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77EA4"/>
    <w:rsid w:val="002801E8"/>
    <w:rsid w:val="00281891"/>
    <w:rsid w:val="002819AD"/>
    <w:rsid w:val="00281A0D"/>
    <w:rsid w:val="00281AB7"/>
    <w:rsid w:val="0028271C"/>
    <w:rsid w:val="00284355"/>
    <w:rsid w:val="0028441E"/>
    <w:rsid w:val="00290488"/>
    <w:rsid w:val="00290F6D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5F35"/>
    <w:rsid w:val="002A71B9"/>
    <w:rsid w:val="002A7921"/>
    <w:rsid w:val="002B0A99"/>
    <w:rsid w:val="002B293A"/>
    <w:rsid w:val="002B2A1B"/>
    <w:rsid w:val="002B3394"/>
    <w:rsid w:val="002B5583"/>
    <w:rsid w:val="002B63CC"/>
    <w:rsid w:val="002B72BE"/>
    <w:rsid w:val="002B7EFB"/>
    <w:rsid w:val="002C0D99"/>
    <w:rsid w:val="002C10F7"/>
    <w:rsid w:val="002C27CC"/>
    <w:rsid w:val="002C44BA"/>
    <w:rsid w:val="002C4D22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64D3"/>
    <w:rsid w:val="002E704A"/>
    <w:rsid w:val="002E716E"/>
    <w:rsid w:val="002E7E9B"/>
    <w:rsid w:val="002E7F9D"/>
    <w:rsid w:val="002F12E0"/>
    <w:rsid w:val="002F2797"/>
    <w:rsid w:val="002F357A"/>
    <w:rsid w:val="002F3877"/>
    <w:rsid w:val="002F3C9A"/>
    <w:rsid w:val="002F4122"/>
    <w:rsid w:val="002F417B"/>
    <w:rsid w:val="002F4833"/>
    <w:rsid w:val="002F5579"/>
    <w:rsid w:val="002F6B84"/>
    <w:rsid w:val="002F71E6"/>
    <w:rsid w:val="0030052A"/>
    <w:rsid w:val="003015B0"/>
    <w:rsid w:val="00302150"/>
    <w:rsid w:val="003030A7"/>
    <w:rsid w:val="00305644"/>
    <w:rsid w:val="003056A8"/>
    <w:rsid w:val="00307635"/>
    <w:rsid w:val="0031041D"/>
    <w:rsid w:val="00311DA8"/>
    <w:rsid w:val="003127B0"/>
    <w:rsid w:val="00312822"/>
    <w:rsid w:val="00313F81"/>
    <w:rsid w:val="00314BE3"/>
    <w:rsid w:val="00314D3C"/>
    <w:rsid w:val="00316174"/>
    <w:rsid w:val="0031623B"/>
    <w:rsid w:val="00316326"/>
    <w:rsid w:val="00316470"/>
    <w:rsid w:val="00316817"/>
    <w:rsid w:val="00317FDF"/>
    <w:rsid w:val="0032131D"/>
    <w:rsid w:val="00321FD1"/>
    <w:rsid w:val="00322D53"/>
    <w:rsid w:val="00323D0D"/>
    <w:rsid w:val="0032473E"/>
    <w:rsid w:val="00325D12"/>
    <w:rsid w:val="003267DB"/>
    <w:rsid w:val="00326A2C"/>
    <w:rsid w:val="003279B0"/>
    <w:rsid w:val="00331123"/>
    <w:rsid w:val="00331B4B"/>
    <w:rsid w:val="00331D3B"/>
    <w:rsid w:val="00332C98"/>
    <w:rsid w:val="00334F71"/>
    <w:rsid w:val="00335BB9"/>
    <w:rsid w:val="00336751"/>
    <w:rsid w:val="00336778"/>
    <w:rsid w:val="0033681A"/>
    <w:rsid w:val="003374FD"/>
    <w:rsid w:val="00337DD6"/>
    <w:rsid w:val="003416AA"/>
    <w:rsid w:val="003416BC"/>
    <w:rsid w:val="00345BF6"/>
    <w:rsid w:val="00350CD7"/>
    <w:rsid w:val="00350E12"/>
    <w:rsid w:val="00351789"/>
    <w:rsid w:val="00352485"/>
    <w:rsid w:val="00352525"/>
    <w:rsid w:val="003539D7"/>
    <w:rsid w:val="00353D6B"/>
    <w:rsid w:val="003617F2"/>
    <w:rsid w:val="00361966"/>
    <w:rsid w:val="00362BF4"/>
    <w:rsid w:val="00364D73"/>
    <w:rsid w:val="00367064"/>
    <w:rsid w:val="00371E5D"/>
    <w:rsid w:val="00371F36"/>
    <w:rsid w:val="00372023"/>
    <w:rsid w:val="00374191"/>
    <w:rsid w:val="0037679D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3220"/>
    <w:rsid w:val="00397184"/>
    <w:rsid w:val="003A0041"/>
    <w:rsid w:val="003A0D7F"/>
    <w:rsid w:val="003A1028"/>
    <w:rsid w:val="003A3458"/>
    <w:rsid w:val="003A42FD"/>
    <w:rsid w:val="003A4D10"/>
    <w:rsid w:val="003A562E"/>
    <w:rsid w:val="003A59AE"/>
    <w:rsid w:val="003A62E4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B765B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2AF6"/>
    <w:rsid w:val="003D354D"/>
    <w:rsid w:val="003D35E3"/>
    <w:rsid w:val="003D3974"/>
    <w:rsid w:val="003D3996"/>
    <w:rsid w:val="003D3BD9"/>
    <w:rsid w:val="003D51E0"/>
    <w:rsid w:val="003D7A97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B64"/>
    <w:rsid w:val="003F71EB"/>
    <w:rsid w:val="003F7640"/>
    <w:rsid w:val="003F7B27"/>
    <w:rsid w:val="0040147C"/>
    <w:rsid w:val="0040267E"/>
    <w:rsid w:val="00405CBD"/>
    <w:rsid w:val="004072EC"/>
    <w:rsid w:val="004106FF"/>
    <w:rsid w:val="004109A1"/>
    <w:rsid w:val="00410E30"/>
    <w:rsid w:val="00411D94"/>
    <w:rsid w:val="004124A9"/>
    <w:rsid w:val="004130E5"/>
    <w:rsid w:val="00413304"/>
    <w:rsid w:val="00413674"/>
    <w:rsid w:val="00414FF5"/>
    <w:rsid w:val="00416E29"/>
    <w:rsid w:val="00416F54"/>
    <w:rsid w:val="0042019B"/>
    <w:rsid w:val="004210EC"/>
    <w:rsid w:val="00421AB0"/>
    <w:rsid w:val="00424002"/>
    <w:rsid w:val="00424D58"/>
    <w:rsid w:val="00426083"/>
    <w:rsid w:val="00431329"/>
    <w:rsid w:val="0043229B"/>
    <w:rsid w:val="00432B06"/>
    <w:rsid w:val="00432D6A"/>
    <w:rsid w:val="00437442"/>
    <w:rsid w:val="00441446"/>
    <w:rsid w:val="00442209"/>
    <w:rsid w:val="004424CB"/>
    <w:rsid w:val="00444DA6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2DCD"/>
    <w:rsid w:val="004930BE"/>
    <w:rsid w:val="00493360"/>
    <w:rsid w:val="00493865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125"/>
    <w:rsid w:val="004A671E"/>
    <w:rsid w:val="004A6A44"/>
    <w:rsid w:val="004A6E8A"/>
    <w:rsid w:val="004B0DD9"/>
    <w:rsid w:val="004B25BE"/>
    <w:rsid w:val="004B3E96"/>
    <w:rsid w:val="004B43CE"/>
    <w:rsid w:val="004B4ED3"/>
    <w:rsid w:val="004B6394"/>
    <w:rsid w:val="004B6494"/>
    <w:rsid w:val="004B6B41"/>
    <w:rsid w:val="004B7C1D"/>
    <w:rsid w:val="004C0AA3"/>
    <w:rsid w:val="004C23AA"/>
    <w:rsid w:val="004C48C8"/>
    <w:rsid w:val="004C4F07"/>
    <w:rsid w:val="004C7469"/>
    <w:rsid w:val="004C7690"/>
    <w:rsid w:val="004C77C2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D6"/>
    <w:rsid w:val="004E6028"/>
    <w:rsid w:val="004E7FBD"/>
    <w:rsid w:val="004F0A81"/>
    <w:rsid w:val="004F163E"/>
    <w:rsid w:val="004F2A3F"/>
    <w:rsid w:val="004F3283"/>
    <w:rsid w:val="004F3D77"/>
    <w:rsid w:val="004F4562"/>
    <w:rsid w:val="004F7534"/>
    <w:rsid w:val="00501096"/>
    <w:rsid w:val="0050152F"/>
    <w:rsid w:val="00501D66"/>
    <w:rsid w:val="00502BCF"/>
    <w:rsid w:val="00503CA3"/>
    <w:rsid w:val="005064A0"/>
    <w:rsid w:val="00506B23"/>
    <w:rsid w:val="00507E05"/>
    <w:rsid w:val="00510950"/>
    <w:rsid w:val="00511113"/>
    <w:rsid w:val="00512343"/>
    <w:rsid w:val="0051322C"/>
    <w:rsid w:val="00514279"/>
    <w:rsid w:val="0051445E"/>
    <w:rsid w:val="0051684C"/>
    <w:rsid w:val="00517A47"/>
    <w:rsid w:val="00521257"/>
    <w:rsid w:val="00523001"/>
    <w:rsid w:val="005236DA"/>
    <w:rsid w:val="00524602"/>
    <w:rsid w:val="00525953"/>
    <w:rsid w:val="00525BB6"/>
    <w:rsid w:val="005273F8"/>
    <w:rsid w:val="0053033A"/>
    <w:rsid w:val="00531271"/>
    <w:rsid w:val="00531E63"/>
    <w:rsid w:val="00534727"/>
    <w:rsid w:val="00534F23"/>
    <w:rsid w:val="00535263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3704"/>
    <w:rsid w:val="0055450C"/>
    <w:rsid w:val="0055562B"/>
    <w:rsid w:val="005559E3"/>
    <w:rsid w:val="00557ACE"/>
    <w:rsid w:val="00557D2F"/>
    <w:rsid w:val="005615AB"/>
    <w:rsid w:val="00561D63"/>
    <w:rsid w:val="0056705B"/>
    <w:rsid w:val="0057028D"/>
    <w:rsid w:val="0057155B"/>
    <w:rsid w:val="005716D7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1765"/>
    <w:rsid w:val="00582768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901"/>
    <w:rsid w:val="00591D22"/>
    <w:rsid w:val="00591EB8"/>
    <w:rsid w:val="0059204A"/>
    <w:rsid w:val="0059257A"/>
    <w:rsid w:val="005928A7"/>
    <w:rsid w:val="00592C25"/>
    <w:rsid w:val="00593B94"/>
    <w:rsid w:val="00593FC2"/>
    <w:rsid w:val="00594940"/>
    <w:rsid w:val="005952E2"/>
    <w:rsid w:val="00595339"/>
    <w:rsid w:val="0059542A"/>
    <w:rsid w:val="0059770B"/>
    <w:rsid w:val="005A008F"/>
    <w:rsid w:val="005A27CF"/>
    <w:rsid w:val="005A3159"/>
    <w:rsid w:val="005A411E"/>
    <w:rsid w:val="005A5206"/>
    <w:rsid w:val="005A62AC"/>
    <w:rsid w:val="005A746C"/>
    <w:rsid w:val="005A7800"/>
    <w:rsid w:val="005B1189"/>
    <w:rsid w:val="005B1E31"/>
    <w:rsid w:val="005B386E"/>
    <w:rsid w:val="005B478B"/>
    <w:rsid w:val="005B58D6"/>
    <w:rsid w:val="005B5B92"/>
    <w:rsid w:val="005B6260"/>
    <w:rsid w:val="005C1099"/>
    <w:rsid w:val="005C12CA"/>
    <w:rsid w:val="005C1E3A"/>
    <w:rsid w:val="005C2037"/>
    <w:rsid w:val="005C2DF0"/>
    <w:rsid w:val="005C2F1A"/>
    <w:rsid w:val="005C3B60"/>
    <w:rsid w:val="005C4432"/>
    <w:rsid w:val="005C4953"/>
    <w:rsid w:val="005C6CBD"/>
    <w:rsid w:val="005D14BA"/>
    <w:rsid w:val="005D17B7"/>
    <w:rsid w:val="005D22F5"/>
    <w:rsid w:val="005D32A3"/>
    <w:rsid w:val="005D3952"/>
    <w:rsid w:val="005D3E43"/>
    <w:rsid w:val="005D40D4"/>
    <w:rsid w:val="005D589C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7CA5"/>
    <w:rsid w:val="005F7CAF"/>
    <w:rsid w:val="00600FC3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192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2070F"/>
    <w:rsid w:val="00621A28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461B"/>
    <w:rsid w:val="00634736"/>
    <w:rsid w:val="00634DBA"/>
    <w:rsid w:val="006350A1"/>
    <w:rsid w:val="00635BA0"/>
    <w:rsid w:val="00635EF3"/>
    <w:rsid w:val="00640097"/>
    <w:rsid w:val="006406F4"/>
    <w:rsid w:val="00640F18"/>
    <w:rsid w:val="006416DA"/>
    <w:rsid w:val="006417EC"/>
    <w:rsid w:val="00642498"/>
    <w:rsid w:val="006437FE"/>
    <w:rsid w:val="00644B5B"/>
    <w:rsid w:val="00645DF9"/>
    <w:rsid w:val="00646A84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444"/>
    <w:rsid w:val="00671E7A"/>
    <w:rsid w:val="00672487"/>
    <w:rsid w:val="00673A8C"/>
    <w:rsid w:val="006753AE"/>
    <w:rsid w:val="00675723"/>
    <w:rsid w:val="006765DE"/>
    <w:rsid w:val="0067664E"/>
    <w:rsid w:val="00676D4F"/>
    <w:rsid w:val="00677B42"/>
    <w:rsid w:val="00680C1B"/>
    <w:rsid w:val="00681589"/>
    <w:rsid w:val="00682468"/>
    <w:rsid w:val="0068254D"/>
    <w:rsid w:val="00682C73"/>
    <w:rsid w:val="00683088"/>
    <w:rsid w:val="00683966"/>
    <w:rsid w:val="00683ECB"/>
    <w:rsid w:val="00684095"/>
    <w:rsid w:val="0068580C"/>
    <w:rsid w:val="00687FF2"/>
    <w:rsid w:val="0069100C"/>
    <w:rsid w:val="0069124C"/>
    <w:rsid w:val="00691926"/>
    <w:rsid w:val="00697E04"/>
    <w:rsid w:val="006A06EB"/>
    <w:rsid w:val="006A2469"/>
    <w:rsid w:val="006A28CE"/>
    <w:rsid w:val="006A29EA"/>
    <w:rsid w:val="006A2D59"/>
    <w:rsid w:val="006A4197"/>
    <w:rsid w:val="006A4665"/>
    <w:rsid w:val="006A593C"/>
    <w:rsid w:val="006A63AD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6B5A"/>
    <w:rsid w:val="006B6C53"/>
    <w:rsid w:val="006C1073"/>
    <w:rsid w:val="006C10AB"/>
    <w:rsid w:val="006C1A84"/>
    <w:rsid w:val="006C1CC1"/>
    <w:rsid w:val="006C250B"/>
    <w:rsid w:val="006C420C"/>
    <w:rsid w:val="006C54A4"/>
    <w:rsid w:val="006C6CA5"/>
    <w:rsid w:val="006C6E36"/>
    <w:rsid w:val="006C703A"/>
    <w:rsid w:val="006C72E5"/>
    <w:rsid w:val="006C7478"/>
    <w:rsid w:val="006C77EC"/>
    <w:rsid w:val="006D30FE"/>
    <w:rsid w:val="006D3C95"/>
    <w:rsid w:val="006D3F9C"/>
    <w:rsid w:val="006D7FDA"/>
    <w:rsid w:val="006E0CA3"/>
    <w:rsid w:val="006E1B6D"/>
    <w:rsid w:val="006E22EE"/>
    <w:rsid w:val="006E2BCE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B82"/>
    <w:rsid w:val="006F4E9A"/>
    <w:rsid w:val="006F56D8"/>
    <w:rsid w:val="0070093D"/>
    <w:rsid w:val="007009E3"/>
    <w:rsid w:val="00701AF0"/>
    <w:rsid w:val="00702631"/>
    <w:rsid w:val="007028F7"/>
    <w:rsid w:val="00704290"/>
    <w:rsid w:val="00705E4A"/>
    <w:rsid w:val="00706115"/>
    <w:rsid w:val="007065C5"/>
    <w:rsid w:val="007066D8"/>
    <w:rsid w:val="0071285B"/>
    <w:rsid w:val="00712891"/>
    <w:rsid w:val="00713960"/>
    <w:rsid w:val="00715D11"/>
    <w:rsid w:val="00716989"/>
    <w:rsid w:val="007212C9"/>
    <w:rsid w:val="00721724"/>
    <w:rsid w:val="0072202E"/>
    <w:rsid w:val="007223D6"/>
    <w:rsid w:val="00724CA4"/>
    <w:rsid w:val="0072681F"/>
    <w:rsid w:val="00726B86"/>
    <w:rsid w:val="00727001"/>
    <w:rsid w:val="007273E5"/>
    <w:rsid w:val="0072766F"/>
    <w:rsid w:val="00731ACF"/>
    <w:rsid w:val="00732B3F"/>
    <w:rsid w:val="007330EA"/>
    <w:rsid w:val="007340C9"/>
    <w:rsid w:val="0073618E"/>
    <w:rsid w:val="00737217"/>
    <w:rsid w:val="00737C29"/>
    <w:rsid w:val="00737F53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6826"/>
    <w:rsid w:val="0075725A"/>
    <w:rsid w:val="00757690"/>
    <w:rsid w:val="00760479"/>
    <w:rsid w:val="0076580C"/>
    <w:rsid w:val="0076593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80CD3"/>
    <w:rsid w:val="00781989"/>
    <w:rsid w:val="007824D1"/>
    <w:rsid w:val="00782601"/>
    <w:rsid w:val="00782FAA"/>
    <w:rsid w:val="00785273"/>
    <w:rsid w:val="0078654A"/>
    <w:rsid w:val="00786EE7"/>
    <w:rsid w:val="007870A8"/>
    <w:rsid w:val="007874EB"/>
    <w:rsid w:val="0078771C"/>
    <w:rsid w:val="00787ACB"/>
    <w:rsid w:val="00790718"/>
    <w:rsid w:val="00794CA2"/>
    <w:rsid w:val="00795991"/>
    <w:rsid w:val="00796724"/>
    <w:rsid w:val="00797AF3"/>
    <w:rsid w:val="007A10E9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C7E23"/>
    <w:rsid w:val="007D0362"/>
    <w:rsid w:val="007D10C7"/>
    <w:rsid w:val="007D1900"/>
    <w:rsid w:val="007D324B"/>
    <w:rsid w:val="007D4B00"/>
    <w:rsid w:val="007D6195"/>
    <w:rsid w:val="007D6EC1"/>
    <w:rsid w:val="007D7AA5"/>
    <w:rsid w:val="007E024F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56C1"/>
    <w:rsid w:val="007F6C56"/>
    <w:rsid w:val="007F7069"/>
    <w:rsid w:val="0080018D"/>
    <w:rsid w:val="00800422"/>
    <w:rsid w:val="008017DD"/>
    <w:rsid w:val="00801847"/>
    <w:rsid w:val="008026D2"/>
    <w:rsid w:val="008029A2"/>
    <w:rsid w:val="00803F00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004"/>
    <w:rsid w:val="00815987"/>
    <w:rsid w:val="00815BA8"/>
    <w:rsid w:val="0081685B"/>
    <w:rsid w:val="00816FEC"/>
    <w:rsid w:val="00817E4C"/>
    <w:rsid w:val="00821603"/>
    <w:rsid w:val="0082256B"/>
    <w:rsid w:val="0082266C"/>
    <w:rsid w:val="00822BAB"/>
    <w:rsid w:val="00822CB9"/>
    <w:rsid w:val="00825096"/>
    <w:rsid w:val="0082606C"/>
    <w:rsid w:val="00826699"/>
    <w:rsid w:val="00831257"/>
    <w:rsid w:val="0083140F"/>
    <w:rsid w:val="00834A04"/>
    <w:rsid w:val="00836518"/>
    <w:rsid w:val="008376C2"/>
    <w:rsid w:val="008377F9"/>
    <w:rsid w:val="00840242"/>
    <w:rsid w:val="008407D9"/>
    <w:rsid w:val="00841C9C"/>
    <w:rsid w:val="00842714"/>
    <w:rsid w:val="00843F7B"/>
    <w:rsid w:val="0084438E"/>
    <w:rsid w:val="0084492D"/>
    <w:rsid w:val="00844D1E"/>
    <w:rsid w:val="00844EE4"/>
    <w:rsid w:val="00847E50"/>
    <w:rsid w:val="008500A1"/>
    <w:rsid w:val="008501A9"/>
    <w:rsid w:val="00855613"/>
    <w:rsid w:val="0085641A"/>
    <w:rsid w:val="00857405"/>
    <w:rsid w:val="008634C1"/>
    <w:rsid w:val="0086368E"/>
    <w:rsid w:val="00863785"/>
    <w:rsid w:val="00864B60"/>
    <w:rsid w:val="008657A9"/>
    <w:rsid w:val="008658D6"/>
    <w:rsid w:val="00865AFC"/>
    <w:rsid w:val="00865FC3"/>
    <w:rsid w:val="00866D7F"/>
    <w:rsid w:val="00866FB1"/>
    <w:rsid w:val="008677F5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42"/>
    <w:rsid w:val="00882478"/>
    <w:rsid w:val="00882A60"/>
    <w:rsid w:val="00885125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342"/>
    <w:rsid w:val="00896BD8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108"/>
    <w:rsid w:val="008B4C7A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3748"/>
    <w:rsid w:val="008E3835"/>
    <w:rsid w:val="008E4D6E"/>
    <w:rsid w:val="008E545B"/>
    <w:rsid w:val="008F0191"/>
    <w:rsid w:val="008F11C2"/>
    <w:rsid w:val="008F1554"/>
    <w:rsid w:val="008F2DD5"/>
    <w:rsid w:val="008F3868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205AF"/>
    <w:rsid w:val="00921AA0"/>
    <w:rsid w:val="00921ABD"/>
    <w:rsid w:val="00921B45"/>
    <w:rsid w:val="00922498"/>
    <w:rsid w:val="009237EC"/>
    <w:rsid w:val="009238CF"/>
    <w:rsid w:val="00923DB7"/>
    <w:rsid w:val="00924443"/>
    <w:rsid w:val="00924EDF"/>
    <w:rsid w:val="00926233"/>
    <w:rsid w:val="00931A5D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369B"/>
    <w:rsid w:val="009538AA"/>
    <w:rsid w:val="00954815"/>
    <w:rsid w:val="0095554C"/>
    <w:rsid w:val="00957BFA"/>
    <w:rsid w:val="0096054A"/>
    <w:rsid w:val="0096210B"/>
    <w:rsid w:val="00962613"/>
    <w:rsid w:val="00962FE9"/>
    <w:rsid w:val="00964911"/>
    <w:rsid w:val="009651C0"/>
    <w:rsid w:val="00965222"/>
    <w:rsid w:val="00965987"/>
    <w:rsid w:val="009660FC"/>
    <w:rsid w:val="00967005"/>
    <w:rsid w:val="0097176E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2451"/>
    <w:rsid w:val="00993897"/>
    <w:rsid w:val="00994E88"/>
    <w:rsid w:val="00994F7D"/>
    <w:rsid w:val="00995A88"/>
    <w:rsid w:val="0099791C"/>
    <w:rsid w:val="009A2000"/>
    <w:rsid w:val="009A3455"/>
    <w:rsid w:val="009A3A70"/>
    <w:rsid w:val="009A489E"/>
    <w:rsid w:val="009A524E"/>
    <w:rsid w:val="009A63F7"/>
    <w:rsid w:val="009A7D3D"/>
    <w:rsid w:val="009B255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C71"/>
    <w:rsid w:val="009D0C3F"/>
    <w:rsid w:val="009D1A26"/>
    <w:rsid w:val="009D29AE"/>
    <w:rsid w:val="009D2A45"/>
    <w:rsid w:val="009D321B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9C"/>
    <w:rsid w:val="009E54FA"/>
    <w:rsid w:val="009E6F99"/>
    <w:rsid w:val="009E753E"/>
    <w:rsid w:val="009F1134"/>
    <w:rsid w:val="009F1531"/>
    <w:rsid w:val="009F1A70"/>
    <w:rsid w:val="009F26E5"/>
    <w:rsid w:val="009F48B2"/>
    <w:rsid w:val="009F5E43"/>
    <w:rsid w:val="009F65B7"/>
    <w:rsid w:val="009F68A2"/>
    <w:rsid w:val="009F749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49F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268F0"/>
    <w:rsid w:val="00A30A5F"/>
    <w:rsid w:val="00A32582"/>
    <w:rsid w:val="00A32C78"/>
    <w:rsid w:val="00A33EAF"/>
    <w:rsid w:val="00A3536F"/>
    <w:rsid w:val="00A36261"/>
    <w:rsid w:val="00A36557"/>
    <w:rsid w:val="00A366A1"/>
    <w:rsid w:val="00A36D91"/>
    <w:rsid w:val="00A37BC4"/>
    <w:rsid w:val="00A438A1"/>
    <w:rsid w:val="00A43B69"/>
    <w:rsid w:val="00A440C7"/>
    <w:rsid w:val="00A45643"/>
    <w:rsid w:val="00A45AC3"/>
    <w:rsid w:val="00A47EC7"/>
    <w:rsid w:val="00A53FB7"/>
    <w:rsid w:val="00A54190"/>
    <w:rsid w:val="00A565B8"/>
    <w:rsid w:val="00A604EA"/>
    <w:rsid w:val="00A60F28"/>
    <w:rsid w:val="00A610D5"/>
    <w:rsid w:val="00A611DA"/>
    <w:rsid w:val="00A61879"/>
    <w:rsid w:val="00A621C1"/>
    <w:rsid w:val="00A624D8"/>
    <w:rsid w:val="00A6293C"/>
    <w:rsid w:val="00A62BA5"/>
    <w:rsid w:val="00A62E1B"/>
    <w:rsid w:val="00A62FC8"/>
    <w:rsid w:val="00A6454D"/>
    <w:rsid w:val="00A6471E"/>
    <w:rsid w:val="00A66503"/>
    <w:rsid w:val="00A67889"/>
    <w:rsid w:val="00A6789B"/>
    <w:rsid w:val="00A7026A"/>
    <w:rsid w:val="00A703EA"/>
    <w:rsid w:val="00A71CFB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20B"/>
    <w:rsid w:val="00A879D2"/>
    <w:rsid w:val="00A919DB"/>
    <w:rsid w:val="00A91A23"/>
    <w:rsid w:val="00A921F5"/>
    <w:rsid w:val="00A95CF2"/>
    <w:rsid w:val="00A96EC4"/>
    <w:rsid w:val="00A97B47"/>
    <w:rsid w:val="00AA06F4"/>
    <w:rsid w:val="00AA0AC2"/>
    <w:rsid w:val="00AA28EA"/>
    <w:rsid w:val="00AA2CB5"/>
    <w:rsid w:val="00AA4222"/>
    <w:rsid w:val="00AA4EDC"/>
    <w:rsid w:val="00AA6AAB"/>
    <w:rsid w:val="00AA6C65"/>
    <w:rsid w:val="00AA7D8E"/>
    <w:rsid w:val="00AB1BB4"/>
    <w:rsid w:val="00AB3714"/>
    <w:rsid w:val="00AB4970"/>
    <w:rsid w:val="00AB4A4F"/>
    <w:rsid w:val="00AB4DF5"/>
    <w:rsid w:val="00AB4E3D"/>
    <w:rsid w:val="00AB4F86"/>
    <w:rsid w:val="00AB52BB"/>
    <w:rsid w:val="00AB5FD3"/>
    <w:rsid w:val="00AB7374"/>
    <w:rsid w:val="00AC00AE"/>
    <w:rsid w:val="00AC12AF"/>
    <w:rsid w:val="00AC1A7A"/>
    <w:rsid w:val="00AC201F"/>
    <w:rsid w:val="00AC2797"/>
    <w:rsid w:val="00AC2C87"/>
    <w:rsid w:val="00AC328B"/>
    <w:rsid w:val="00AC4374"/>
    <w:rsid w:val="00AC7A04"/>
    <w:rsid w:val="00AC7F64"/>
    <w:rsid w:val="00AD0411"/>
    <w:rsid w:val="00AD070E"/>
    <w:rsid w:val="00AD0BC2"/>
    <w:rsid w:val="00AD2597"/>
    <w:rsid w:val="00AD25F3"/>
    <w:rsid w:val="00AD26EF"/>
    <w:rsid w:val="00AD4E99"/>
    <w:rsid w:val="00AD58AF"/>
    <w:rsid w:val="00AD699F"/>
    <w:rsid w:val="00AD6C2E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737"/>
    <w:rsid w:val="00B0794D"/>
    <w:rsid w:val="00B10337"/>
    <w:rsid w:val="00B108D6"/>
    <w:rsid w:val="00B10BF6"/>
    <w:rsid w:val="00B115A2"/>
    <w:rsid w:val="00B12840"/>
    <w:rsid w:val="00B12C80"/>
    <w:rsid w:val="00B12EC0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54E4"/>
    <w:rsid w:val="00B274FB"/>
    <w:rsid w:val="00B27BF4"/>
    <w:rsid w:val="00B311FD"/>
    <w:rsid w:val="00B3467F"/>
    <w:rsid w:val="00B364FB"/>
    <w:rsid w:val="00B40173"/>
    <w:rsid w:val="00B40564"/>
    <w:rsid w:val="00B40843"/>
    <w:rsid w:val="00B41C97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5411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05D1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3EE0"/>
    <w:rsid w:val="00B865F2"/>
    <w:rsid w:val="00B8733E"/>
    <w:rsid w:val="00B93B91"/>
    <w:rsid w:val="00B93BED"/>
    <w:rsid w:val="00B94EDF"/>
    <w:rsid w:val="00B9515D"/>
    <w:rsid w:val="00B95A7C"/>
    <w:rsid w:val="00B96D79"/>
    <w:rsid w:val="00B973FF"/>
    <w:rsid w:val="00BA077E"/>
    <w:rsid w:val="00BA563B"/>
    <w:rsid w:val="00BA5997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029"/>
    <w:rsid w:val="00BC04CF"/>
    <w:rsid w:val="00BC31C9"/>
    <w:rsid w:val="00BC488E"/>
    <w:rsid w:val="00BC6E39"/>
    <w:rsid w:val="00BD0109"/>
    <w:rsid w:val="00BD1BDB"/>
    <w:rsid w:val="00BD2A25"/>
    <w:rsid w:val="00BD3BB8"/>
    <w:rsid w:val="00BD4272"/>
    <w:rsid w:val="00BD4491"/>
    <w:rsid w:val="00BD44CA"/>
    <w:rsid w:val="00BD6FF3"/>
    <w:rsid w:val="00BD761F"/>
    <w:rsid w:val="00BE00E7"/>
    <w:rsid w:val="00BE0144"/>
    <w:rsid w:val="00BE1BEF"/>
    <w:rsid w:val="00BE1D77"/>
    <w:rsid w:val="00BE21C2"/>
    <w:rsid w:val="00BE2E66"/>
    <w:rsid w:val="00BE3B3F"/>
    <w:rsid w:val="00BE51C7"/>
    <w:rsid w:val="00BE55C3"/>
    <w:rsid w:val="00BE68C1"/>
    <w:rsid w:val="00BF0D9D"/>
    <w:rsid w:val="00BF128E"/>
    <w:rsid w:val="00BF1792"/>
    <w:rsid w:val="00BF49C7"/>
    <w:rsid w:val="00BF4E0C"/>
    <w:rsid w:val="00BF5A2E"/>
    <w:rsid w:val="00BF6770"/>
    <w:rsid w:val="00BF6F0C"/>
    <w:rsid w:val="00BF76BC"/>
    <w:rsid w:val="00BF7C26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C6A"/>
    <w:rsid w:val="00C21F9D"/>
    <w:rsid w:val="00C235CE"/>
    <w:rsid w:val="00C313F0"/>
    <w:rsid w:val="00C3281F"/>
    <w:rsid w:val="00C328C5"/>
    <w:rsid w:val="00C330FB"/>
    <w:rsid w:val="00C345CC"/>
    <w:rsid w:val="00C345FE"/>
    <w:rsid w:val="00C34DB1"/>
    <w:rsid w:val="00C37C24"/>
    <w:rsid w:val="00C37D24"/>
    <w:rsid w:val="00C37E20"/>
    <w:rsid w:val="00C37E42"/>
    <w:rsid w:val="00C44575"/>
    <w:rsid w:val="00C45568"/>
    <w:rsid w:val="00C46780"/>
    <w:rsid w:val="00C46BAD"/>
    <w:rsid w:val="00C46FFC"/>
    <w:rsid w:val="00C47BDB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333"/>
    <w:rsid w:val="00C634C1"/>
    <w:rsid w:val="00C64D96"/>
    <w:rsid w:val="00C65020"/>
    <w:rsid w:val="00C65974"/>
    <w:rsid w:val="00C66244"/>
    <w:rsid w:val="00C678C8"/>
    <w:rsid w:val="00C70229"/>
    <w:rsid w:val="00C704BB"/>
    <w:rsid w:val="00C7085F"/>
    <w:rsid w:val="00C71053"/>
    <w:rsid w:val="00C7193E"/>
    <w:rsid w:val="00C726C7"/>
    <w:rsid w:val="00C74341"/>
    <w:rsid w:val="00C76AA5"/>
    <w:rsid w:val="00C80343"/>
    <w:rsid w:val="00C80653"/>
    <w:rsid w:val="00C81AA5"/>
    <w:rsid w:val="00C81E33"/>
    <w:rsid w:val="00C82D7C"/>
    <w:rsid w:val="00C83067"/>
    <w:rsid w:val="00C83623"/>
    <w:rsid w:val="00C862D0"/>
    <w:rsid w:val="00C87DB4"/>
    <w:rsid w:val="00C90D7B"/>
    <w:rsid w:val="00C91395"/>
    <w:rsid w:val="00C92365"/>
    <w:rsid w:val="00C927D7"/>
    <w:rsid w:val="00C934D3"/>
    <w:rsid w:val="00C9355C"/>
    <w:rsid w:val="00C93648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25A"/>
    <w:rsid w:val="00CA540E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C130B"/>
    <w:rsid w:val="00CC34A7"/>
    <w:rsid w:val="00CC4638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C94"/>
    <w:rsid w:val="00CD2E49"/>
    <w:rsid w:val="00CD35BE"/>
    <w:rsid w:val="00CD368B"/>
    <w:rsid w:val="00CD3DCB"/>
    <w:rsid w:val="00CD4947"/>
    <w:rsid w:val="00CD4B8C"/>
    <w:rsid w:val="00CD4D45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E68A3"/>
    <w:rsid w:val="00CF0C46"/>
    <w:rsid w:val="00CF2418"/>
    <w:rsid w:val="00CF501B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12FC0"/>
    <w:rsid w:val="00D146A1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643"/>
    <w:rsid w:val="00D3012B"/>
    <w:rsid w:val="00D31605"/>
    <w:rsid w:val="00D325BC"/>
    <w:rsid w:val="00D3383B"/>
    <w:rsid w:val="00D35F2D"/>
    <w:rsid w:val="00D400EB"/>
    <w:rsid w:val="00D4130B"/>
    <w:rsid w:val="00D42201"/>
    <w:rsid w:val="00D4220F"/>
    <w:rsid w:val="00D42E96"/>
    <w:rsid w:val="00D42EA6"/>
    <w:rsid w:val="00D42FAB"/>
    <w:rsid w:val="00D46051"/>
    <w:rsid w:val="00D474B7"/>
    <w:rsid w:val="00D47B70"/>
    <w:rsid w:val="00D47B89"/>
    <w:rsid w:val="00D502B5"/>
    <w:rsid w:val="00D502BC"/>
    <w:rsid w:val="00D503B5"/>
    <w:rsid w:val="00D51163"/>
    <w:rsid w:val="00D51E7B"/>
    <w:rsid w:val="00D51F4B"/>
    <w:rsid w:val="00D528E9"/>
    <w:rsid w:val="00D52F37"/>
    <w:rsid w:val="00D532AD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6FA3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44F2"/>
    <w:rsid w:val="00D87B30"/>
    <w:rsid w:val="00D87DF1"/>
    <w:rsid w:val="00D9049A"/>
    <w:rsid w:val="00D90977"/>
    <w:rsid w:val="00D90BDE"/>
    <w:rsid w:val="00D90DE9"/>
    <w:rsid w:val="00D92BCE"/>
    <w:rsid w:val="00D93125"/>
    <w:rsid w:val="00D945DD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468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4C92"/>
    <w:rsid w:val="00DC4EDA"/>
    <w:rsid w:val="00DC57C5"/>
    <w:rsid w:val="00DC5B1C"/>
    <w:rsid w:val="00DC7593"/>
    <w:rsid w:val="00DC7EBA"/>
    <w:rsid w:val="00DD0C1A"/>
    <w:rsid w:val="00DD16B2"/>
    <w:rsid w:val="00DD2CBE"/>
    <w:rsid w:val="00DD3522"/>
    <w:rsid w:val="00DD4C58"/>
    <w:rsid w:val="00DD5D92"/>
    <w:rsid w:val="00DD63B4"/>
    <w:rsid w:val="00DD65B9"/>
    <w:rsid w:val="00DD67AA"/>
    <w:rsid w:val="00DD7E8D"/>
    <w:rsid w:val="00DE0B6C"/>
    <w:rsid w:val="00DE1E6F"/>
    <w:rsid w:val="00DE2B34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DF699A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10492"/>
    <w:rsid w:val="00E10B9E"/>
    <w:rsid w:val="00E11840"/>
    <w:rsid w:val="00E138C6"/>
    <w:rsid w:val="00E139BA"/>
    <w:rsid w:val="00E158E2"/>
    <w:rsid w:val="00E16233"/>
    <w:rsid w:val="00E16BB2"/>
    <w:rsid w:val="00E17692"/>
    <w:rsid w:val="00E179F4"/>
    <w:rsid w:val="00E17DB2"/>
    <w:rsid w:val="00E2327A"/>
    <w:rsid w:val="00E234B0"/>
    <w:rsid w:val="00E23AB7"/>
    <w:rsid w:val="00E24642"/>
    <w:rsid w:val="00E25DE2"/>
    <w:rsid w:val="00E26174"/>
    <w:rsid w:val="00E26E11"/>
    <w:rsid w:val="00E31E3C"/>
    <w:rsid w:val="00E31F38"/>
    <w:rsid w:val="00E322B0"/>
    <w:rsid w:val="00E33A3A"/>
    <w:rsid w:val="00E413CB"/>
    <w:rsid w:val="00E4150E"/>
    <w:rsid w:val="00E42BA4"/>
    <w:rsid w:val="00E4687A"/>
    <w:rsid w:val="00E46A79"/>
    <w:rsid w:val="00E472F0"/>
    <w:rsid w:val="00E47C9F"/>
    <w:rsid w:val="00E51A3B"/>
    <w:rsid w:val="00E531FD"/>
    <w:rsid w:val="00E5419F"/>
    <w:rsid w:val="00E56AF2"/>
    <w:rsid w:val="00E57A55"/>
    <w:rsid w:val="00E60747"/>
    <w:rsid w:val="00E6194B"/>
    <w:rsid w:val="00E61BBD"/>
    <w:rsid w:val="00E62195"/>
    <w:rsid w:val="00E63207"/>
    <w:rsid w:val="00E63476"/>
    <w:rsid w:val="00E639F1"/>
    <w:rsid w:val="00E65CF5"/>
    <w:rsid w:val="00E65EC6"/>
    <w:rsid w:val="00E700FF"/>
    <w:rsid w:val="00E7013F"/>
    <w:rsid w:val="00E71046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5301"/>
    <w:rsid w:val="00E954E0"/>
    <w:rsid w:val="00E95E2E"/>
    <w:rsid w:val="00E9677C"/>
    <w:rsid w:val="00E97E8D"/>
    <w:rsid w:val="00EA08EF"/>
    <w:rsid w:val="00EA35AE"/>
    <w:rsid w:val="00EA38DF"/>
    <w:rsid w:val="00EA423F"/>
    <w:rsid w:val="00EA4A18"/>
    <w:rsid w:val="00EA5247"/>
    <w:rsid w:val="00EA6406"/>
    <w:rsid w:val="00EA6C04"/>
    <w:rsid w:val="00EA714E"/>
    <w:rsid w:val="00EA7BC2"/>
    <w:rsid w:val="00EB2125"/>
    <w:rsid w:val="00EB3E9A"/>
    <w:rsid w:val="00EB47EF"/>
    <w:rsid w:val="00EB4C13"/>
    <w:rsid w:val="00EB5370"/>
    <w:rsid w:val="00EB739C"/>
    <w:rsid w:val="00EB7709"/>
    <w:rsid w:val="00EC0C6F"/>
    <w:rsid w:val="00EC1A58"/>
    <w:rsid w:val="00EC2709"/>
    <w:rsid w:val="00EC4E9E"/>
    <w:rsid w:val="00EC73B2"/>
    <w:rsid w:val="00EC773A"/>
    <w:rsid w:val="00EC7A77"/>
    <w:rsid w:val="00EC7BC5"/>
    <w:rsid w:val="00ED1213"/>
    <w:rsid w:val="00ED1EA6"/>
    <w:rsid w:val="00ED1F97"/>
    <w:rsid w:val="00ED296A"/>
    <w:rsid w:val="00ED454B"/>
    <w:rsid w:val="00ED4791"/>
    <w:rsid w:val="00ED4E9C"/>
    <w:rsid w:val="00ED539B"/>
    <w:rsid w:val="00ED556D"/>
    <w:rsid w:val="00ED5BC7"/>
    <w:rsid w:val="00ED7C59"/>
    <w:rsid w:val="00ED7DC7"/>
    <w:rsid w:val="00EE026D"/>
    <w:rsid w:val="00EE11A7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19E7"/>
    <w:rsid w:val="00F020D8"/>
    <w:rsid w:val="00F03465"/>
    <w:rsid w:val="00F03509"/>
    <w:rsid w:val="00F039F6"/>
    <w:rsid w:val="00F039F9"/>
    <w:rsid w:val="00F03A26"/>
    <w:rsid w:val="00F041CE"/>
    <w:rsid w:val="00F041E0"/>
    <w:rsid w:val="00F052F1"/>
    <w:rsid w:val="00F05345"/>
    <w:rsid w:val="00F055F6"/>
    <w:rsid w:val="00F05B41"/>
    <w:rsid w:val="00F0693E"/>
    <w:rsid w:val="00F07DEA"/>
    <w:rsid w:val="00F10D70"/>
    <w:rsid w:val="00F11158"/>
    <w:rsid w:val="00F1478F"/>
    <w:rsid w:val="00F147B2"/>
    <w:rsid w:val="00F15066"/>
    <w:rsid w:val="00F157D2"/>
    <w:rsid w:val="00F17D4A"/>
    <w:rsid w:val="00F206A9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40FDE"/>
    <w:rsid w:val="00F415B1"/>
    <w:rsid w:val="00F42341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4687"/>
    <w:rsid w:val="00F65330"/>
    <w:rsid w:val="00F67A6C"/>
    <w:rsid w:val="00F7096E"/>
    <w:rsid w:val="00F71D06"/>
    <w:rsid w:val="00F741E3"/>
    <w:rsid w:val="00F75C54"/>
    <w:rsid w:val="00F800B7"/>
    <w:rsid w:val="00F80AE7"/>
    <w:rsid w:val="00F83DF2"/>
    <w:rsid w:val="00F84195"/>
    <w:rsid w:val="00F843F8"/>
    <w:rsid w:val="00F84665"/>
    <w:rsid w:val="00F8482C"/>
    <w:rsid w:val="00F86280"/>
    <w:rsid w:val="00F87824"/>
    <w:rsid w:val="00F878F0"/>
    <w:rsid w:val="00F90605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B84"/>
    <w:rsid w:val="00F96F5A"/>
    <w:rsid w:val="00F974F0"/>
    <w:rsid w:val="00FA1E0D"/>
    <w:rsid w:val="00FA55CF"/>
    <w:rsid w:val="00FA59DD"/>
    <w:rsid w:val="00FA6372"/>
    <w:rsid w:val="00FA6471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399"/>
    <w:rsid w:val="00FD0BBA"/>
    <w:rsid w:val="00FD20E1"/>
    <w:rsid w:val="00FD2818"/>
    <w:rsid w:val="00FD4A30"/>
    <w:rsid w:val="00FD5808"/>
    <w:rsid w:val="00FD625A"/>
    <w:rsid w:val="00FD627D"/>
    <w:rsid w:val="00FD6382"/>
    <w:rsid w:val="00FD74CE"/>
    <w:rsid w:val="00FE0C23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2D9D"/>
    <w:rsid w:val="00FF40BB"/>
    <w:rsid w:val="00FF5CED"/>
    <w:rsid w:val="00FF7300"/>
    <w:rsid w:val="00FF735B"/>
    <w:rsid w:val="1DD77F2B"/>
    <w:rsid w:val="1FE96C05"/>
    <w:rsid w:val="20930F2C"/>
    <w:rsid w:val="32282BF2"/>
    <w:rsid w:val="4FAE4F1C"/>
    <w:rsid w:val="5385202A"/>
    <w:rsid w:val="6A26008E"/>
    <w:rsid w:val="6CD5111E"/>
    <w:rsid w:val="6F3B6886"/>
    <w:rsid w:val="762C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3">
    <w:name w:val="heading 2"/>
    <w:basedOn w:val="1"/>
    <w:next w:val="1"/>
    <w:link w:val="17"/>
    <w:qFormat/>
    <w:uiPriority w:val="99"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1"/>
    <w:next w:val="1"/>
    <w:link w:val="2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5"/>
    <w:next w:val="5"/>
    <w:link w:val="21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Hyperlink"/>
    <w:basedOn w:val="1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7">
    <w:name w:val="标题 2 字符"/>
    <w:basedOn w:val="13"/>
    <w:link w:val="3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8">
    <w:name w:val="标题 1 字符"/>
    <w:basedOn w:val="13"/>
    <w:link w:val="2"/>
    <w:qFormat/>
    <w:uiPriority w:val="0"/>
    <w:rPr>
      <w:rFonts w:ascii="Times New Roman" w:hAnsi="Times New Roman" w:eastAsia="华文行楷" w:cs="Times New Roman"/>
      <w:kern w:val="44"/>
      <w:sz w:val="44"/>
      <w:szCs w:val="20"/>
    </w:rPr>
  </w:style>
  <w:style w:type="paragraph" w:customStyle="1" w:styleId="19">
    <w:name w:val="Default"/>
    <w:qFormat/>
    <w:uiPriority w:val="0"/>
    <w:pPr>
      <w:autoSpaceDE w:val="0"/>
      <w:autoSpaceDN w:val="0"/>
      <w:adjustRightInd w:val="0"/>
    </w:pPr>
    <w:rPr>
      <w:rFonts w:ascii="Georgia" w:hAnsi="Georgia" w:eastAsia="宋体" w:cs="Georgia"/>
      <w:color w:val="000000"/>
      <w:sz w:val="24"/>
      <w:szCs w:val="24"/>
      <w:lang w:val="en-US" w:eastAsia="zh-CN" w:bidi="ar-SA"/>
    </w:rPr>
  </w:style>
  <w:style w:type="character" w:customStyle="1" w:styleId="20">
    <w:name w:val="批注文字 字符"/>
    <w:basedOn w:val="13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1">
    <w:name w:val="批注主题 字符"/>
    <w:basedOn w:val="20"/>
    <w:link w:val="10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2">
    <w:name w:val="批注框文本 字符"/>
    <w:basedOn w:val="13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眉 字符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basedOn w:val="13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5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6">
    <w:name w:val="List Paragraph"/>
    <w:basedOn w:val="1"/>
    <w:qFormat/>
    <w:uiPriority w:val="1"/>
    <w:pPr>
      <w:ind w:firstLine="420" w:firstLineChars="200"/>
    </w:pPr>
  </w:style>
  <w:style w:type="character" w:customStyle="1" w:styleId="27">
    <w:name w:val="标题 4 字符"/>
    <w:basedOn w:val="13"/>
    <w:link w:val="4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28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9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3F283-EA02-4CAB-B7D9-8B6BED356C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yanjiushengyuan</Company>
  <Pages>6</Pages>
  <Words>4241</Words>
  <Characters>4449</Characters>
  <Lines>34</Lines>
  <Paragraphs>9</Paragraphs>
  <TotalTime>3</TotalTime>
  <ScaleCrop>false</ScaleCrop>
  <LinksUpToDate>false</LinksUpToDate>
  <CharactersWithSpaces>4474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2025-03-05T06:47:00Z</dcterms:created>
  <dc:creator>刘明旭</dc:creator>
  <cp:lastModifiedBy>可儿</cp:lastModifiedBy>
  <cp:lastPrinted>2025-03-14T03:17:00Z</cp:lastPrinted>
  <dcterms:modified xsi:type="dcterms:W3CDTF">2025-07-11T03:21:36Z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59D6EBAA11D34F26962245470B34D44A</vt:lpwstr>
  </property>
  <property fmtid="{D5CDD505-2E9C-101B-9397-08002B2CF9AE}" pid="4" name="KSOTemplateDocerSaveRecord">
    <vt:lpwstr>eyJoZGlkIjoiZTc1ZjU4ZGM4MmRlYjBkMGFiM2M0MTg2NzI5ZTI4NzUiLCJ1c2VySWQiOiIzMjM0MDI2NTMifQ==</vt:lpwstr>
  </property>
</Properties>
</file>