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F647C">
      <w:pPr>
        <w:keepNext w:val="0"/>
        <w:keepLines w:val="0"/>
        <w:pageBreakBefore w:val="0"/>
        <w:kinsoku/>
        <w:wordWrap/>
        <w:overflowPunct/>
        <w:topLinePunct w:val="0"/>
        <w:autoSpaceDE/>
        <w:autoSpaceDN/>
        <w:bidi w:val="0"/>
        <w:spacing w:line="360" w:lineRule="auto"/>
        <w:ind w:left="321" w:leftChars="153" w:right="227"/>
        <w:jc w:val="center"/>
        <w:textAlignment w:val="auto"/>
        <w:rPr>
          <w:rFonts w:eastAsia="黑体"/>
          <w:b/>
          <w:bCs/>
          <w:sz w:val="36"/>
          <w:szCs w:val="36"/>
        </w:rPr>
      </w:pPr>
      <w:r>
        <w:rPr>
          <w:rFonts w:hint="eastAsia" w:eastAsia="黑体"/>
          <w:b/>
          <w:bCs/>
          <w:i w:val="0"/>
          <w:iCs/>
          <w:color w:val="auto"/>
          <w:sz w:val="36"/>
          <w:szCs w:val="36"/>
          <w:u w:val="none"/>
          <w:lang w:val="en-US" w:eastAsia="zh-CN"/>
        </w:rPr>
        <w:t>植物学</w:t>
      </w:r>
      <w:r>
        <w:rPr>
          <w:rFonts w:eastAsia="黑体"/>
          <w:b/>
          <w:bCs/>
          <w:sz w:val="36"/>
          <w:szCs w:val="36"/>
        </w:rPr>
        <w:t>专业学术学位硕士研究生培养方案</w:t>
      </w:r>
    </w:p>
    <w:p w14:paraId="5BF1D25A">
      <w:pPr>
        <w:keepNext w:val="0"/>
        <w:keepLines w:val="0"/>
        <w:pageBreakBefore w:val="0"/>
        <w:kinsoku/>
        <w:wordWrap/>
        <w:overflowPunct/>
        <w:topLinePunct w:val="0"/>
        <w:autoSpaceDE/>
        <w:autoSpaceDN/>
        <w:bidi w:val="0"/>
        <w:spacing w:line="360" w:lineRule="auto"/>
        <w:ind w:left="321" w:leftChars="153" w:right="227"/>
        <w:jc w:val="center"/>
        <w:textAlignment w:val="auto"/>
        <w:rPr>
          <w:rFonts w:eastAsia="黑体"/>
          <w:b/>
          <w:bCs/>
          <w:sz w:val="28"/>
          <w:szCs w:val="28"/>
        </w:rPr>
      </w:pPr>
      <w:r>
        <w:rPr>
          <w:rFonts w:eastAsia="黑体"/>
          <w:b/>
          <w:bCs/>
          <w:sz w:val="28"/>
          <w:szCs w:val="28"/>
        </w:rPr>
        <w:t>（</w:t>
      </w:r>
      <w:r>
        <w:rPr>
          <w:rFonts w:hint="eastAsia" w:eastAsia="黑体"/>
          <w:b/>
          <w:bCs/>
          <w:sz w:val="28"/>
          <w:szCs w:val="28"/>
          <w:lang w:val="en-US" w:eastAsia="zh-CN"/>
        </w:rPr>
        <w:t>生命科学</w:t>
      </w:r>
      <w:r>
        <w:rPr>
          <w:rFonts w:eastAsia="黑体"/>
          <w:b/>
          <w:bCs/>
          <w:sz w:val="28"/>
          <w:szCs w:val="28"/>
        </w:rPr>
        <w:t>学院)</w:t>
      </w:r>
    </w:p>
    <w:p w14:paraId="52A2ED5E">
      <w:pPr>
        <w:keepNext w:val="0"/>
        <w:keepLines w:val="0"/>
        <w:pageBreakBefore w:val="0"/>
        <w:kinsoku/>
        <w:wordWrap/>
        <w:overflowPunct/>
        <w:topLinePunct w:val="0"/>
        <w:autoSpaceDE/>
        <w:autoSpaceDN/>
        <w:bidi w:val="0"/>
        <w:spacing w:line="360" w:lineRule="auto"/>
        <w:ind w:firstLine="560"/>
        <w:textAlignment w:val="auto"/>
        <w:rPr>
          <w:rFonts w:eastAsia="黑体"/>
          <w:bCs/>
          <w:sz w:val="28"/>
          <w:szCs w:val="28"/>
        </w:rPr>
      </w:pPr>
      <w:r>
        <w:rPr>
          <w:rFonts w:eastAsia="黑体"/>
          <w:bCs/>
          <w:sz w:val="28"/>
          <w:szCs w:val="28"/>
        </w:rPr>
        <w:t>一、专业名称、代码</w:t>
      </w:r>
    </w:p>
    <w:p w14:paraId="57B81D33">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960" w:firstLineChars="400"/>
        <w:jc w:val="left"/>
        <w:textAlignment w:val="auto"/>
        <w:rPr>
          <w:rFonts w:hint="eastAsia"/>
          <w:color w:val="222222"/>
          <w:kern w:val="0"/>
          <w:sz w:val="24"/>
          <w:lang w:val="en-US" w:eastAsia="zh-CN"/>
        </w:rPr>
      </w:pPr>
      <w:r>
        <w:rPr>
          <w:color w:val="222222"/>
          <w:kern w:val="0"/>
          <w:sz w:val="24"/>
        </w:rPr>
        <w:t>专业名称：</w:t>
      </w:r>
      <w:r>
        <w:rPr>
          <w:rFonts w:hint="eastAsia"/>
          <w:color w:val="222222"/>
          <w:kern w:val="0"/>
          <w:sz w:val="24"/>
          <w:lang w:val="en-US" w:eastAsia="zh-CN"/>
        </w:rPr>
        <w:t>植物学</w:t>
      </w:r>
    </w:p>
    <w:p w14:paraId="43C1EC0C">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960" w:firstLineChars="400"/>
        <w:jc w:val="left"/>
        <w:textAlignment w:val="auto"/>
        <w:rPr>
          <w:color w:val="222222"/>
          <w:kern w:val="0"/>
          <w:sz w:val="24"/>
        </w:rPr>
      </w:pPr>
      <w:r>
        <w:rPr>
          <w:color w:val="222222"/>
          <w:kern w:val="0"/>
          <w:sz w:val="24"/>
        </w:rPr>
        <w:t>专业代码：</w:t>
      </w:r>
      <w:r>
        <w:rPr>
          <w:rFonts w:hint="eastAsia"/>
          <w:color w:val="222222"/>
          <w:kern w:val="0"/>
          <w:sz w:val="24"/>
        </w:rPr>
        <w:t>071001</w:t>
      </w:r>
    </w:p>
    <w:p w14:paraId="763B0800">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53C684F7">
      <w:pPr>
        <w:keepNext w:val="0"/>
        <w:keepLines w:val="0"/>
        <w:pageBreakBefore w:val="0"/>
        <w:kinsoku/>
        <w:wordWrap/>
        <w:overflowPunct/>
        <w:topLinePunct w:val="0"/>
        <w:autoSpaceDE/>
        <w:autoSpaceDN/>
        <w:bidi w:val="0"/>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植物学是生物学的分支学科。是研究植物的形态、分类、生理、生态、分布、发生、遗传、进化的科学。它的主要分科有植物分类学、植物形态学、植物生理学、植物生态学、植物病理学、植物地理学等。目的在于开发、利用、改造和保护植物资源，让植物为人类提供更多的食物、纤维、药物、建筑材料等。</w:t>
      </w:r>
    </w:p>
    <w:p w14:paraId="5F8F6C03">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sz w:val="28"/>
          <w:szCs w:val="28"/>
        </w:rPr>
      </w:pPr>
      <w:r>
        <w:rPr>
          <w:rFonts w:eastAsia="黑体"/>
          <w:bCs/>
          <w:sz w:val="28"/>
          <w:szCs w:val="28"/>
        </w:rPr>
        <w:t>三、研究方向</w:t>
      </w:r>
    </w:p>
    <w:p w14:paraId="0C901A30">
      <w:pPr>
        <w:keepNext w:val="0"/>
        <w:keepLines w:val="0"/>
        <w:pageBreakBefore w:val="0"/>
        <w:kinsoku/>
        <w:wordWrap/>
        <w:overflowPunct/>
        <w:topLinePunct w:val="0"/>
        <w:autoSpaceDE/>
        <w:autoSpaceDN/>
        <w:bidi w:val="0"/>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1</w:t>
      </w:r>
      <w:r>
        <w:rPr>
          <w:rFonts w:hint="eastAsia" w:eastAsiaTheme="minorEastAsia"/>
          <w:i w:val="0"/>
          <w:iCs/>
          <w:color w:val="auto"/>
          <w:sz w:val="24"/>
          <w:lang w:val="en-US" w:eastAsia="zh-CN"/>
        </w:rPr>
        <w:t xml:space="preserve">. </w:t>
      </w:r>
      <w:r>
        <w:rPr>
          <w:rFonts w:hint="eastAsia" w:eastAsiaTheme="minorEastAsia"/>
          <w:i w:val="0"/>
          <w:iCs/>
          <w:color w:val="auto"/>
          <w:sz w:val="24"/>
        </w:rPr>
        <w:t>菌根生物学</w:t>
      </w:r>
      <w:r>
        <w:rPr>
          <w:rFonts w:hint="eastAsia" w:eastAsiaTheme="minorEastAsia"/>
          <w:i w:val="0"/>
          <w:iCs/>
          <w:color w:val="auto"/>
          <w:sz w:val="24"/>
          <w:lang w:eastAsia="zh-CN"/>
        </w:rPr>
        <w:t>：</w:t>
      </w:r>
      <w:r>
        <w:rPr>
          <w:rFonts w:hint="eastAsia" w:eastAsiaTheme="minorEastAsia"/>
          <w:i w:val="0"/>
          <w:iCs/>
          <w:color w:val="auto"/>
          <w:sz w:val="24"/>
        </w:rPr>
        <w:t>本方向理论与实践相结合，积极开展交叉学科研究，重点进行植物与微生物共生关系理论和应用研究。共生关系主要研究陆地生态系统中丛枝菌根真菌多样性和生态分布规律，菌根共生体在植被恢复、植物生长发育过程中的作用机理和应用</w:t>
      </w:r>
      <w:r>
        <w:rPr>
          <w:rFonts w:hint="eastAsia" w:eastAsiaTheme="minorEastAsia"/>
          <w:i w:val="0"/>
          <w:iCs/>
          <w:color w:val="auto"/>
          <w:sz w:val="24"/>
          <w:lang w:eastAsia="zh-CN"/>
        </w:rPr>
        <w:t>；</w:t>
      </w:r>
      <w:r>
        <w:rPr>
          <w:rFonts w:hint="eastAsia" w:eastAsiaTheme="minorEastAsia"/>
          <w:i w:val="0"/>
          <w:iCs/>
          <w:color w:val="auto"/>
          <w:sz w:val="24"/>
        </w:rPr>
        <w:t>丛枝菌根共生体与道地中药材生长和有效成分代谢之间的相互关系</w:t>
      </w:r>
      <w:r>
        <w:rPr>
          <w:rFonts w:hint="eastAsia" w:eastAsiaTheme="minorEastAsia"/>
          <w:i w:val="0"/>
          <w:iCs/>
          <w:color w:val="auto"/>
          <w:sz w:val="24"/>
          <w:lang w:eastAsia="zh-CN"/>
        </w:rPr>
        <w:t>；</w:t>
      </w:r>
      <w:r>
        <w:rPr>
          <w:rFonts w:hint="eastAsia" w:eastAsiaTheme="minorEastAsia"/>
          <w:i w:val="0"/>
          <w:iCs/>
          <w:color w:val="auto"/>
          <w:sz w:val="24"/>
        </w:rPr>
        <w:t>以及菌根生物技术的研发工作。</w:t>
      </w:r>
    </w:p>
    <w:p w14:paraId="79F5F333">
      <w:pPr>
        <w:keepNext w:val="0"/>
        <w:keepLines w:val="0"/>
        <w:pageBreakBefore w:val="0"/>
        <w:kinsoku/>
        <w:wordWrap/>
        <w:overflowPunct/>
        <w:topLinePunct w:val="0"/>
        <w:autoSpaceDE/>
        <w:autoSpaceDN/>
        <w:bidi w:val="0"/>
        <w:spacing w:line="360" w:lineRule="auto"/>
        <w:ind w:firstLine="480" w:firstLineChars="200"/>
        <w:textAlignment w:val="auto"/>
        <w:rPr>
          <w:rFonts w:hint="eastAsia" w:eastAsiaTheme="minorEastAsia"/>
          <w:i w:val="0"/>
          <w:iCs/>
          <w:color w:val="auto"/>
          <w:sz w:val="24"/>
          <w:lang w:val="en-US" w:eastAsia="zh-CN"/>
        </w:rPr>
      </w:pPr>
      <w:r>
        <w:rPr>
          <w:rFonts w:hint="eastAsia" w:eastAsiaTheme="minorEastAsia"/>
          <w:i w:val="0"/>
          <w:iCs/>
          <w:color w:val="auto"/>
          <w:sz w:val="24"/>
          <w:lang w:val="en-US" w:eastAsia="zh-CN"/>
        </w:rPr>
        <w:t>2. 生物互作与入侵植物学：农林重大有害入侵植物的种群构建、生存与适应、演变与进化、种间互作的生物内在特性，以及环境响应与系统抵御的外部特征及防御与控制的技术等。因此，生物互作与入侵植物学既着重于研究有害生物传入至成灾的过程与机制，又着重于发展有害植物的防控技术。入侵植物学的研究不同于传统意义上的植物学研究，生物互作与入侵植物学是综合了分子生物学、分子生态学、生态基因组学、化学生态学、生物地理学、系统生态学等众多学科的理论、技术与方法的交叉学科。</w:t>
      </w:r>
    </w:p>
    <w:p w14:paraId="0F37537F">
      <w:pPr>
        <w:keepNext w:val="0"/>
        <w:keepLines w:val="0"/>
        <w:pageBreakBefore w:val="0"/>
        <w:numPr>
          <w:ilvl w:val="0"/>
          <w:numId w:val="0"/>
        </w:numPr>
        <w:kinsoku/>
        <w:wordWrap/>
        <w:overflowPunct/>
        <w:topLinePunct w:val="0"/>
        <w:autoSpaceDE/>
        <w:autoSpaceDN/>
        <w:bidi w:val="0"/>
        <w:spacing w:line="360" w:lineRule="auto"/>
        <w:ind w:firstLine="480" w:firstLineChars="200"/>
        <w:textAlignment w:val="auto"/>
        <w:rPr>
          <w:rFonts w:hint="default" w:eastAsiaTheme="minorEastAsia"/>
          <w:i w:val="0"/>
          <w:iCs/>
          <w:color w:val="auto"/>
          <w:sz w:val="24"/>
          <w:lang w:val="en-US" w:eastAsia="zh-CN"/>
        </w:rPr>
      </w:pPr>
      <w:r>
        <w:rPr>
          <w:rFonts w:hint="eastAsia" w:eastAsiaTheme="minorEastAsia"/>
          <w:i w:val="0"/>
          <w:iCs/>
          <w:color w:val="auto"/>
          <w:sz w:val="24"/>
          <w:lang w:val="en-US" w:eastAsia="zh-CN"/>
        </w:rPr>
        <w:t xml:space="preserve">3. </w:t>
      </w:r>
      <w:r>
        <w:rPr>
          <w:rFonts w:hint="default" w:eastAsiaTheme="minorEastAsia"/>
          <w:i w:val="0"/>
          <w:iCs/>
          <w:color w:val="auto"/>
          <w:sz w:val="24"/>
          <w:lang w:val="en-US" w:eastAsia="zh-CN"/>
        </w:rPr>
        <w:t>资源植物化学</w:t>
      </w:r>
      <w:r>
        <w:rPr>
          <w:rFonts w:hint="eastAsia" w:eastAsiaTheme="minorEastAsia"/>
          <w:i w:val="0"/>
          <w:iCs/>
          <w:color w:val="auto"/>
          <w:sz w:val="24"/>
          <w:lang w:val="en-US" w:eastAsia="zh-CN"/>
        </w:rPr>
        <w:t>与</w:t>
      </w:r>
      <w:r>
        <w:rPr>
          <w:rFonts w:hint="default" w:eastAsiaTheme="minorEastAsia"/>
          <w:i w:val="0"/>
          <w:iCs/>
          <w:color w:val="auto"/>
          <w:sz w:val="24"/>
          <w:lang w:val="en-US" w:eastAsia="zh-CN"/>
        </w:rPr>
        <w:t>植物分子生物学</w:t>
      </w:r>
      <w:r>
        <w:rPr>
          <w:rFonts w:hint="eastAsia" w:eastAsiaTheme="minorEastAsia"/>
          <w:i w:val="0"/>
          <w:iCs/>
          <w:color w:val="auto"/>
          <w:sz w:val="24"/>
          <w:lang w:val="en-US" w:eastAsia="zh-CN"/>
        </w:rPr>
        <w:t>：</w:t>
      </w:r>
      <w:r>
        <w:rPr>
          <w:rFonts w:hint="default" w:eastAsiaTheme="minorEastAsia"/>
          <w:i w:val="0"/>
          <w:iCs/>
          <w:color w:val="auto"/>
          <w:sz w:val="24"/>
          <w:lang w:val="en-US" w:eastAsia="zh-CN"/>
        </w:rPr>
        <w:t>本方向利用分子生物学和基因工程原理和技术致力于外源基因克隆和向植物的转移及表达，并以转基因植物和合适的栽培种或野生种为育种材料培育带有转入基因性状的植物品系领域的研究工作。运用化学和现代分析手段，开展植物化学成分的分离纯化、结构测定、生物活性与功能、结构修饰与合成的研究，与相关学科相结合，重点开展植物源药及生物农药、生物活性成分及天然先导化合物等领域的研究。</w:t>
      </w:r>
    </w:p>
    <w:p w14:paraId="76461248">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sz w:val="28"/>
          <w:szCs w:val="28"/>
        </w:rPr>
      </w:pPr>
      <w:r>
        <w:rPr>
          <w:rFonts w:eastAsia="黑体"/>
          <w:bCs/>
          <w:sz w:val="28"/>
          <w:szCs w:val="28"/>
        </w:rPr>
        <w:t>四、学制及学习年限</w:t>
      </w:r>
    </w:p>
    <w:p w14:paraId="37EFDFAA">
      <w:pPr>
        <w:keepNext w:val="0"/>
        <w:keepLines w:val="0"/>
        <w:pageBreakBefore w:val="0"/>
        <w:kinsoku/>
        <w:wordWrap/>
        <w:overflowPunct/>
        <w:topLinePunct w:val="0"/>
        <w:autoSpaceDE/>
        <w:autoSpaceDN/>
        <w:bidi w:val="0"/>
        <w:spacing w:line="360" w:lineRule="auto"/>
        <w:ind w:firstLine="480" w:firstLineChars="200"/>
        <w:textAlignment w:val="auto"/>
        <w:rPr>
          <w:rFonts w:eastAsiaTheme="minorEastAsia"/>
          <w:i/>
          <w:color w:val="FF0000"/>
          <w:sz w:val="24"/>
        </w:rPr>
      </w:pPr>
      <w:r>
        <w:rPr>
          <w:rFonts w:eastAsiaTheme="minorEastAsia"/>
          <w:color w:val="000000"/>
          <w:sz w:val="24"/>
        </w:rPr>
        <w:t>本专业学制为3年，在校最长学习年限（含休学）不超过6年。</w:t>
      </w:r>
    </w:p>
    <w:p w14:paraId="402D13A4">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sz w:val="28"/>
          <w:szCs w:val="28"/>
        </w:rPr>
      </w:pPr>
      <w:r>
        <w:rPr>
          <w:rFonts w:eastAsia="黑体"/>
          <w:bCs/>
          <w:sz w:val="28"/>
          <w:szCs w:val="28"/>
        </w:rPr>
        <w:t>五、培养目标</w:t>
      </w:r>
    </w:p>
    <w:p w14:paraId="5DF6DC83">
      <w:pPr>
        <w:keepNext w:val="0"/>
        <w:keepLines w:val="0"/>
        <w:pageBreakBefore w:val="0"/>
        <w:kinsoku/>
        <w:wordWrap/>
        <w:overflowPunct/>
        <w:topLinePunct w:val="0"/>
        <w:autoSpaceDE/>
        <w:autoSpaceDN/>
        <w:bidi w:val="0"/>
        <w:spacing w:line="360" w:lineRule="auto"/>
        <w:ind w:firstLine="480"/>
        <w:textAlignment w:val="auto"/>
        <w:rPr>
          <w:rFonts w:hint="eastAsia" w:eastAsiaTheme="minorEastAsia"/>
          <w:i w:val="0"/>
          <w:iCs/>
          <w:color w:val="auto"/>
          <w:sz w:val="24"/>
        </w:rPr>
      </w:pPr>
      <w:r>
        <w:rPr>
          <w:rFonts w:hint="eastAsia" w:eastAsiaTheme="minorEastAsia"/>
          <w:i w:val="0"/>
          <w:iCs/>
          <w:color w:val="auto"/>
          <w:sz w:val="24"/>
        </w:rPr>
        <w:t>硕士研究生教育既承担着为社会主义培养各类高层次人才的任务，又承担着为博士生教育输送合格生源的任务。本学科研究生通过对国内外有关</w:t>
      </w:r>
      <w:r>
        <w:rPr>
          <w:rFonts w:hint="eastAsia" w:eastAsiaTheme="minorEastAsia"/>
          <w:i w:val="0"/>
          <w:iCs/>
          <w:color w:val="auto"/>
          <w:sz w:val="24"/>
          <w:lang w:val="en-US" w:eastAsia="zh-CN"/>
        </w:rPr>
        <w:t>植物学</w:t>
      </w:r>
      <w:r>
        <w:rPr>
          <w:rFonts w:hint="eastAsia" w:eastAsiaTheme="minorEastAsia"/>
          <w:i w:val="0"/>
          <w:iCs/>
          <w:color w:val="auto"/>
          <w:sz w:val="24"/>
        </w:rPr>
        <w:t>最新研究的理论与方法、技术与体系的学习，掌握这一学科发展的新动向和新趋势，训练从事该领域研究的思维方式与工作能力，拓宽知识面与科研思路。至少掌握一门外国语，能熟练阅读本专业的外文资料，具有撰写学术论文和进行国际学术交流的能力。在实践方面，熟练运用计算机和有关先进仪器设备，掌握野外、田间及实验室有关</w:t>
      </w:r>
      <w:r>
        <w:rPr>
          <w:rFonts w:hint="eastAsia" w:eastAsiaTheme="minorEastAsia"/>
          <w:i w:val="0"/>
          <w:iCs/>
          <w:color w:val="auto"/>
          <w:sz w:val="24"/>
          <w:lang w:val="en-US" w:eastAsia="zh-CN"/>
        </w:rPr>
        <w:t>植物学</w:t>
      </w:r>
      <w:r>
        <w:rPr>
          <w:rFonts w:hint="eastAsia" w:eastAsiaTheme="minorEastAsia"/>
          <w:i w:val="0"/>
          <w:iCs/>
          <w:color w:val="auto"/>
          <w:sz w:val="24"/>
        </w:rPr>
        <w:t>的综合实验技能</w:t>
      </w:r>
      <w:r>
        <w:rPr>
          <w:rFonts w:hint="eastAsia" w:eastAsiaTheme="minorEastAsia"/>
          <w:i w:val="0"/>
          <w:iCs/>
          <w:color w:val="auto"/>
          <w:sz w:val="24"/>
          <w:lang w:eastAsia="zh-CN"/>
        </w:rPr>
        <w:t>。</w:t>
      </w:r>
      <w:r>
        <w:rPr>
          <w:rFonts w:eastAsiaTheme="minorEastAsia"/>
          <w:i w:val="0"/>
          <w:iCs/>
          <w:color w:val="auto"/>
          <w:sz w:val="24"/>
        </w:rPr>
        <w:t>具有良好的团队意识和团队合作精神</w:t>
      </w:r>
      <w:r>
        <w:rPr>
          <w:rFonts w:hint="eastAsia" w:eastAsiaTheme="minorEastAsia"/>
          <w:i w:val="0"/>
          <w:iCs/>
          <w:color w:val="auto"/>
          <w:sz w:val="24"/>
          <w:lang w:eastAsia="zh-CN"/>
        </w:rPr>
        <w:t>，</w:t>
      </w:r>
      <w:r>
        <w:rPr>
          <w:rFonts w:eastAsiaTheme="minorEastAsia"/>
          <w:i w:val="0"/>
          <w:iCs/>
          <w:color w:val="auto"/>
          <w:sz w:val="24"/>
        </w:rPr>
        <w:t xml:space="preserve"> 具有良好的心理素养</w:t>
      </w:r>
      <w:r>
        <w:rPr>
          <w:rFonts w:hint="eastAsia" w:eastAsiaTheme="minorEastAsia"/>
          <w:i w:val="0"/>
          <w:iCs/>
          <w:color w:val="auto"/>
          <w:sz w:val="24"/>
          <w:lang w:eastAsia="zh-CN"/>
        </w:rPr>
        <w:t>，</w:t>
      </w:r>
      <w:r>
        <w:rPr>
          <w:rFonts w:hint="eastAsia" w:eastAsiaTheme="minorEastAsia"/>
          <w:i w:val="0"/>
          <w:iCs/>
          <w:color w:val="auto"/>
          <w:sz w:val="24"/>
        </w:rPr>
        <w:t>培养具有组织及独立从事入侵生物学科研、教学、管理等工作能力的有理想、有道德、有文化、有纪律，能适应多种岗位需求的社会主义建设事业高层次专门人才。</w:t>
      </w:r>
    </w:p>
    <w:p w14:paraId="7ECDC9AE">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sz w:val="28"/>
          <w:szCs w:val="28"/>
        </w:rPr>
      </w:pPr>
      <w:r>
        <w:rPr>
          <w:rFonts w:eastAsia="黑体"/>
          <w:bCs/>
          <w:sz w:val="28"/>
          <w:szCs w:val="28"/>
        </w:rPr>
        <w:t>六、培养方式</w:t>
      </w:r>
    </w:p>
    <w:p w14:paraId="52CD8ABD">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00000"/>
          <w:sz w:val="28"/>
          <w:szCs w:val="28"/>
        </w:rPr>
      </w:pPr>
      <w:r>
        <w:rPr>
          <w:rFonts w:hint="eastAsia" w:eastAsiaTheme="minorEastAsia"/>
          <w:i w:val="0"/>
          <w:iCs/>
          <w:color w:val="auto"/>
          <w:sz w:val="24"/>
        </w:rPr>
        <w:t>全日制硕士研究生基本学制为3年，第一年以课程学习为主，后两年以学位论文为主。根据研究生培养的实际情况可适当提前或延期毕业，但须按有关规定，经本人申请，导师和所在学院同意，研究生处审核，报分管校长批准。原则上提前毕业时间不得超过1年，</w:t>
      </w:r>
      <w:r>
        <w:rPr>
          <w:rFonts w:eastAsiaTheme="minorEastAsia"/>
          <w:color w:val="000000"/>
          <w:sz w:val="24"/>
        </w:rPr>
        <w:t>在校最长学习年限（含休学）不超过6年</w:t>
      </w:r>
      <w:r>
        <w:rPr>
          <w:rFonts w:hint="eastAsia" w:eastAsiaTheme="minorEastAsia"/>
          <w:i w:val="0"/>
          <w:iCs/>
          <w:color w:val="auto"/>
          <w:sz w:val="24"/>
        </w:rPr>
        <w:t>。在专业课程学习期间，要求课堂讲授和课堂研讨相结合，即培养研究生的创新思维和学术交流能力，发挥研究生的主动性和创造性，提倡启发式，互动式教学。同时，要求课程学习和阅读自学相结合，即任课教师提供与本课程相关的参考书和参考文献，指导研究生查阅资料，广泛阅读文献，撰写读书报告和学术综述，使研究生通过课程学习，熟悉学术规范、发展动态和前沿课题。此外，在完成全部课程学习，修满规定所需学分的此基础上，进行开题报告和中期考核，合格后方可进入或继续的论文阶段。在论文研究阶段，采取课题研究和个别指导相结合，即指导教师提供适合研究生参与的研究课题，具体指导研究生在课题研究的实践中综合运用所学的方法和知识，撰写学术论文。</w:t>
      </w:r>
    </w:p>
    <w:p w14:paraId="746B55AA">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sz w:val="28"/>
          <w:szCs w:val="28"/>
        </w:rPr>
      </w:pPr>
      <w:r>
        <w:rPr>
          <w:rFonts w:eastAsia="黑体"/>
          <w:bCs/>
          <w:sz w:val="28"/>
          <w:szCs w:val="28"/>
        </w:rPr>
        <w:t>七、中期筛选</w:t>
      </w:r>
    </w:p>
    <w:p w14:paraId="549539BD">
      <w:pPr>
        <w:keepNext w:val="0"/>
        <w:keepLines w:val="0"/>
        <w:pageBreakBefore w:val="0"/>
        <w:kinsoku/>
        <w:wordWrap/>
        <w:overflowPunct/>
        <w:topLinePunct w:val="0"/>
        <w:autoSpaceDE/>
        <w:autoSpaceDN/>
        <w:bidi w:val="0"/>
        <w:spacing w:before="156" w:beforeLines="50" w:line="360" w:lineRule="auto"/>
        <w:ind w:firstLine="480" w:firstLineChars="200"/>
        <w:textAlignment w:val="auto"/>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282E8486">
      <w:pPr>
        <w:keepNext w:val="0"/>
        <w:keepLines w:val="0"/>
        <w:pageBreakBefore w:val="0"/>
        <w:kinsoku/>
        <w:wordWrap/>
        <w:overflowPunct/>
        <w:topLinePunct w:val="0"/>
        <w:autoSpaceDE/>
        <w:autoSpaceDN/>
        <w:bidi w:val="0"/>
        <w:spacing w:before="156" w:beforeLines="50" w:line="360" w:lineRule="auto"/>
        <w:ind w:firstLine="560" w:firstLineChars="200"/>
        <w:textAlignment w:val="auto"/>
        <w:rPr>
          <w:rFonts w:eastAsia="黑体"/>
          <w:bCs/>
          <w:sz w:val="28"/>
          <w:szCs w:val="28"/>
        </w:rPr>
      </w:pPr>
      <w:r>
        <w:rPr>
          <w:rFonts w:hint="eastAsia" w:eastAsia="黑体"/>
          <w:bCs/>
          <w:sz w:val="28"/>
          <w:szCs w:val="28"/>
        </w:rPr>
        <w:t>八</w:t>
      </w:r>
      <w:r>
        <w:rPr>
          <w:rFonts w:eastAsia="黑体"/>
          <w:bCs/>
          <w:sz w:val="28"/>
          <w:szCs w:val="28"/>
        </w:rPr>
        <w:t>、学位（毕业）论文</w:t>
      </w:r>
    </w:p>
    <w:p w14:paraId="0B82CD2C">
      <w:pPr>
        <w:keepNext w:val="0"/>
        <w:keepLines w:val="0"/>
        <w:pageBreakBefore w:val="0"/>
        <w:widowControl/>
        <w:kinsoku/>
        <w:wordWrap/>
        <w:overflowPunct/>
        <w:topLinePunct w:val="0"/>
        <w:autoSpaceDE/>
        <w:autoSpaceDN/>
        <w:bidi w:val="0"/>
        <w:spacing w:before="105" w:after="105" w:line="360" w:lineRule="auto"/>
        <w:ind w:firstLine="480"/>
        <w:jc w:val="left"/>
        <w:textAlignment w:val="auto"/>
        <w:rPr>
          <w:rFonts w:hint="eastAsia"/>
          <w:b w:val="0"/>
          <w:bCs w:val="0"/>
          <w:i w:val="0"/>
          <w:iCs/>
          <w:color w:val="000000" w:themeColor="text1"/>
          <w:kern w:val="0"/>
          <w:sz w:val="24"/>
          <w:lang w:eastAsia="zh-CN"/>
          <w14:textFill>
            <w14:solidFill>
              <w14:schemeClr w14:val="tx1"/>
            </w14:solidFill>
          </w14:textFill>
        </w:rPr>
      </w:pPr>
      <w:r>
        <w:rPr>
          <w:bCs/>
          <w:color w:val="222222"/>
          <w:kern w:val="0"/>
          <w:sz w:val="24"/>
        </w:rPr>
        <w:t>1.</w:t>
      </w:r>
      <w:r>
        <w:rPr>
          <w:rFonts w:hint="eastAsia"/>
          <w:bCs/>
          <w:color w:val="222222"/>
          <w:kern w:val="0"/>
          <w:sz w:val="24"/>
          <w:lang w:val="en-US" w:eastAsia="zh-CN"/>
        </w:rPr>
        <w:t xml:space="preserve"> </w:t>
      </w:r>
      <w:r>
        <w:rPr>
          <w:bCs/>
          <w:color w:val="222222"/>
          <w:kern w:val="0"/>
          <w:sz w:val="24"/>
        </w:rPr>
        <w:t>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lang w:val="en-US" w:eastAsia="zh-CN"/>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b w:val="0"/>
          <w:bCs w:val="0"/>
          <w:i w:val="0"/>
          <w:iCs/>
          <w:color w:val="000000" w:themeColor="text1"/>
          <w:kern w:val="0"/>
          <w:sz w:val="24"/>
          <w14:textFill>
            <w14:solidFill>
              <w14:schemeClr w14:val="tx1"/>
            </w14:solidFill>
          </w14:textFill>
        </w:rPr>
        <w:t>学位（毕业）论文应当表明作者具有独立从事学术研究工作的能力，鼓励硕士研究生参与科学研究，取得创新性成果</w:t>
      </w:r>
      <w:r>
        <w:rPr>
          <w:rFonts w:hint="eastAsia"/>
          <w:b w:val="0"/>
          <w:bCs w:val="0"/>
          <w:i w:val="0"/>
          <w:iCs/>
          <w:color w:val="000000" w:themeColor="text1"/>
          <w:kern w:val="0"/>
          <w:sz w:val="24"/>
          <w:lang w:eastAsia="zh-CN"/>
          <w14:textFill>
            <w14:solidFill>
              <w14:schemeClr w14:val="tx1"/>
            </w14:solidFill>
          </w14:textFill>
        </w:rPr>
        <w:t>。</w:t>
      </w:r>
    </w:p>
    <w:p w14:paraId="38F33368">
      <w:pPr>
        <w:keepNext w:val="0"/>
        <w:keepLines w:val="0"/>
        <w:pageBreakBefore w:val="0"/>
        <w:widowControl/>
        <w:kinsoku/>
        <w:wordWrap/>
        <w:overflowPunct/>
        <w:topLinePunct w:val="0"/>
        <w:autoSpaceDE/>
        <w:autoSpaceDN/>
        <w:bidi w:val="0"/>
        <w:spacing w:before="105" w:after="105" w:line="360" w:lineRule="auto"/>
        <w:ind w:firstLine="480"/>
        <w:jc w:val="left"/>
        <w:textAlignment w:val="auto"/>
        <w:rPr>
          <w:i w:val="0"/>
          <w:iCs/>
          <w:color w:val="auto"/>
          <w:kern w:val="0"/>
          <w:sz w:val="24"/>
        </w:rPr>
      </w:pPr>
      <w:r>
        <w:rPr>
          <w:bCs/>
          <w:color w:val="222222"/>
          <w:kern w:val="0"/>
          <w:sz w:val="24"/>
        </w:rPr>
        <w:t>2.</w:t>
      </w:r>
      <w:r>
        <w:rPr>
          <w:rFonts w:hint="eastAsia"/>
          <w:bCs/>
          <w:color w:val="222222"/>
          <w:kern w:val="0"/>
          <w:sz w:val="24"/>
          <w:lang w:val="en-US" w:eastAsia="zh-CN"/>
        </w:rPr>
        <w:t xml:space="preserve"> </w:t>
      </w:r>
      <w:r>
        <w:rPr>
          <w:bCs/>
          <w:color w:val="222222"/>
          <w:kern w:val="0"/>
          <w:sz w:val="24"/>
        </w:rPr>
        <w:t>开题：</w:t>
      </w:r>
      <w:r>
        <w:rPr>
          <w:i w:val="0"/>
          <w:iCs/>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71CAFC9F">
      <w:pPr>
        <w:keepNext w:val="0"/>
        <w:keepLines w:val="0"/>
        <w:pageBreakBefore w:val="0"/>
        <w:widowControl/>
        <w:kinsoku/>
        <w:wordWrap/>
        <w:overflowPunct/>
        <w:topLinePunct w:val="0"/>
        <w:autoSpaceDE/>
        <w:autoSpaceDN/>
        <w:bidi w:val="0"/>
        <w:spacing w:before="105" w:after="105" w:line="360" w:lineRule="auto"/>
        <w:ind w:firstLine="480"/>
        <w:jc w:val="left"/>
        <w:textAlignment w:val="auto"/>
        <w:rPr>
          <w:i w:val="0"/>
          <w:iCs/>
          <w:color w:val="auto"/>
          <w:kern w:val="0"/>
          <w:sz w:val="24"/>
        </w:rPr>
      </w:pPr>
      <w:r>
        <w:rPr>
          <w:rFonts w:hint="eastAsia"/>
          <w:i w:val="0"/>
          <w:iCs/>
          <w:color w:val="auto"/>
          <w:kern w:val="0"/>
          <w:sz w:val="24"/>
          <w:lang w:val="en-US" w:eastAsia="zh-CN"/>
        </w:rPr>
        <w:t xml:space="preserve">3. </w:t>
      </w:r>
      <w:r>
        <w:rPr>
          <w:i w:val="0"/>
          <w:iCs/>
          <w:color w:val="auto"/>
          <w:kern w:val="0"/>
          <w:sz w:val="24"/>
        </w:rPr>
        <w:t>原则上在入学后第3学期（最迟不超过第4学期）完成开题。开题由3-5名具有高级专业技术职务人员参加，以学术报告的方式进行。</w:t>
      </w:r>
    </w:p>
    <w:p w14:paraId="7AB0C383">
      <w:pPr>
        <w:keepNext w:val="0"/>
        <w:keepLines w:val="0"/>
        <w:pageBreakBefore w:val="0"/>
        <w:widowControl/>
        <w:kinsoku/>
        <w:wordWrap/>
        <w:overflowPunct/>
        <w:topLinePunct w:val="0"/>
        <w:autoSpaceDE/>
        <w:autoSpaceDN/>
        <w:bidi w:val="0"/>
        <w:spacing w:before="105" w:after="105" w:line="360" w:lineRule="auto"/>
        <w:ind w:firstLine="480"/>
        <w:jc w:val="left"/>
        <w:textAlignment w:val="auto"/>
        <w:rPr>
          <w:i w:val="0"/>
          <w:iCs/>
          <w:color w:val="auto"/>
          <w:kern w:val="0"/>
          <w:sz w:val="24"/>
        </w:rPr>
      </w:pPr>
      <w:r>
        <w:rPr>
          <w:rFonts w:hint="eastAsia"/>
          <w:i w:val="0"/>
          <w:iCs/>
          <w:color w:val="auto"/>
          <w:kern w:val="0"/>
          <w:sz w:val="24"/>
          <w:lang w:val="en-US" w:eastAsia="zh-CN"/>
        </w:rPr>
        <w:t xml:space="preserve">4. </w:t>
      </w:r>
      <w:r>
        <w:rPr>
          <w:bCs/>
          <w:color w:val="222222"/>
          <w:kern w:val="0"/>
          <w:sz w:val="24"/>
        </w:rPr>
        <w:t>中期进展报告：</w:t>
      </w:r>
      <w:r>
        <w:rPr>
          <w:i w:val="0"/>
          <w:iCs/>
          <w:color w:val="auto"/>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143F5E70">
      <w:pPr>
        <w:keepNext w:val="0"/>
        <w:keepLines w:val="0"/>
        <w:pageBreakBefore w:val="0"/>
        <w:widowControl/>
        <w:kinsoku/>
        <w:wordWrap/>
        <w:overflowPunct/>
        <w:topLinePunct w:val="0"/>
        <w:autoSpaceDE/>
        <w:autoSpaceDN/>
        <w:bidi w:val="0"/>
        <w:spacing w:before="105" w:after="105" w:line="360" w:lineRule="auto"/>
        <w:ind w:firstLine="480"/>
        <w:jc w:val="left"/>
        <w:textAlignment w:val="auto"/>
        <w:rPr>
          <w:i w:val="0"/>
          <w:iCs/>
          <w:color w:val="auto"/>
          <w:kern w:val="0"/>
          <w:sz w:val="24"/>
        </w:rPr>
      </w:pPr>
      <w:r>
        <w:rPr>
          <w:rFonts w:hint="eastAsia"/>
          <w:i w:val="0"/>
          <w:iCs/>
          <w:color w:val="auto"/>
          <w:kern w:val="0"/>
          <w:sz w:val="24"/>
          <w:lang w:val="en-US" w:eastAsia="zh-CN"/>
        </w:rPr>
        <w:t xml:space="preserve">5. </w:t>
      </w:r>
      <w:r>
        <w:rPr>
          <w:bCs/>
          <w:color w:val="222222"/>
          <w:kern w:val="0"/>
          <w:sz w:val="24"/>
        </w:rPr>
        <w:t>学位申请：</w:t>
      </w:r>
      <w:r>
        <w:rPr>
          <w:i w:val="0"/>
          <w:iCs/>
          <w:color w:val="auto"/>
          <w:kern w:val="0"/>
          <w:sz w:val="24"/>
        </w:rPr>
        <w:t>达到学位授予条件的申请人，经导师同意后，应于答辩前三个月，向所属学位评定分委员会提出学位申请，提交学位申请材料。</w:t>
      </w:r>
    </w:p>
    <w:p w14:paraId="4FE74BA5">
      <w:pPr>
        <w:keepNext w:val="0"/>
        <w:keepLines w:val="0"/>
        <w:pageBreakBefore w:val="0"/>
        <w:widowControl/>
        <w:kinsoku/>
        <w:wordWrap/>
        <w:overflowPunct/>
        <w:topLinePunct w:val="0"/>
        <w:autoSpaceDE/>
        <w:autoSpaceDN/>
        <w:bidi w:val="0"/>
        <w:spacing w:before="105" w:after="105" w:line="360" w:lineRule="auto"/>
        <w:ind w:firstLine="480"/>
        <w:jc w:val="left"/>
        <w:textAlignment w:val="auto"/>
        <w:rPr>
          <w:i w:val="0"/>
          <w:iCs/>
          <w:color w:val="auto"/>
          <w:kern w:val="0"/>
          <w:sz w:val="24"/>
        </w:rPr>
      </w:pPr>
      <w:r>
        <w:rPr>
          <w:rFonts w:hint="eastAsia"/>
          <w:i w:val="0"/>
          <w:iCs/>
          <w:color w:val="auto"/>
          <w:kern w:val="0"/>
          <w:sz w:val="24"/>
          <w:lang w:val="en-US" w:eastAsia="zh-CN"/>
        </w:rPr>
        <w:t xml:space="preserve">6. </w:t>
      </w:r>
      <w:r>
        <w:rPr>
          <w:bCs/>
          <w:color w:val="222222"/>
          <w:kern w:val="0"/>
          <w:sz w:val="24"/>
        </w:rPr>
        <w:t>预答辩：</w:t>
      </w:r>
      <w:r>
        <w:rPr>
          <w:i w:val="0"/>
          <w:iCs/>
          <w:color w:val="auto"/>
          <w:kern w:val="0"/>
          <w:sz w:val="24"/>
        </w:rPr>
        <w:t>学位申请人须进行学位论文预答辩。预答辩通过者，方可进入学位论文评阅、学位论文答辩等环节。学位（毕业）论文预答辩在正式答辩前3个月进行。</w:t>
      </w:r>
    </w:p>
    <w:p w14:paraId="277BD395">
      <w:pPr>
        <w:keepNext w:val="0"/>
        <w:keepLines w:val="0"/>
        <w:pageBreakBefore w:val="0"/>
        <w:widowControl/>
        <w:kinsoku/>
        <w:wordWrap/>
        <w:overflowPunct/>
        <w:topLinePunct w:val="0"/>
        <w:autoSpaceDE/>
        <w:autoSpaceDN/>
        <w:bidi w:val="0"/>
        <w:spacing w:before="105" w:after="105" w:line="360" w:lineRule="auto"/>
        <w:ind w:firstLine="480"/>
        <w:jc w:val="left"/>
        <w:textAlignment w:val="auto"/>
        <w:rPr>
          <w:color w:val="222222"/>
          <w:kern w:val="0"/>
          <w:sz w:val="24"/>
        </w:rPr>
      </w:pPr>
      <w:r>
        <w:rPr>
          <w:rFonts w:hint="eastAsia"/>
          <w:i w:val="0"/>
          <w:iCs/>
          <w:color w:val="auto"/>
          <w:kern w:val="0"/>
          <w:sz w:val="24"/>
          <w:lang w:val="en-US" w:eastAsia="zh-CN"/>
        </w:rPr>
        <w:t xml:space="preserve">7. </w:t>
      </w:r>
      <w:r>
        <w:rPr>
          <w:bCs/>
          <w:color w:val="222222"/>
          <w:kern w:val="0"/>
          <w:sz w:val="24"/>
        </w:rPr>
        <w:t>论文评阅：</w:t>
      </w:r>
      <w:r>
        <w:rPr>
          <w:i w:val="0"/>
          <w:iCs/>
          <w:color w:val="auto"/>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61C8D23A">
      <w:pPr>
        <w:keepNext w:val="0"/>
        <w:keepLines w:val="0"/>
        <w:pageBreakBefore w:val="0"/>
        <w:widowControl/>
        <w:kinsoku/>
        <w:wordWrap/>
        <w:overflowPunct/>
        <w:topLinePunct w:val="0"/>
        <w:autoSpaceDE/>
        <w:autoSpaceDN/>
        <w:bidi w:val="0"/>
        <w:spacing w:before="105" w:after="105" w:line="360" w:lineRule="auto"/>
        <w:ind w:firstLine="480"/>
        <w:jc w:val="left"/>
        <w:textAlignment w:val="auto"/>
        <w:rPr>
          <w:rFonts w:eastAsiaTheme="minorEastAsia"/>
          <w:i/>
          <w:color w:val="FF0000"/>
          <w:sz w:val="24"/>
        </w:rPr>
      </w:pPr>
      <w:r>
        <w:rPr>
          <w:rFonts w:hint="eastAsia"/>
          <w:color w:val="222222"/>
          <w:kern w:val="0"/>
          <w:sz w:val="24"/>
          <w:lang w:val="en-US" w:eastAsia="zh-CN"/>
        </w:rPr>
        <w:t xml:space="preserve">8. </w:t>
      </w:r>
      <w:r>
        <w:rPr>
          <w:bCs/>
          <w:color w:val="222222"/>
          <w:kern w:val="0"/>
          <w:sz w:val="24"/>
        </w:rPr>
        <w:t>答辩：学位（毕业）论文答辩按照</w:t>
      </w:r>
      <w:r>
        <w:rPr>
          <w:color w:val="222222"/>
          <w:kern w:val="0"/>
          <w:sz w:val="24"/>
        </w:rPr>
        <w:t>《河北大学博士、硕士学位授予工作实施细则》（校政字〔2025〕7号）执行。</w:t>
      </w:r>
    </w:p>
    <w:p w14:paraId="02F06489">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sz w:val="28"/>
          <w:szCs w:val="28"/>
        </w:rPr>
      </w:pPr>
      <w:r>
        <w:rPr>
          <w:rFonts w:hint="eastAsia" w:eastAsia="黑体"/>
          <w:bCs/>
          <w:sz w:val="28"/>
          <w:szCs w:val="28"/>
        </w:rPr>
        <w:t>九</w:t>
      </w:r>
      <w:r>
        <w:rPr>
          <w:rFonts w:eastAsia="黑体"/>
          <w:bCs/>
          <w:sz w:val="28"/>
          <w:szCs w:val="28"/>
        </w:rPr>
        <w:t>、毕业条件</w:t>
      </w:r>
    </w:p>
    <w:p w14:paraId="7D22C2E5">
      <w:pPr>
        <w:keepNext w:val="0"/>
        <w:keepLines w:val="0"/>
        <w:pageBreakBefore w:val="0"/>
        <w:kinsoku/>
        <w:wordWrap/>
        <w:overflowPunct/>
        <w:topLinePunct w:val="0"/>
        <w:autoSpaceDE/>
        <w:autoSpaceDN/>
        <w:bidi w:val="0"/>
        <w:spacing w:line="360" w:lineRule="auto"/>
        <w:ind w:firstLine="480" w:firstLineChars="200"/>
        <w:textAlignment w:val="auto"/>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76B61449">
      <w:pPr>
        <w:keepNext w:val="0"/>
        <w:keepLines w:val="0"/>
        <w:pageBreakBefore w:val="0"/>
        <w:kinsoku/>
        <w:wordWrap/>
        <w:overflowPunct/>
        <w:topLinePunct w:val="0"/>
        <w:autoSpaceDE/>
        <w:autoSpaceDN/>
        <w:bidi w:val="0"/>
        <w:spacing w:line="360" w:lineRule="auto"/>
        <w:ind w:firstLine="480" w:firstLineChars="200"/>
        <w:textAlignment w:val="auto"/>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 w:val="0"/>
          <w:iCs/>
          <w:color w:val="auto"/>
          <w:sz w:val="24"/>
        </w:rPr>
        <w:t>10</w:t>
      </w:r>
      <w:r>
        <w:rPr>
          <w:rFonts w:eastAsiaTheme="minorEastAsia"/>
          <w:color w:val="000000"/>
          <w:sz w:val="24"/>
        </w:rPr>
        <w:t>次学术活动，并撰写学术报告小结。</w:t>
      </w:r>
    </w:p>
    <w:p w14:paraId="799A3C74">
      <w:pPr>
        <w:keepNext w:val="0"/>
        <w:keepLines w:val="0"/>
        <w:pageBreakBefore w:val="0"/>
        <w:kinsoku/>
        <w:wordWrap/>
        <w:overflowPunct/>
        <w:topLinePunct w:val="0"/>
        <w:autoSpaceDE/>
        <w:autoSpaceDN/>
        <w:bidi w:val="0"/>
        <w:spacing w:line="360" w:lineRule="auto"/>
        <w:ind w:firstLine="480" w:firstLineChars="200"/>
        <w:textAlignment w:val="auto"/>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2E5A5F4">
      <w:pPr>
        <w:keepNext w:val="0"/>
        <w:keepLines w:val="0"/>
        <w:pageBreakBefore w:val="0"/>
        <w:kinsoku/>
        <w:wordWrap/>
        <w:overflowPunct/>
        <w:topLinePunct w:val="0"/>
        <w:autoSpaceDE/>
        <w:autoSpaceDN/>
        <w:bidi w:val="0"/>
        <w:spacing w:line="360" w:lineRule="auto"/>
        <w:ind w:firstLine="480" w:firstLineChars="200"/>
        <w:textAlignment w:val="auto"/>
        <w:rPr>
          <w:rFonts w:eastAsiaTheme="minorEastAsia"/>
          <w:bCs/>
          <w:sz w:val="24"/>
        </w:rPr>
      </w:pPr>
      <w:r>
        <w:rPr>
          <w:rFonts w:eastAsiaTheme="minorEastAsia"/>
          <w:bCs/>
          <w:sz w:val="24"/>
        </w:rPr>
        <w:t>4. 论文答辩。学位（毕业）论文经专家评审合格、通过学位（毕业）答辩，符合毕业资格审查后，准予毕业。</w:t>
      </w:r>
    </w:p>
    <w:p w14:paraId="5C3D6719">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sz w:val="28"/>
          <w:szCs w:val="28"/>
        </w:rPr>
      </w:pPr>
      <w:r>
        <w:rPr>
          <w:rFonts w:hint="eastAsia" w:eastAsia="黑体"/>
          <w:bCs/>
          <w:sz w:val="28"/>
          <w:szCs w:val="28"/>
        </w:rPr>
        <w:t>十</w:t>
      </w:r>
      <w:r>
        <w:rPr>
          <w:rFonts w:eastAsia="黑体"/>
          <w:bCs/>
          <w:sz w:val="28"/>
          <w:szCs w:val="28"/>
        </w:rPr>
        <w:t>、创新性成果</w:t>
      </w:r>
    </w:p>
    <w:p w14:paraId="3DFEC1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iCs/>
          <w:sz w:val="24"/>
          <w:lang w:val="en-US" w:eastAsia="zh-CN"/>
        </w:rPr>
      </w:pPr>
      <w:r>
        <w:rPr>
          <w:rFonts w:hint="eastAsia" w:asciiTheme="minorEastAsia" w:hAnsiTheme="minorEastAsia" w:eastAsiaTheme="minorEastAsia"/>
          <w:iCs/>
          <w:sz w:val="24"/>
          <w:lang w:val="en-US" w:eastAsia="zh-CN"/>
        </w:rPr>
        <w:t>符合学校和学院规定的相关要求。</w:t>
      </w:r>
    </w:p>
    <w:p w14:paraId="0EABD395">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sz w:val="28"/>
          <w:szCs w:val="28"/>
        </w:rPr>
      </w:pPr>
      <w:r>
        <w:rPr>
          <w:rFonts w:eastAsia="黑体"/>
          <w:bCs/>
          <w:sz w:val="28"/>
          <w:szCs w:val="28"/>
        </w:rPr>
        <w:t>十一、学位授予</w:t>
      </w:r>
    </w:p>
    <w:p w14:paraId="6E73B7CC">
      <w:pPr>
        <w:keepNext w:val="0"/>
        <w:keepLines w:val="0"/>
        <w:pageBreakBefore w:val="0"/>
        <w:kinsoku/>
        <w:wordWrap/>
        <w:overflowPunct/>
        <w:topLinePunct w:val="0"/>
        <w:autoSpaceDE/>
        <w:autoSpaceDN/>
        <w:bidi w:val="0"/>
        <w:spacing w:line="360" w:lineRule="auto"/>
        <w:ind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2A8B520B">
      <w:pPr>
        <w:keepNext w:val="0"/>
        <w:keepLines w:val="0"/>
        <w:pageBreakBefore w:val="0"/>
        <w:kinsoku/>
        <w:wordWrap/>
        <w:overflowPunct/>
        <w:topLinePunct w:val="0"/>
        <w:autoSpaceDE/>
        <w:autoSpaceDN/>
        <w:bidi w:val="0"/>
        <w:spacing w:line="360" w:lineRule="auto"/>
        <w:ind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3A285FC">
      <w:pPr>
        <w:adjustRightInd w:val="0"/>
        <w:snapToGrid w:val="0"/>
        <w:spacing w:line="360" w:lineRule="auto"/>
        <w:ind w:firstLine="480" w:firstLineChars="200"/>
        <w:rPr>
          <w:rFonts w:eastAsiaTheme="minorEastAsia"/>
          <w:color w:val="000000"/>
          <w:sz w:val="24"/>
        </w:rPr>
      </w:pPr>
      <w:r>
        <w:rPr>
          <w:rFonts w:eastAsiaTheme="minorEastAsia"/>
          <w:color w:val="auto"/>
          <w:sz w:val="24"/>
        </w:rPr>
        <w:t>本专业最低毕业学分为</w:t>
      </w:r>
      <w:r>
        <w:rPr>
          <w:rFonts w:hint="eastAsia" w:eastAsiaTheme="minorEastAsia"/>
          <w:color w:val="auto"/>
          <w:sz w:val="24"/>
          <w:lang w:val="en-US" w:eastAsia="zh-CN"/>
        </w:rPr>
        <w:t>24</w:t>
      </w:r>
      <w:r>
        <w:rPr>
          <w:rFonts w:eastAsiaTheme="minorEastAsia"/>
          <w:color w:val="auto"/>
          <w:sz w:val="24"/>
        </w:rPr>
        <w:t>分，其中学位课</w:t>
      </w:r>
      <w:r>
        <w:rPr>
          <w:rFonts w:hint="eastAsia" w:eastAsiaTheme="minorEastAsia"/>
          <w:color w:val="auto"/>
          <w:sz w:val="24"/>
          <w:lang w:val="en-US" w:eastAsia="zh-CN"/>
        </w:rPr>
        <w:t>17</w:t>
      </w:r>
      <w:r>
        <w:rPr>
          <w:rFonts w:eastAsiaTheme="minorEastAsia"/>
          <w:color w:val="auto"/>
          <w:sz w:val="24"/>
        </w:rPr>
        <w:t>学分，非学</w:t>
      </w:r>
      <w:r>
        <w:rPr>
          <w:rFonts w:eastAsiaTheme="minorEastAsia"/>
          <w:color w:val="auto"/>
          <w:sz w:val="24"/>
          <w:highlight w:val="none"/>
        </w:rPr>
        <w:t>位课</w:t>
      </w:r>
      <w:r>
        <w:rPr>
          <w:rFonts w:hint="eastAsia" w:eastAsiaTheme="minorEastAsia"/>
          <w:color w:val="auto"/>
          <w:sz w:val="24"/>
          <w:highlight w:val="none"/>
          <w:lang w:val="en-US" w:eastAsia="zh-CN"/>
        </w:rPr>
        <w:t>6</w:t>
      </w:r>
      <w:r>
        <w:rPr>
          <w:rFonts w:eastAsiaTheme="minorEastAsia"/>
          <w:color w:val="auto"/>
          <w:sz w:val="24"/>
          <w:highlight w:val="none"/>
        </w:rPr>
        <w:t>学分</w:t>
      </w:r>
      <w:r>
        <w:rPr>
          <w:rFonts w:hint="eastAsia" w:eastAsiaTheme="minorEastAsia"/>
          <w:color w:val="auto"/>
          <w:sz w:val="24"/>
          <w:highlight w:val="none"/>
          <w:lang w:eastAsia="zh-CN"/>
        </w:rPr>
        <w:t>，</w:t>
      </w:r>
      <w:r>
        <w:rPr>
          <w:rFonts w:eastAsiaTheme="minorEastAsia"/>
          <w:color w:val="000000"/>
          <w:sz w:val="24"/>
        </w:rPr>
        <w:t>必修</w:t>
      </w:r>
      <w:r>
        <w:rPr>
          <w:rFonts w:eastAsiaTheme="minorEastAsia"/>
          <w:color w:val="auto"/>
          <w:sz w:val="24"/>
        </w:rPr>
        <w:t>环节</w:t>
      </w:r>
      <w:r>
        <w:rPr>
          <w:rFonts w:hint="eastAsia" w:eastAsiaTheme="minorEastAsia"/>
          <w:color w:val="auto"/>
          <w:sz w:val="24"/>
        </w:rPr>
        <w:t>1</w:t>
      </w:r>
      <w:r>
        <w:rPr>
          <w:rFonts w:eastAsiaTheme="minorEastAsia"/>
          <w:color w:val="000000"/>
          <w:sz w:val="24"/>
        </w:rPr>
        <w:t>分。</w:t>
      </w:r>
    </w:p>
    <w:p w14:paraId="193CF3D5">
      <w:pPr>
        <w:keepNext w:val="0"/>
        <w:keepLines w:val="0"/>
        <w:pageBreakBefore w:val="0"/>
        <w:widowControl w:val="0"/>
        <w:kinsoku/>
        <w:wordWrap/>
        <w:overflowPunct/>
        <w:topLinePunct w:val="0"/>
        <w:autoSpaceDE/>
        <w:autoSpaceDN/>
        <w:bidi w:val="0"/>
        <w:adjustRightInd/>
        <w:snapToGrid/>
        <w:spacing w:line="360" w:lineRule="auto"/>
        <w:textAlignment w:val="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04057EBB">
      <w:pPr>
        <w:keepNext w:val="0"/>
        <w:keepLines w:val="0"/>
        <w:pageBreakBefore w:val="0"/>
        <w:kinsoku/>
        <w:wordWrap/>
        <w:overflowPunct/>
        <w:topLinePunct w:val="0"/>
        <w:autoSpaceDE/>
        <w:autoSpaceDN/>
        <w:bidi w:val="0"/>
        <w:spacing w:line="360" w:lineRule="auto"/>
        <w:textAlignment w:val="auto"/>
        <w:rPr>
          <w:rFonts w:eastAsiaTheme="minorEastAsia"/>
          <w:i w:val="0"/>
          <w:iCs/>
          <w:color w:val="auto"/>
          <w:sz w:val="24"/>
        </w:rPr>
      </w:pPr>
      <w:r>
        <w:rPr>
          <w:i/>
          <w:color w:val="000000"/>
          <w:sz w:val="24"/>
        </w:rPr>
        <w:t xml:space="preserve">   </w:t>
      </w:r>
      <w:r>
        <w:rPr>
          <w:i w:val="0"/>
          <w:iCs/>
          <w:color w:val="auto"/>
          <w:sz w:val="24"/>
        </w:rPr>
        <w:t xml:space="preserve"> 课程考核方式包括考试和考查，</w:t>
      </w:r>
      <w:r>
        <w:rPr>
          <w:rFonts w:eastAsiaTheme="minorEastAsia"/>
          <w:i w:val="0"/>
          <w:iCs/>
          <w:color w:val="auto"/>
          <w:sz w:val="24"/>
        </w:rPr>
        <w:t>可以采用口试、笔试或写读书报告、论文的形式，但应有—定数量的笔试（各专业根据实际情况填写）。无论采取何种考核方式，均应能真实反映学生对所学课程掌握的程度及运用知识的能力。</w:t>
      </w:r>
    </w:p>
    <w:p w14:paraId="676CC2F3">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p>
    <w:p w14:paraId="2526CA68">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p>
    <w:p w14:paraId="7E00C19F">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p>
    <w:p w14:paraId="281BAA67">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p>
    <w:p w14:paraId="3CCA2DBF">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p>
    <w:p w14:paraId="652EDF45">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p>
    <w:p w14:paraId="46729FC3">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p>
    <w:p w14:paraId="3D5A09B5">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p>
    <w:p w14:paraId="63BE23DB">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p>
    <w:p w14:paraId="22B4AA8B">
      <w:pPr>
        <w:keepNext w:val="0"/>
        <w:keepLines w:val="0"/>
        <w:pageBreakBefore w:val="0"/>
        <w:kinsoku/>
        <w:wordWrap/>
        <w:overflowPunct/>
        <w:topLinePunct w:val="0"/>
        <w:autoSpaceDE/>
        <w:autoSpaceDN/>
        <w:bidi w:val="0"/>
        <w:spacing w:after="156" w:afterLines="50" w:line="360" w:lineRule="auto"/>
        <w:ind w:firstLine="482" w:firstLineChars="200"/>
        <w:jc w:val="center"/>
        <w:textAlignment w:val="auto"/>
        <w:rPr>
          <w:rFonts w:eastAsiaTheme="minorEastAsia"/>
          <w:b/>
          <w:bCs/>
          <w:sz w:val="24"/>
        </w:rPr>
      </w:pPr>
      <w:r>
        <w:rPr>
          <w:rFonts w:hint="eastAsia" w:eastAsiaTheme="minorEastAsia"/>
          <w:b/>
          <w:bCs/>
          <w:color w:val="auto"/>
          <w:sz w:val="24"/>
          <w:lang w:val="en-US" w:eastAsia="zh-CN"/>
        </w:rPr>
        <w:t>植物学</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6BCD3B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2A3A2B76">
            <w:pPr>
              <w:keepNext w:val="0"/>
              <w:keepLines w:val="0"/>
              <w:pageBreakBefore w:val="0"/>
              <w:kinsoku/>
              <w:wordWrap/>
              <w:overflowPunct/>
              <w:topLinePunct w:val="0"/>
              <w:autoSpaceDE/>
              <w:autoSpaceDN/>
              <w:bidi w:val="0"/>
              <w:spacing w:line="360" w:lineRule="auto"/>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63ABBBE6">
            <w:pPr>
              <w:keepNext w:val="0"/>
              <w:keepLines w:val="0"/>
              <w:pageBreakBefore w:val="0"/>
              <w:kinsoku/>
              <w:wordWrap/>
              <w:overflowPunct/>
              <w:topLinePunct w:val="0"/>
              <w:autoSpaceDE/>
              <w:autoSpaceDN/>
              <w:bidi w:val="0"/>
              <w:spacing w:line="360" w:lineRule="auto"/>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068B74BF">
            <w:pPr>
              <w:keepNext w:val="0"/>
              <w:keepLines w:val="0"/>
              <w:pageBreakBefore w:val="0"/>
              <w:kinsoku/>
              <w:wordWrap/>
              <w:overflowPunct/>
              <w:topLinePunct w:val="0"/>
              <w:autoSpaceDE/>
              <w:autoSpaceDN/>
              <w:bidi w:val="0"/>
              <w:spacing w:line="360" w:lineRule="auto"/>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7C587EDE">
            <w:pPr>
              <w:keepNext w:val="0"/>
              <w:keepLines w:val="0"/>
              <w:pageBreakBefore w:val="0"/>
              <w:kinsoku/>
              <w:wordWrap/>
              <w:overflowPunct/>
              <w:topLinePunct w:val="0"/>
              <w:autoSpaceDE/>
              <w:autoSpaceDN/>
              <w:bidi w:val="0"/>
              <w:spacing w:line="360" w:lineRule="auto"/>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536B97BB">
            <w:pPr>
              <w:keepNext w:val="0"/>
              <w:keepLines w:val="0"/>
              <w:pageBreakBefore w:val="0"/>
              <w:kinsoku/>
              <w:wordWrap/>
              <w:overflowPunct/>
              <w:topLinePunct w:val="0"/>
              <w:autoSpaceDE/>
              <w:autoSpaceDN/>
              <w:bidi w:val="0"/>
              <w:spacing w:line="360" w:lineRule="auto"/>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F0D24B0">
            <w:pPr>
              <w:keepNext w:val="0"/>
              <w:keepLines w:val="0"/>
              <w:pageBreakBefore w:val="0"/>
              <w:kinsoku/>
              <w:wordWrap/>
              <w:overflowPunct/>
              <w:topLinePunct w:val="0"/>
              <w:autoSpaceDE/>
              <w:autoSpaceDN/>
              <w:bidi w:val="0"/>
              <w:spacing w:line="360" w:lineRule="auto"/>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66711B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060D4F58">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2491508D">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2737C866">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0F8D9B05">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19754B1E">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634699E5">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55B8E3B4">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3F28223">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6CA15E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707D03FC">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1226" w:type="dxa"/>
            <w:vMerge w:val="continue"/>
            <w:vAlign w:val="center"/>
          </w:tcPr>
          <w:p w14:paraId="54E82008">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3516" w:type="dxa"/>
            <w:vAlign w:val="center"/>
          </w:tcPr>
          <w:p w14:paraId="4623289F">
            <w:pPr>
              <w:keepNext w:val="0"/>
              <w:keepLines w:val="0"/>
              <w:pageBreakBefore w:val="0"/>
              <w:kinsoku/>
              <w:wordWrap/>
              <w:overflowPunct/>
              <w:topLinePunct w:val="0"/>
              <w:autoSpaceDE/>
              <w:autoSpaceDN/>
              <w:bidi w:val="0"/>
              <w:spacing w:line="360" w:lineRule="auto"/>
              <w:textAlignment w:val="auto"/>
              <w:rPr>
                <w:sz w:val="18"/>
                <w:szCs w:val="18"/>
              </w:rPr>
            </w:pPr>
            <w:r>
              <w:rPr>
                <w:sz w:val="18"/>
                <w:szCs w:val="18"/>
              </w:rPr>
              <w:t>通用学术英语</w:t>
            </w:r>
          </w:p>
        </w:tc>
        <w:tc>
          <w:tcPr>
            <w:tcW w:w="1081" w:type="dxa"/>
            <w:vAlign w:val="center"/>
          </w:tcPr>
          <w:p w14:paraId="7E37C1D4">
            <w:pPr>
              <w:keepNext w:val="0"/>
              <w:keepLines w:val="0"/>
              <w:pageBreakBefore w:val="0"/>
              <w:kinsoku/>
              <w:wordWrap/>
              <w:overflowPunct/>
              <w:topLinePunct w:val="0"/>
              <w:autoSpaceDE/>
              <w:autoSpaceDN/>
              <w:bidi w:val="0"/>
              <w:spacing w:line="360" w:lineRule="auto"/>
              <w:jc w:val="center"/>
              <w:textAlignment w:val="auto"/>
              <w:rPr>
                <w:sz w:val="18"/>
                <w:szCs w:val="18"/>
              </w:rPr>
            </w:pPr>
            <w:r>
              <w:rPr>
                <w:sz w:val="18"/>
                <w:szCs w:val="18"/>
              </w:rPr>
              <w:t>TS0000002</w:t>
            </w:r>
          </w:p>
        </w:tc>
        <w:tc>
          <w:tcPr>
            <w:tcW w:w="709" w:type="dxa"/>
            <w:vAlign w:val="center"/>
          </w:tcPr>
          <w:p w14:paraId="553A3CA6">
            <w:pPr>
              <w:keepNext w:val="0"/>
              <w:keepLines w:val="0"/>
              <w:pageBreakBefore w:val="0"/>
              <w:kinsoku/>
              <w:wordWrap/>
              <w:overflowPunct/>
              <w:topLinePunct w:val="0"/>
              <w:autoSpaceDE/>
              <w:autoSpaceDN/>
              <w:bidi w:val="0"/>
              <w:spacing w:line="360" w:lineRule="auto"/>
              <w:jc w:val="center"/>
              <w:textAlignment w:val="auto"/>
              <w:rPr>
                <w:sz w:val="18"/>
                <w:szCs w:val="18"/>
              </w:rPr>
            </w:pPr>
            <w:r>
              <w:rPr>
                <w:sz w:val="18"/>
                <w:szCs w:val="18"/>
              </w:rPr>
              <w:t>2</w:t>
            </w:r>
          </w:p>
        </w:tc>
        <w:tc>
          <w:tcPr>
            <w:tcW w:w="709" w:type="dxa"/>
            <w:vAlign w:val="center"/>
          </w:tcPr>
          <w:p w14:paraId="74C04267">
            <w:pPr>
              <w:keepNext w:val="0"/>
              <w:keepLines w:val="0"/>
              <w:pageBreakBefore w:val="0"/>
              <w:kinsoku/>
              <w:wordWrap/>
              <w:overflowPunct/>
              <w:topLinePunct w:val="0"/>
              <w:autoSpaceDE/>
              <w:autoSpaceDN/>
              <w:bidi w:val="0"/>
              <w:spacing w:line="360" w:lineRule="auto"/>
              <w:jc w:val="center"/>
              <w:textAlignment w:val="auto"/>
              <w:rPr>
                <w:sz w:val="18"/>
                <w:szCs w:val="18"/>
              </w:rPr>
            </w:pPr>
            <w:r>
              <w:rPr>
                <w:sz w:val="18"/>
                <w:szCs w:val="18"/>
              </w:rPr>
              <w:t>1</w:t>
            </w:r>
          </w:p>
        </w:tc>
        <w:tc>
          <w:tcPr>
            <w:tcW w:w="1045" w:type="dxa"/>
            <w:vAlign w:val="center"/>
          </w:tcPr>
          <w:p w14:paraId="039ED863">
            <w:pPr>
              <w:keepNext w:val="0"/>
              <w:keepLines w:val="0"/>
              <w:pageBreakBefore w:val="0"/>
              <w:kinsoku/>
              <w:wordWrap/>
              <w:overflowPunct/>
              <w:topLinePunct w:val="0"/>
              <w:autoSpaceDE/>
              <w:autoSpaceDN/>
              <w:bidi w:val="0"/>
              <w:spacing w:line="360" w:lineRule="auto"/>
              <w:jc w:val="center"/>
              <w:textAlignment w:val="auto"/>
              <w:rPr>
                <w:sz w:val="18"/>
                <w:szCs w:val="18"/>
              </w:rPr>
            </w:pPr>
            <w:r>
              <w:rPr>
                <w:rFonts w:hint="eastAsia"/>
                <w:sz w:val="18"/>
                <w:szCs w:val="18"/>
              </w:rPr>
              <w:t>考查</w:t>
            </w:r>
          </w:p>
        </w:tc>
      </w:tr>
      <w:tr w14:paraId="05FA1C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3F1E8FB">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1226" w:type="dxa"/>
            <w:vMerge w:val="restart"/>
            <w:vAlign w:val="center"/>
          </w:tcPr>
          <w:p w14:paraId="539D2C5A">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60C788BB">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8</w:t>
            </w:r>
            <w:r>
              <w:rPr>
                <w:b/>
                <w:color w:val="000000" w:themeColor="text1"/>
                <w:sz w:val="18"/>
                <w:szCs w:val="18"/>
                <w:highlight w:val="none"/>
                <w14:textFill>
                  <w14:solidFill>
                    <w14:schemeClr w14:val="tx1"/>
                  </w14:solidFill>
                </w14:textFill>
              </w:rPr>
              <w:t>学分）</w:t>
            </w:r>
          </w:p>
        </w:tc>
        <w:tc>
          <w:tcPr>
            <w:tcW w:w="3516" w:type="dxa"/>
            <w:vAlign w:val="center"/>
          </w:tcPr>
          <w:p w14:paraId="0DB2CF4F">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shd w:val="clear" w:color="auto" w:fill="auto"/>
            <w:vAlign w:val="center"/>
          </w:tcPr>
          <w:p w14:paraId="4256DFD5">
            <w:pPr>
              <w:keepNext w:val="0"/>
              <w:keepLines w:val="0"/>
              <w:widowControl/>
              <w:suppressLineNumbers w:val="0"/>
              <w:jc w:val="center"/>
              <w:textAlignment w:val="center"/>
              <w:rPr>
                <w:rFonts w:hint="default" w:ascii="Times New Roman" w:hAnsi="Times New Roman" w:eastAsia="等线" w:cs="Times New Roman"/>
                <w:i w:val="0"/>
                <w:iCs w:val="0"/>
                <w:color w:val="000000"/>
                <w:kern w:val="2"/>
                <w:sz w:val="18"/>
                <w:szCs w:val="18"/>
                <w:u w:val="none"/>
                <w:lang w:val="en-US" w:eastAsia="zh-CN" w:bidi="ar-SA"/>
              </w:rPr>
            </w:pPr>
            <w:r>
              <w:rPr>
                <w:rFonts w:hint="default" w:ascii="Times New Roman" w:hAnsi="Times New Roman" w:eastAsia="等线" w:cs="Times New Roman"/>
                <w:i w:val="0"/>
                <w:iCs w:val="0"/>
                <w:color w:val="000000"/>
                <w:kern w:val="0"/>
                <w:sz w:val="18"/>
                <w:szCs w:val="18"/>
                <w:u w:val="none"/>
                <w:lang w:val="en-US" w:eastAsia="zh-CN" w:bidi="ar"/>
              </w:rPr>
              <w:t>XS1200001</w:t>
            </w:r>
          </w:p>
        </w:tc>
        <w:tc>
          <w:tcPr>
            <w:tcW w:w="709" w:type="dxa"/>
            <w:vAlign w:val="center"/>
          </w:tcPr>
          <w:p w14:paraId="4B03FC48">
            <w:pPr>
              <w:keepNext w:val="0"/>
              <w:keepLines w:val="0"/>
              <w:pageBreakBefore w:val="0"/>
              <w:kinsoku/>
              <w:wordWrap/>
              <w:overflowPunct/>
              <w:topLinePunct w:val="0"/>
              <w:autoSpaceDE/>
              <w:autoSpaceDN/>
              <w:bidi w:val="0"/>
              <w:spacing w:line="360" w:lineRule="auto"/>
              <w:jc w:val="center"/>
              <w:textAlignment w:val="auto"/>
              <w:rPr>
                <w:rFonts w:hint="eastAsia" w:eastAsia="宋体"/>
                <w:i w:val="0"/>
                <w:iCs/>
                <w:color w:val="auto"/>
                <w:lang w:eastAsia="zh-CN"/>
              </w:rPr>
            </w:pPr>
            <w:r>
              <w:rPr>
                <w:rFonts w:hint="eastAsia"/>
                <w:i w:val="0"/>
                <w:iCs/>
                <w:color w:val="auto"/>
                <w:sz w:val="18"/>
                <w:szCs w:val="18"/>
                <w:lang w:val="en-US" w:eastAsia="zh-CN"/>
              </w:rPr>
              <w:t>2</w:t>
            </w:r>
          </w:p>
        </w:tc>
        <w:tc>
          <w:tcPr>
            <w:tcW w:w="709" w:type="dxa"/>
            <w:vAlign w:val="center"/>
          </w:tcPr>
          <w:p w14:paraId="3CCCB1FB">
            <w:pPr>
              <w:keepNext w:val="0"/>
              <w:keepLines w:val="0"/>
              <w:pageBreakBefore w:val="0"/>
              <w:kinsoku/>
              <w:wordWrap/>
              <w:overflowPunct/>
              <w:topLinePunct w:val="0"/>
              <w:autoSpaceDE/>
              <w:autoSpaceDN/>
              <w:bidi w:val="0"/>
              <w:spacing w:line="360" w:lineRule="auto"/>
              <w:jc w:val="center"/>
              <w:textAlignment w:val="auto"/>
              <w:rPr>
                <w:rFonts w:hint="eastAsia" w:eastAsia="宋体"/>
                <w:i w:val="0"/>
                <w:iCs/>
                <w:color w:val="auto"/>
                <w:lang w:eastAsia="zh-CN"/>
              </w:rPr>
            </w:pPr>
            <w:r>
              <w:rPr>
                <w:rFonts w:hint="eastAsia"/>
                <w:i w:val="0"/>
                <w:iCs/>
                <w:color w:val="auto"/>
                <w:sz w:val="18"/>
                <w:szCs w:val="18"/>
                <w:lang w:val="en-US" w:eastAsia="zh-CN"/>
              </w:rPr>
              <w:t>1</w:t>
            </w:r>
          </w:p>
        </w:tc>
        <w:tc>
          <w:tcPr>
            <w:tcW w:w="1045" w:type="dxa"/>
            <w:vAlign w:val="center"/>
          </w:tcPr>
          <w:p w14:paraId="7DE76530">
            <w:pPr>
              <w:keepNext w:val="0"/>
              <w:keepLines w:val="0"/>
              <w:pageBreakBefore w:val="0"/>
              <w:kinsoku/>
              <w:wordWrap/>
              <w:overflowPunct/>
              <w:topLinePunct w:val="0"/>
              <w:autoSpaceDE/>
              <w:autoSpaceDN/>
              <w:bidi w:val="0"/>
              <w:spacing w:line="360" w:lineRule="auto"/>
              <w:jc w:val="center"/>
              <w:textAlignment w:val="auto"/>
              <w:rPr>
                <w:i/>
                <w:color w:val="FF0000"/>
                <w:sz w:val="18"/>
                <w:szCs w:val="18"/>
              </w:rPr>
            </w:pPr>
            <w:r>
              <w:rPr>
                <w:rFonts w:hint="eastAsia"/>
                <w:sz w:val="18"/>
                <w:szCs w:val="18"/>
              </w:rPr>
              <w:t>考查</w:t>
            </w:r>
          </w:p>
        </w:tc>
      </w:tr>
      <w:tr w14:paraId="383E70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2C7CF28">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1226" w:type="dxa"/>
            <w:vMerge w:val="continue"/>
            <w:vAlign w:val="center"/>
          </w:tcPr>
          <w:p w14:paraId="0CF3464D">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3516" w:type="dxa"/>
            <w:vAlign w:val="center"/>
          </w:tcPr>
          <w:p w14:paraId="778F5886">
            <w:pPr>
              <w:keepNext w:val="0"/>
              <w:keepLines w:val="0"/>
              <w:pageBreakBefore w:val="0"/>
              <w:kinsoku/>
              <w:wordWrap/>
              <w:overflowPunct/>
              <w:topLinePunct w:val="0"/>
              <w:autoSpaceDE/>
              <w:autoSpaceDN/>
              <w:bidi w:val="0"/>
              <w:adjustRightInd w:val="0"/>
              <w:snapToGrid w:val="0"/>
              <w:spacing w:line="360" w:lineRule="auto"/>
              <w:textAlignment w:val="auto"/>
              <w:rPr>
                <w:rFonts w:hint="eastAsia" w:eastAsia="宋体"/>
                <w:color w:val="FF0000"/>
                <w:sz w:val="18"/>
                <w:szCs w:val="18"/>
                <w:lang w:eastAsia="zh-CN"/>
              </w:rPr>
            </w:pPr>
            <w:r>
              <w:rPr>
                <w:rFonts w:hint="eastAsia"/>
                <w:i w:val="0"/>
                <w:iCs/>
                <w:color w:val="auto"/>
                <w:sz w:val="18"/>
                <w:szCs w:val="18"/>
                <w:lang w:val="en-US" w:eastAsia="zh-CN"/>
              </w:rPr>
              <w:t>生物信息与生物统计</w:t>
            </w:r>
          </w:p>
        </w:tc>
        <w:tc>
          <w:tcPr>
            <w:tcW w:w="1081" w:type="dxa"/>
            <w:vAlign w:val="center"/>
          </w:tcPr>
          <w:p w14:paraId="59247909">
            <w:pPr>
              <w:keepNext w:val="0"/>
              <w:keepLines w:val="0"/>
              <w:widowControl/>
              <w:suppressLineNumbers w:val="0"/>
              <w:jc w:val="center"/>
              <w:textAlignment w:val="center"/>
              <w:rPr>
                <w:rFonts w:hint="eastAsia" w:eastAsia="宋体"/>
                <w:color w:val="FF0000"/>
                <w:sz w:val="18"/>
                <w:szCs w:val="18"/>
                <w:lang w:eastAsia="zh-CN"/>
              </w:rPr>
            </w:pPr>
            <w:r>
              <w:rPr>
                <w:rFonts w:hint="default" w:ascii="Times New Roman" w:hAnsi="Times New Roman" w:eastAsia="等线" w:cs="Times New Roman"/>
                <w:i w:val="0"/>
                <w:iCs w:val="0"/>
                <w:color w:val="000000"/>
                <w:kern w:val="0"/>
                <w:sz w:val="18"/>
                <w:szCs w:val="18"/>
                <w:u w:val="none"/>
                <w:lang w:val="en-US" w:eastAsia="zh-CN" w:bidi="ar"/>
              </w:rPr>
              <w:t>XS1201001</w:t>
            </w:r>
          </w:p>
        </w:tc>
        <w:tc>
          <w:tcPr>
            <w:tcW w:w="709" w:type="dxa"/>
            <w:vAlign w:val="center"/>
          </w:tcPr>
          <w:p w14:paraId="6CA1494A">
            <w:pPr>
              <w:keepNext w:val="0"/>
              <w:keepLines w:val="0"/>
              <w:pageBreakBefore w:val="0"/>
              <w:kinsoku/>
              <w:wordWrap/>
              <w:overflowPunct/>
              <w:topLinePunct w:val="0"/>
              <w:autoSpaceDE/>
              <w:autoSpaceDN/>
              <w:bidi w:val="0"/>
              <w:spacing w:line="360" w:lineRule="auto"/>
              <w:jc w:val="center"/>
              <w:textAlignment w:val="auto"/>
              <w:rPr>
                <w:rFonts w:hint="eastAsia" w:eastAsia="宋体"/>
                <w:i w:val="0"/>
                <w:iCs/>
                <w:color w:val="auto"/>
                <w:lang w:eastAsia="zh-CN"/>
              </w:rPr>
            </w:pPr>
            <w:r>
              <w:rPr>
                <w:rFonts w:hint="eastAsia"/>
                <w:i w:val="0"/>
                <w:iCs/>
                <w:color w:val="auto"/>
                <w:sz w:val="18"/>
                <w:szCs w:val="18"/>
                <w:lang w:val="en-US" w:eastAsia="zh-CN"/>
              </w:rPr>
              <w:t>3</w:t>
            </w:r>
          </w:p>
        </w:tc>
        <w:tc>
          <w:tcPr>
            <w:tcW w:w="709" w:type="dxa"/>
            <w:vAlign w:val="center"/>
          </w:tcPr>
          <w:p w14:paraId="2CE7B372">
            <w:pPr>
              <w:keepNext w:val="0"/>
              <w:keepLines w:val="0"/>
              <w:pageBreakBefore w:val="0"/>
              <w:kinsoku/>
              <w:wordWrap/>
              <w:overflowPunct/>
              <w:topLinePunct w:val="0"/>
              <w:autoSpaceDE/>
              <w:autoSpaceDN/>
              <w:bidi w:val="0"/>
              <w:spacing w:line="360" w:lineRule="auto"/>
              <w:jc w:val="center"/>
              <w:textAlignment w:val="auto"/>
              <w:rPr>
                <w:rFonts w:hint="eastAsia" w:eastAsia="宋体"/>
                <w:i w:val="0"/>
                <w:iCs/>
                <w:color w:val="auto"/>
                <w:lang w:eastAsia="zh-CN"/>
              </w:rPr>
            </w:pPr>
            <w:r>
              <w:rPr>
                <w:rFonts w:hint="eastAsia"/>
                <w:i w:val="0"/>
                <w:iCs/>
                <w:color w:val="auto"/>
                <w:sz w:val="18"/>
                <w:szCs w:val="18"/>
                <w:lang w:val="en-US" w:eastAsia="zh-CN"/>
              </w:rPr>
              <w:t>1</w:t>
            </w:r>
          </w:p>
        </w:tc>
        <w:tc>
          <w:tcPr>
            <w:tcW w:w="1045" w:type="dxa"/>
            <w:vAlign w:val="center"/>
          </w:tcPr>
          <w:p w14:paraId="5D049D23">
            <w:pPr>
              <w:keepNext w:val="0"/>
              <w:keepLines w:val="0"/>
              <w:pageBreakBefore w:val="0"/>
              <w:kinsoku/>
              <w:wordWrap/>
              <w:overflowPunct/>
              <w:topLinePunct w:val="0"/>
              <w:autoSpaceDE/>
              <w:autoSpaceDN/>
              <w:bidi w:val="0"/>
              <w:spacing w:line="360" w:lineRule="auto"/>
              <w:jc w:val="center"/>
              <w:textAlignment w:val="auto"/>
              <w:rPr>
                <w:color w:val="FF0000"/>
                <w:sz w:val="18"/>
                <w:szCs w:val="18"/>
              </w:rPr>
            </w:pPr>
            <w:r>
              <w:rPr>
                <w:rFonts w:hint="eastAsia"/>
                <w:sz w:val="18"/>
                <w:szCs w:val="18"/>
              </w:rPr>
              <w:t>考查</w:t>
            </w:r>
          </w:p>
        </w:tc>
      </w:tr>
      <w:tr w14:paraId="4F604F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DE21D5D">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1226" w:type="dxa"/>
            <w:vMerge w:val="continue"/>
            <w:vAlign w:val="center"/>
          </w:tcPr>
          <w:p w14:paraId="1799192C">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3516" w:type="dxa"/>
            <w:vAlign w:val="center"/>
          </w:tcPr>
          <w:p w14:paraId="7D2A4A77">
            <w:pPr>
              <w:keepNext w:val="0"/>
              <w:keepLines w:val="0"/>
              <w:pageBreakBefore w:val="0"/>
              <w:kinsoku/>
              <w:wordWrap/>
              <w:overflowPunct/>
              <w:topLinePunct w:val="0"/>
              <w:autoSpaceDE/>
              <w:autoSpaceDN/>
              <w:bidi w:val="0"/>
              <w:adjustRightInd w:val="0"/>
              <w:snapToGrid w:val="0"/>
              <w:spacing w:line="360" w:lineRule="auto"/>
              <w:textAlignment w:val="auto"/>
              <w:rPr>
                <w:rFonts w:hint="eastAsia"/>
                <w:i w:val="0"/>
                <w:iCs/>
                <w:color w:val="auto"/>
                <w:sz w:val="18"/>
                <w:szCs w:val="18"/>
                <w:lang w:val="en-US" w:eastAsia="zh-CN"/>
              </w:rPr>
            </w:pPr>
            <w:r>
              <w:rPr>
                <w:rFonts w:hint="eastAsia"/>
                <w:color w:val="000000" w:themeColor="text1"/>
                <w:sz w:val="18"/>
                <w:szCs w:val="18"/>
                <w:highlight w:val="none"/>
                <w:lang w:val="en-US" w:eastAsia="zh-CN"/>
                <w14:textFill>
                  <w14:solidFill>
                    <w14:schemeClr w14:val="tx1"/>
                  </w14:solidFill>
                </w14:textFill>
              </w:rPr>
              <w:t>植物生态学</w:t>
            </w:r>
          </w:p>
        </w:tc>
        <w:tc>
          <w:tcPr>
            <w:tcW w:w="1081" w:type="dxa"/>
            <w:vAlign w:val="center"/>
          </w:tcPr>
          <w:p w14:paraId="59871CFC">
            <w:pPr>
              <w:keepNext w:val="0"/>
              <w:keepLines w:val="0"/>
              <w:widowControl/>
              <w:suppressLineNumbers w:val="0"/>
              <w:jc w:val="center"/>
              <w:textAlignment w:val="center"/>
              <w:rPr>
                <w:rFonts w:hint="eastAsia" w:eastAsia="宋体"/>
                <w:iCs/>
                <w:sz w:val="18"/>
                <w:szCs w:val="18"/>
                <w:lang w:val="en-US" w:eastAsia="zh-CN"/>
              </w:rPr>
            </w:pPr>
            <w:r>
              <w:rPr>
                <w:rFonts w:hint="default" w:ascii="Times New Roman" w:hAnsi="Times New Roman" w:eastAsia="等线" w:cs="Times New Roman"/>
                <w:i w:val="0"/>
                <w:iCs w:val="0"/>
                <w:color w:val="000000"/>
                <w:kern w:val="0"/>
                <w:sz w:val="18"/>
                <w:szCs w:val="18"/>
                <w:u w:val="none"/>
                <w:lang w:val="en-US" w:eastAsia="zh-CN" w:bidi="ar"/>
              </w:rPr>
              <w:t>XS1201002</w:t>
            </w:r>
          </w:p>
        </w:tc>
        <w:tc>
          <w:tcPr>
            <w:tcW w:w="709" w:type="dxa"/>
            <w:vAlign w:val="center"/>
          </w:tcPr>
          <w:p w14:paraId="4461F64D">
            <w:pPr>
              <w:keepNext w:val="0"/>
              <w:keepLines w:val="0"/>
              <w:pageBreakBefore w:val="0"/>
              <w:kinsoku/>
              <w:wordWrap/>
              <w:overflowPunct/>
              <w:topLinePunct w:val="0"/>
              <w:autoSpaceDE/>
              <w:autoSpaceDN/>
              <w:bidi w:val="0"/>
              <w:spacing w:line="360" w:lineRule="auto"/>
              <w:jc w:val="center"/>
              <w:textAlignment w:val="auto"/>
              <w:rPr>
                <w:rFonts w:hint="default"/>
                <w:i w:val="0"/>
                <w:iCs/>
                <w:color w:val="auto"/>
                <w:sz w:val="18"/>
                <w:szCs w:val="18"/>
                <w:lang w:val="en-US" w:eastAsia="zh-CN"/>
              </w:rPr>
            </w:pPr>
            <w:r>
              <w:rPr>
                <w:rFonts w:hint="eastAsia"/>
                <w:i w:val="0"/>
                <w:iCs/>
                <w:color w:val="auto"/>
                <w:sz w:val="18"/>
                <w:szCs w:val="18"/>
                <w:lang w:val="en-US" w:eastAsia="zh-CN"/>
              </w:rPr>
              <w:t>3</w:t>
            </w:r>
          </w:p>
        </w:tc>
        <w:tc>
          <w:tcPr>
            <w:tcW w:w="709" w:type="dxa"/>
            <w:vAlign w:val="center"/>
          </w:tcPr>
          <w:p w14:paraId="60427467">
            <w:pPr>
              <w:keepNext w:val="0"/>
              <w:keepLines w:val="0"/>
              <w:pageBreakBefore w:val="0"/>
              <w:kinsoku/>
              <w:wordWrap/>
              <w:overflowPunct/>
              <w:topLinePunct w:val="0"/>
              <w:autoSpaceDE/>
              <w:autoSpaceDN/>
              <w:bidi w:val="0"/>
              <w:spacing w:line="360" w:lineRule="auto"/>
              <w:jc w:val="center"/>
              <w:textAlignment w:val="auto"/>
              <w:rPr>
                <w:rFonts w:hint="default"/>
                <w:i w:val="0"/>
                <w:iCs/>
                <w:color w:val="auto"/>
                <w:sz w:val="18"/>
                <w:szCs w:val="18"/>
                <w:lang w:val="en-US" w:eastAsia="zh-CN"/>
              </w:rPr>
            </w:pPr>
            <w:r>
              <w:rPr>
                <w:rFonts w:hint="eastAsia"/>
                <w:i w:val="0"/>
                <w:iCs/>
                <w:color w:val="auto"/>
                <w:sz w:val="18"/>
                <w:szCs w:val="18"/>
                <w:lang w:val="en-US" w:eastAsia="zh-CN"/>
              </w:rPr>
              <w:t>1</w:t>
            </w:r>
          </w:p>
        </w:tc>
        <w:tc>
          <w:tcPr>
            <w:tcW w:w="1045" w:type="dxa"/>
            <w:vAlign w:val="center"/>
          </w:tcPr>
          <w:p w14:paraId="4C4E8A1A">
            <w:pPr>
              <w:keepNext w:val="0"/>
              <w:keepLines w:val="0"/>
              <w:pageBreakBefore w:val="0"/>
              <w:kinsoku/>
              <w:wordWrap/>
              <w:overflowPunct/>
              <w:topLinePunct w:val="0"/>
              <w:autoSpaceDE/>
              <w:autoSpaceDN/>
              <w:bidi w:val="0"/>
              <w:spacing w:line="360" w:lineRule="auto"/>
              <w:jc w:val="center"/>
              <w:textAlignment w:val="auto"/>
              <w:rPr>
                <w:rFonts w:hint="eastAsia"/>
                <w:sz w:val="18"/>
                <w:szCs w:val="18"/>
              </w:rPr>
            </w:pPr>
            <w:r>
              <w:rPr>
                <w:rFonts w:hint="eastAsia"/>
                <w:color w:val="000000" w:themeColor="text1"/>
                <w:sz w:val="18"/>
                <w:szCs w:val="18"/>
                <w:highlight w:val="none"/>
                <w14:textFill>
                  <w14:solidFill>
                    <w14:schemeClr w14:val="tx1"/>
                  </w14:solidFill>
                </w14:textFill>
              </w:rPr>
              <w:t>考查</w:t>
            </w:r>
          </w:p>
        </w:tc>
      </w:tr>
      <w:tr w14:paraId="114950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5EA5FA0">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1226" w:type="dxa"/>
            <w:vMerge w:val="restart"/>
            <w:vAlign w:val="center"/>
          </w:tcPr>
          <w:p w14:paraId="49DA3780">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专业必修课</w:t>
            </w:r>
          </w:p>
          <w:p w14:paraId="4F534CE7">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5</w:t>
            </w:r>
            <w:r>
              <w:rPr>
                <w:b/>
                <w:color w:val="000000" w:themeColor="text1"/>
                <w:sz w:val="18"/>
                <w:szCs w:val="18"/>
                <w:highlight w:val="none"/>
                <w14:textFill>
                  <w14:solidFill>
                    <w14:schemeClr w14:val="tx1"/>
                  </w14:solidFill>
                </w14:textFill>
              </w:rPr>
              <w:t>学分）</w:t>
            </w:r>
          </w:p>
        </w:tc>
        <w:tc>
          <w:tcPr>
            <w:tcW w:w="3516" w:type="dxa"/>
            <w:vAlign w:val="center"/>
          </w:tcPr>
          <w:p w14:paraId="714F78EB">
            <w:pPr>
              <w:keepNext w:val="0"/>
              <w:keepLines w:val="0"/>
              <w:pageBreakBefore w:val="0"/>
              <w:kinsoku/>
              <w:wordWrap/>
              <w:overflowPunct/>
              <w:topLinePunct w:val="0"/>
              <w:autoSpaceDE/>
              <w:autoSpaceDN/>
              <w:bidi w:val="0"/>
              <w:adjustRightInd w:val="0"/>
              <w:snapToGrid w:val="0"/>
              <w:spacing w:line="360" w:lineRule="auto"/>
              <w:textAlignment w:val="auto"/>
              <w:rPr>
                <w:rFonts w:hint="eastAsia" w:eastAsia="宋体"/>
                <w:lang w:val="en-US" w:eastAsia="zh-CN"/>
              </w:rPr>
            </w:pPr>
            <w:r>
              <w:rPr>
                <w:rFonts w:hint="eastAsia"/>
                <w:color w:val="000000" w:themeColor="text1"/>
                <w:sz w:val="18"/>
                <w:szCs w:val="18"/>
                <w:highlight w:val="none"/>
                <w:lang w:val="en-US" w:eastAsia="zh-CN"/>
                <w14:textFill>
                  <w14:solidFill>
                    <w14:schemeClr w14:val="tx1"/>
                  </w14:solidFill>
                </w14:textFill>
              </w:rPr>
              <w:t>现代分子生物学技术</w:t>
            </w:r>
          </w:p>
        </w:tc>
        <w:tc>
          <w:tcPr>
            <w:tcW w:w="1081" w:type="dxa"/>
            <w:shd w:val="clear" w:color="auto" w:fill="auto"/>
            <w:vAlign w:val="center"/>
          </w:tcPr>
          <w:p w14:paraId="6332C8D2">
            <w:pPr>
              <w:keepNext w:val="0"/>
              <w:keepLines w:val="0"/>
              <w:widowControl/>
              <w:suppressLineNumbers w:val="0"/>
              <w:jc w:val="center"/>
              <w:textAlignment w:val="center"/>
              <w:rPr>
                <w:rFonts w:hint="default" w:ascii="Times New Roman" w:hAnsi="Times New Roman" w:eastAsia="等线" w:cs="Times New Roman"/>
                <w:i w:val="0"/>
                <w:iCs w:val="0"/>
                <w:color w:val="000000"/>
                <w:kern w:val="2"/>
                <w:sz w:val="18"/>
                <w:szCs w:val="18"/>
                <w:u w:val="none"/>
                <w:lang w:val="en-US" w:eastAsia="zh-CN" w:bidi="ar-SA"/>
              </w:rPr>
            </w:pPr>
            <w:r>
              <w:rPr>
                <w:rFonts w:hint="default" w:ascii="Times New Roman" w:hAnsi="Times New Roman" w:eastAsia="等线" w:cs="Times New Roman"/>
                <w:i w:val="0"/>
                <w:iCs w:val="0"/>
                <w:color w:val="000000"/>
                <w:kern w:val="0"/>
                <w:sz w:val="18"/>
                <w:szCs w:val="18"/>
                <w:u w:val="none"/>
                <w:lang w:val="en-US" w:eastAsia="zh-CN" w:bidi="ar"/>
              </w:rPr>
              <w:t>XS120100</w:t>
            </w:r>
            <w:r>
              <w:rPr>
                <w:rFonts w:hint="eastAsia" w:eastAsia="等线" w:cs="Times New Roman"/>
                <w:i w:val="0"/>
                <w:iCs w:val="0"/>
                <w:color w:val="000000"/>
                <w:kern w:val="0"/>
                <w:sz w:val="18"/>
                <w:szCs w:val="18"/>
                <w:u w:val="none"/>
                <w:lang w:val="en-US" w:eastAsia="zh-CN" w:bidi="ar"/>
              </w:rPr>
              <w:t>4</w:t>
            </w:r>
          </w:p>
        </w:tc>
        <w:tc>
          <w:tcPr>
            <w:tcW w:w="709" w:type="dxa"/>
            <w:vAlign w:val="center"/>
          </w:tcPr>
          <w:p w14:paraId="291A459A">
            <w:pPr>
              <w:keepNext w:val="0"/>
              <w:keepLines w:val="0"/>
              <w:pageBreakBefore w:val="0"/>
              <w:kinsoku/>
              <w:wordWrap/>
              <w:overflowPunct/>
              <w:topLinePunct w:val="0"/>
              <w:autoSpaceDE/>
              <w:autoSpaceDN/>
              <w:bidi w:val="0"/>
              <w:spacing w:line="360" w:lineRule="auto"/>
              <w:jc w:val="center"/>
              <w:textAlignment w:val="auto"/>
              <w:rPr>
                <w:rFonts w:hint="eastAsia" w:eastAsia="宋体"/>
                <w:color w:val="FF0000"/>
                <w:lang w:val="en-US" w:eastAsia="zh-CN"/>
              </w:rPr>
            </w:pPr>
            <w:r>
              <w:rPr>
                <w:rFonts w:hint="eastAsia"/>
                <w:color w:val="000000" w:themeColor="text1"/>
                <w:sz w:val="18"/>
                <w:szCs w:val="18"/>
                <w:highlight w:val="none"/>
                <w:lang w:val="en-US" w:eastAsia="zh-CN"/>
                <w14:textFill>
                  <w14:solidFill>
                    <w14:schemeClr w14:val="tx1"/>
                  </w14:solidFill>
                </w14:textFill>
              </w:rPr>
              <w:t>3</w:t>
            </w:r>
          </w:p>
        </w:tc>
        <w:tc>
          <w:tcPr>
            <w:tcW w:w="709" w:type="dxa"/>
            <w:vAlign w:val="center"/>
          </w:tcPr>
          <w:p w14:paraId="55B8865F">
            <w:pPr>
              <w:keepNext w:val="0"/>
              <w:keepLines w:val="0"/>
              <w:pageBreakBefore w:val="0"/>
              <w:kinsoku/>
              <w:wordWrap/>
              <w:overflowPunct/>
              <w:topLinePunct w:val="0"/>
              <w:autoSpaceDE/>
              <w:autoSpaceDN/>
              <w:bidi w:val="0"/>
              <w:spacing w:line="360" w:lineRule="auto"/>
              <w:jc w:val="center"/>
              <w:textAlignment w:val="auto"/>
              <w:rPr>
                <w:rFonts w:hint="eastAsia" w:eastAsia="宋体"/>
                <w:color w:val="FF0000"/>
                <w:lang w:eastAsia="zh-CN"/>
              </w:rPr>
            </w:pPr>
            <w:r>
              <w:rPr>
                <w:rFonts w:hint="eastAsia"/>
                <w:color w:val="000000" w:themeColor="text1"/>
                <w:sz w:val="18"/>
                <w:szCs w:val="18"/>
                <w:highlight w:val="none"/>
                <w14:textFill>
                  <w14:solidFill>
                    <w14:schemeClr w14:val="tx1"/>
                  </w14:solidFill>
                </w14:textFill>
              </w:rPr>
              <w:t>1</w:t>
            </w:r>
          </w:p>
        </w:tc>
        <w:tc>
          <w:tcPr>
            <w:tcW w:w="1045" w:type="dxa"/>
            <w:vAlign w:val="top"/>
          </w:tcPr>
          <w:p w14:paraId="6ADB7F05">
            <w:pPr>
              <w:keepNext w:val="0"/>
              <w:keepLines w:val="0"/>
              <w:pageBreakBefore w:val="0"/>
              <w:kinsoku/>
              <w:wordWrap/>
              <w:overflowPunct/>
              <w:topLinePunct w:val="0"/>
              <w:autoSpaceDE/>
              <w:autoSpaceDN/>
              <w:bidi w:val="0"/>
              <w:spacing w:line="360" w:lineRule="auto"/>
              <w:jc w:val="center"/>
              <w:textAlignment w:val="auto"/>
              <w:rPr>
                <w:color w:val="FF0000"/>
                <w:sz w:val="18"/>
                <w:szCs w:val="18"/>
              </w:rPr>
            </w:pPr>
            <w:r>
              <w:rPr>
                <w:rFonts w:hint="eastAsia"/>
                <w:color w:val="000000" w:themeColor="text1"/>
                <w:sz w:val="18"/>
                <w:szCs w:val="18"/>
                <w:highlight w:val="none"/>
                <w14:textFill>
                  <w14:solidFill>
                    <w14:schemeClr w14:val="tx1"/>
                  </w14:solidFill>
                </w14:textFill>
              </w:rPr>
              <w:t>考查</w:t>
            </w:r>
          </w:p>
        </w:tc>
      </w:tr>
      <w:tr w14:paraId="335C7E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87105F3">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1226" w:type="dxa"/>
            <w:vMerge w:val="continue"/>
            <w:vAlign w:val="center"/>
          </w:tcPr>
          <w:p w14:paraId="7A4455AF">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3516" w:type="dxa"/>
            <w:vAlign w:val="center"/>
          </w:tcPr>
          <w:p w14:paraId="00478BA9">
            <w:pPr>
              <w:keepNext w:val="0"/>
              <w:keepLines w:val="0"/>
              <w:pageBreakBefore w:val="0"/>
              <w:kinsoku/>
              <w:wordWrap/>
              <w:overflowPunct/>
              <w:topLinePunct w:val="0"/>
              <w:autoSpaceDE/>
              <w:autoSpaceDN/>
              <w:bidi w:val="0"/>
              <w:adjustRightInd w:val="0"/>
              <w:snapToGrid w:val="0"/>
              <w:spacing w:line="360" w:lineRule="auto"/>
              <w:textAlignment w:val="auto"/>
              <w:rPr>
                <w:rFonts w:hint="eastAsia" w:eastAsia="宋体"/>
                <w:color w:val="auto"/>
                <w:lang w:eastAsia="zh-CN"/>
              </w:rPr>
            </w:pPr>
            <w:r>
              <w:rPr>
                <w:rFonts w:hint="eastAsia"/>
                <w:color w:val="auto"/>
                <w:sz w:val="18"/>
                <w:szCs w:val="18"/>
                <w:highlight w:val="none"/>
              </w:rPr>
              <w:t>生命科学前沿研究</w:t>
            </w:r>
          </w:p>
        </w:tc>
        <w:tc>
          <w:tcPr>
            <w:tcW w:w="1081" w:type="dxa"/>
            <w:vAlign w:val="center"/>
          </w:tcPr>
          <w:p w14:paraId="63BAD298">
            <w:pPr>
              <w:keepNext w:val="0"/>
              <w:keepLines w:val="0"/>
              <w:pageBreakBefore w:val="0"/>
              <w:kinsoku/>
              <w:wordWrap/>
              <w:overflowPunct/>
              <w:topLinePunct w:val="0"/>
              <w:autoSpaceDE/>
              <w:autoSpaceDN/>
              <w:bidi w:val="0"/>
              <w:spacing w:line="360" w:lineRule="auto"/>
              <w:jc w:val="center"/>
              <w:textAlignment w:val="auto"/>
              <w:rPr>
                <w:color w:val="auto"/>
                <w:sz w:val="18"/>
                <w:szCs w:val="18"/>
              </w:rPr>
            </w:pPr>
            <w:r>
              <w:rPr>
                <w:rFonts w:hint="eastAsia"/>
                <w:color w:val="auto"/>
                <w:sz w:val="18"/>
                <w:szCs w:val="18"/>
              </w:rPr>
              <w:t>XS1200003</w:t>
            </w:r>
          </w:p>
        </w:tc>
        <w:tc>
          <w:tcPr>
            <w:tcW w:w="709" w:type="dxa"/>
            <w:vAlign w:val="center"/>
          </w:tcPr>
          <w:p w14:paraId="74757695">
            <w:pPr>
              <w:keepNext w:val="0"/>
              <w:keepLines w:val="0"/>
              <w:pageBreakBefore w:val="0"/>
              <w:kinsoku/>
              <w:wordWrap/>
              <w:overflowPunct/>
              <w:topLinePunct w:val="0"/>
              <w:autoSpaceDE/>
              <w:autoSpaceDN/>
              <w:bidi w:val="0"/>
              <w:spacing w:line="360" w:lineRule="auto"/>
              <w:jc w:val="center"/>
              <w:textAlignment w:val="auto"/>
              <w:rPr>
                <w:rFonts w:hint="eastAsia" w:eastAsia="宋体"/>
                <w:color w:val="FF0000"/>
                <w:lang w:val="en-US" w:eastAsia="zh-CN"/>
              </w:rPr>
            </w:pPr>
            <w:r>
              <w:rPr>
                <w:rFonts w:hint="eastAsia"/>
                <w:color w:val="000000" w:themeColor="text1"/>
                <w:sz w:val="18"/>
                <w:szCs w:val="18"/>
                <w:highlight w:val="none"/>
                <w:lang w:val="en-US" w:eastAsia="zh-CN"/>
                <w14:textFill>
                  <w14:solidFill>
                    <w14:schemeClr w14:val="tx1"/>
                  </w14:solidFill>
                </w14:textFill>
              </w:rPr>
              <w:t>2</w:t>
            </w:r>
          </w:p>
        </w:tc>
        <w:tc>
          <w:tcPr>
            <w:tcW w:w="709" w:type="dxa"/>
            <w:vAlign w:val="center"/>
          </w:tcPr>
          <w:p w14:paraId="0E9F2174">
            <w:pPr>
              <w:keepNext w:val="0"/>
              <w:keepLines w:val="0"/>
              <w:pageBreakBefore w:val="0"/>
              <w:kinsoku/>
              <w:wordWrap/>
              <w:overflowPunct/>
              <w:topLinePunct w:val="0"/>
              <w:autoSpaceDE/>
              <w:autoSpaceDN/>
              <w:bidi w:val="0"/>
              <w:spacing w:line="360" w:lineRule="auto"/>
              <w:jc w:val="center"/>
              <w:textAlignment w:val="auto"/>
              <w:rPr>
                <w:rFonts w:hint="eastAsia" w:eastAsia="宋体"/>
                <w:color w:val="FF0000"/>
                <w:lang w:eastAsia="zh-CN"/>
              </w:rPr>
            </w:pPr>
            <w:r>
              <w:rPr>
                <w:rFonts w:hint="eastAsia"/>
                <w:color w:val="000000" w:themeColor="text1"/>
                <w:sz w:val="18"/>
                <w:szCs w:val="18"/>
                <w:highlight w:val="none"/>
                <w:lang w:val="en-US" w:eastAsia="zh-CN"/>
                <w14:textFill>
                  <w14:solidFill>
                    <w14:schemeClr w14:val="tx1"/>
                  </w14:solidFill>
                </w14:textFill>
              </w:rPr>
              <w:t>1</w:t>
            </w:r>
          </w:p>
        </w:tc>
        <w:tc>
          <w:tcPr>
            <w:tcW w:w="1045" w:type="dxa"/>
            <w:vAlign w:val="top"/>
          </w:tcPr>
          <w:p w14:paraId="09A44E53">
            <w:pPr>
              <w:keepNext w:val="0"/>
              <w:keepLines w:val="0"/>
              <w:pageBreakBefore w:val="0"/>
              <w:kinsoku/>
              <w:wordWrap/>
              <w:overflowPunct/>
              <w:topLinePunct w:val="0"/>
              <w:autoSpaceDE/>
              <w:autoSpaceDN/>
              <w:bidi w:val="0"/>
              <w:spacing w:line="360" w:lineRule="auto"/>
              <w:jc w:val="center"/>
              <w:textAlignment w:val="auto"/>
              <w:rPr>
                <w:color w:val="FF0000"/>
                <w:sz w:val="18"/>
                <w:szCs w:val="18"/>
              </w:rPr>
            </w:pPr>
            <w:r>
              <w:rPr>
                <w:rFonts w:hint="eastAsia"/>
                <w:color w:val="000000" w:themeColor="text1"/>
                <w:sz w:val="18"/>
                <w:szCs w:val="18"/>
                <w:highlight w:val="none"/>
                <w14:textFill>
                  <w14:solidFill>
                    <w14:schemeClr w14:val="tx1"/>
                  </w14:solidFill>
                </w14:textFill>
              </w:rPr>
              <w:t>考查</w:t>
            </w:r>
          </w:p>
        </w:tc>
      </w:tr>
      <w:tr w14:paraId="1CECE4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AF8F06D">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640E6A9E">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231D0914">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101BEFD8">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0B99E74E">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7F064962">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8D18975">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54306A73">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9DB32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6053E60">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1226" w:type="dxa"/>
            <w:vMerge w:val="continue"/>
            <w:vAlign w:val="center"/>
          </w:tcPr>
          <w:p w14:paraId="12C47125">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3516" w:type="dxa"/>
            <w:vAlign w:val="center"/>
          </w:tcPr>
          <w:p w14:paraId="07CDD881">
            <w:pPr>
              <w:keepNext w:val="0"/>
              <w:keepLines w:val="0"/>
              <w:pageBreakBefore w:val="0"/>
              <w:kinsoku/>
              <w:wordWrap/>
              <w:overflowPunct/>
              <w:topLinePunct w:val="0"/>
              <w:autoSpaceDE/>
              <w:autoSpaceDN/>
              <w:bidi w:val="0"/>
              <w:adjustRightInd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自然辩证法概论</w:t>
            </w:r>
          </w:p>
        </w:tc>
        <w:tc>
          <w:tcPr>
            <w:tcW w:w="1081" w:type="dxa"/>
            <w:vAlign w:val="center"/>
          </w:tcPr>
          <w:p w14:paraId="78155DA4">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TS0000102</w:t>
            </w:r>
          </w:p>
        </w:tc>
        <w:tc>
          <w:tcPr>
            <w:tcW w:w="709" w:type="dxa"/>
            <w:vAlign w:val="center"/>
          </w:tcPr>
          <w:p w14:paraId="5D957B24">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A21EE43">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2B65A75">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00214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BC9970D">
            <w:pPr>
              <w:keepNext w:val="0"/>
              <w:keepLines w:val="0"/>
              <w:pageBreakBefore w:val="0"/>
              <w:kinsoku/>
              <w:wordWrap/>
              <w:overflowPunct/>
              <w:topLinePunct w:val="0"/>
              <w:autoSpaceDE/>
              <w:autoSpaceDN/>
              <w:bidi w:val="0"/>
              <w:spacing w:line="360" w:lineRule="auto"/>
              <w:textAlignment w:val="auto"/>
              <w:rPr>
                <w:b/>
                <w:color w:val="000000" w:themeColor="text1"/>
                <w:sz w:val="18"/>
                <w:szCs w:val="18"/>
                <w14:textFill>
                  <w14:solidFill>
                    <w14:schemeClr w14:val="tx1"/>
                  </w14:solidFill>
                </w14:textFill>
              </w:rPr>
            </w:pPr>
          </w:p>
        </w:tc>
        <w:tc>
          <w:tcPr>
            <w:tcW w:w="1226" w:type="dxa"/>
            <w:vMerge w:val="restart"/>
            <w:vAlign w:val="center"/>
          </w:tcPr>
          <w:p w14:paraId="2BF6C8C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eastAsia="宋体"/>
                <w:b/>
                <w:i w:val="0"/>
                <w:iCs w:val="0"/>
                <w:color w:val="auto"/>
                <w:sz w:val="18"/>
                <w:szCs w:val="18"/>
                <w:lang w:val="en-US" w:eastAsia="zh-CN"/>
              </w:rPr>
            </w:pPr>
            <w:r>
              <w:rPr>
                <w:rFonts w:hint="eastAsia"/>
                <w:b/>
                <w:i w:val="0"/>
                <w:iCs w:val="0"/>
                <w:color w:val="auto"/>
                <w:sz w:val="18"/>
                <w:szCs w:val="18"/>
                <w:lang w:val="en-US" w:eastAsia="zh-CN"/>
              </w:rPr>
              <w:t>选修课</w:t>
            </w:r>
          </w:p>
        </w:tc>
        <w:tc>
          <w:tcPr>
            <w:tcW w:w="3516" w:type="dxa"/>
            <w:vAlign w:val="center"/>
          </w:tcPr>
          <w:p w14:paraId="282F241B">
            <w:pPr>
              <w:keepNext w:val="0"/>
              <w:keepLines w:val="0"/>
              <w:pageBreakBefore w:val="0"/>
              <w:kinsoku/>
              <w:wordWrap/>
              <w:overflowPunct/>
              <w:topLinePunct w:val="0"/>
              <w:autoSpaceDE/>
              <w:autoSpaceDN/>
              <w:bidi w:val="0"/>
              <w:spacing w:line="360" w:lineRule="auto"/>
              <w:textAlignment w:val="auto"/>
              <w:rPr>
                <w:i w:val="0"/>
                <w:iCs w:val="0"/>
                <w:color w:val="auto"/>
                <w:sz w:val="18"/>
                <w:szCs w:val="18"/>
              </w:rPr>
            </w:pPr>
            <w:r>
              <w:rPr>
                <w:rFonts w:hint="eastAsia"/>
                <w:i w:val="0"/>
                <w:iCs w:val="0"/>
                <w:color w:val="auto"/>
                <w:sz w:val="18"/>
                <w:szCs w:val="18"/>
                <w:lang w:val="en-US" w:eastAsia="zh-CN"/>
              </w:rPr>
              <w:t>植物共生生物学</w:t>
            </w:r>
          </w:p>
        </w:tc>
        <w:tc>
          <w:tcPr>
            <w:tcW w:w="1081" w:type="dxa"/>
            <w:vAlign w:val="center"/>
          </w:tcPr>
          <w:p w14:paraId="259AF13C">
            <w:pPr>
              <w:keepNext w:val="0"/>
              <w:keepLines w:val="0"/>
              <w:widowControl/>
              <w:suppressLineNumbers w:val="0"/>
              <w:jc w:val="center"/>
              <w:textAlignment w:val="center"/>
              <w:rPr>
                <w:rFonts w:hint="eastAsia" w:eastAsia="宋体"/>
                <w:color w:val="FF0000"/>
                <w:sz w:val="18"/>
                <w:szCs w:val="18"/>
                <w:lang w:val="en-US" w:eastAsia="zh-CN"/>
              </w:rPr>
            </w:pPr>
            <w:r>
              <w:rPr>
                <w:rFonts w:hint="default" w:ascii="Times New Roman" w:hAnsi="Times New Roman" w:eastAsia="等线" w:cs="Times New Roman"/>
                <w:i w:val="0"/>
                <w:iCs w:val="0"/>
                <w:color w:val="000000"/>
                <w:kern w:val="0"/>
                <w:sz w:val="18"/>
                <w:szCs w:val="18"/>
                <w:u w:val="none"/>
                <w:lang w:val="en-US" w:eastAsia="zh-CN" w:bidi="ar"/>
              </w:rPr>
              <w:t>XS120120</w:t>
            </w:r>
            <w:r>
              <w:rPr>
                <w:rFonts w:hint="eastAsia" w:eastAsia="等线" w:cs="Times New Roman"/>
                <w:i w:val="0"/>
                <w:iCs w:val="0"/>
                <w:color w:val="000000"/>
                <w:kern w:val="0"/>
                <w:sz w:val="18"/>
                <w:szCs w:val="18"/>
                <w:u w:val="none"/>
                <w:lang w:val="en-US" w:eastAsia="zh-CN" w:bidi="ar"/>
              </w:rPr>
              <w:t>7</w:t>
            </w:r>
          </w:p>
        </w:tc>
        <w:tc>
          <w:tcPr>
            <w:tcW w:w="709" w:type="dxa"/>
            <w:vAlign w:val="center"/>
          </w:tcPr>
          <w:p w14:paraId="20C83375">
            <w:pPr>
              <w:keepNext w:val="0"/>
              <w:keepLines w:val="0"/>
              <w:pageBreakBefore w:val="0"/>
              <w:kinsoku/>
              <w:wordWrap/>
              <w:overflowPunct/>
              <w:topLinePunct w:val="0"/>
              <w:autoSpaceDE/>
              <w:autoSpaceDN/>
              <w:bidi w:val="0"/>
              <w:spacing w:line="360" w:lineRule="auto"/>
              <w:jc w:val="center"/>
              <w:textAlignment w:val="auto"/>
              <w:rPr>
                <w:rFonts w:hint="eastAsia" w:eastAsia="宋体"/>
                <w:i w:val="0"/>
                <w:iCs/>
                <w:color w:val="auto"/>
                <w:lang w:eastAsia="zh-CN"/>
              </w:rPr>
            </w:pPr>
            <w:r>
              <w:rPr>
                <w:rFonts w:hint="eastAsia"/>
                <w:i w:val="0"/>
                <w:iCs/>
                <w:color w:val="auto"/>
                <w:sz w:val="18"/>
                <w:szCs w:val="18"/>
                <w:lang w:val="en-US" w:eastAsia="zh-CN"/>
              </w:rPr>
              <w:t>3</w:t>
            </w:r>
          </w:p>
        </w:tc>
        <w:tc>
          <w:tcPr>
            <w:tcW w:w="709" w:type="dxa"/>
            <w:vAlign w:val="center"/>
          </w:tcPr>
          <w:p w14:paraId="638F11DD">
            <w:pPr>
              <w:keepNext w:val="0"/>
              <w:keepLines w:val="0"/>
              <w:pageBreakBefore w:val="0"/>
              <w:kinsoku/>
              <w:wordWrap/>
              <w:overflowPunct/>
              <w:topLinePunct w:val="0"/>
              <w:autoSpaceDE/>
              <w:autoSpaceDN/>
              <w:bidi w:val="0"/>
              <w:spacing w:line="360" w:lineRule="auto"/>
              <w:jc w:val="center"/>
              <w:textAlignment w:val="auto"/>
              <w:rPr>
                <w:rFonts w:hint="eastAsia" w:eastAsia="宋体"/>
                <w:i w:val="0"/>
                <w:iCs/>
                <w:color w:val="auto"/>
                <w:lang w:eastAsia="zh-CN"/>
              </w:rPr>
            </w:pPr>
            <w:r>
              <w:rPr>
                <w:rFonts w:hint="eastAsia"/>
                <w:i w:val="0"/>
                <w:iCs/>
                <w:color w:val="auto"/>
                <w:sz w:val="18"/>
                <w:szCs w:val="18"/>
                <w:lang w:val="en-US" w:eastAsia="zh-CN"/>
              </w:rPr>
              <w:t>1</w:t>
            </w:r>
          </w:p>
        </w:tc>
        <w:tc>
          <w:tcPr>
            <w:tcW w:w="1045" w:type="dxa"/>
            <w:vMerge w:val="restart"/>
            <w:vAlign w:val="center"/>
          </w:tcPr>
          <w:p w14:paraId="073C5F1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考查</w:t>
            </w:r>
          </w:p>
          <w:p w14:paraId="292845DB">
            <w:pPr>
              <w:keepNext w:val="0"/>
              <w:keepLines w:val="0"/>
              <w:pageBreakBefore w:val="0"/>
              <w:kinsoku/>
              <w:wordWrap/>
              <w:overflowPunct/>
              <w:topLinePunct w:val="0"/>
              <w:autoSpaceDE/>
              <w:autoSpaceDN/>
              <w:bidi w:val="0"/>
              <w:adjustRightInd w:val="0"/>
              <w:snapToGrid w:val="0"/>
              <w:spacing w:line="360" w:lineRule="auto"/>
              <w:jc w:val="center"/>
              <w:textAlignment w:val="auto"/>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r>
              <w:rPr>
                <w:color w:val="000000" w:themeColor="text1"/>
                <w:sz w:val="18"/>
                <w:szCs w:val="18"/>
                <w14:textFill>
                  <w14:solidFill>
                    <w14:schemeClr w14:val="tx1"/>
                  </w14:solidFill>
                </w14:textFill>
              </w:rPr>
              <w:t>研究生至少</w:t>
            </w:r>
            <w:bookmarkStart w:id="1" w:name="_GoBack"/>
            <w:bookmarkEnd w:id="1"/>
            <w:r>
              <w:rPr>
                <w:color w:val="000000" w:themeColor="text1"/>
                <w:sz w:val="18"/>
                <w:szCs w:val="18"/>
                <w14:textFill>
                  <w14:solidFill>
                    <w14:schemeClr w14:val="tx1"/>
                  </w14:solidFill>
                </w14:textFill>
              </w:rPr>
              <w:t>选修</w:t>
            </w:r>
          </w:p>
          <w:p w14:paraId="50F46AF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学分</w:t>
            </w:r>
            <w:r>
              <w:rPr>
                <w:rFonts w:hint="eastAsia"/>
                <w:color w:val="000000" w:themeColor="text1"/>
                <w:sz w:val="18"/>
                <w:szCs w:val="18"/>
                <w:lang w:val="en-US" w:eastAsia="zh-CN"/>
                <w14:textFill>
                  <w14:solidFill>
                    <w14:schemeClr w14:val="tx1"/>
                  </w14:solidFill>
                </w14:textFill>
              </w:rPr>
              <w:t>）</w:t>
            </w:r>
          </w:p>
        </w:tc>
      </w:tr>
      <w:tr w14:paraId="0A1D26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3" w:hRule="atLeast"/>
          <w:jc w:val="center"/>
        </w:trPr>
        <w:tc>
          <w:tcPr>
            <w:tcW w:w="571" w:type="dxa"/>
            <w:vMerge w:val="continue"/>
          </w:tcPr>
          <w:p w14:paraId="7698AA90">
            <w:pPr>
              <w:keepNext w:val="0"/>
              <w:keepLines w:val="0"/>
              <w:pageBreakBefore w:val="0"/>
              <w:kinsoku/>
              <w:wordWrap/>
              <w:overflowPunct/>
              <w:topLinePunct w:val="0"/>
              <w:autoSpaceDE/>
              <w:autoSpaceDN/>
              <w:bidi w:val="0"/>
              <w:spacing w:line="360" w:lineRule="auto"/>
              <w:textAlignment w:val="auto"/>
              <w:rPr>
                <w:b/>
                <w:color w:val="000000" w:themeColor="text1"/>
                <w:sz w:val="18"/>
                <w:szCs w:val="18"/>
                <w14:textFill>
                  <w14:solidFill>
                    <w14:schemeClr w14:val="tx1"/>
                  </w14:solidFill>
                </w14:textFill>
              </w:rPr>
            </w:pPr>
          </w:p>
        </w:tc>
        <w:tc>
          <w:tcPr>
            <w:tcW w:w="1226" w:type="dxa"/>
            <w:vMerge w:val="continue"/>
            <w:vAlign w:val="center"/>
          </w:tcPr>
          <w:p w14:paraId="2896F8EE">
            <w:pPr>
              <w:keepNext w:val="0"/>
              <w:keepLines w:val="0"/>
              <w:pageBreakBefore w:val="0"/>
              <w:kinsoku/>
              <w:wordWrap/>
              <w:overflowPunct/>
              <w:topLinePunct w:val="0"/>
              <w:autoSpaceDE/>
              <w:autoSpaceDN/>
              <w:bidi w:val="0"/>
              <w:adjustRightInd w:val="0"/>
              <w:snapToGrid w:val="0"/>
              <w:spacing w:line="360" w:lineRule="auto"/>
              <w:jc w:val="center"/>
              <w:textAlignment w:val="auto"/>
              <w:rPr>
                <w:b/>
                <w:i w:val="0"/>
                <w:iCs w:val="0"/>
                <w:color w:val="auto"/>
                <w:sz w:val="18"/>
                <w:szCs w:val="18"/>
              </w:rPr>
            </w:pPr>
          </w:p>
        </w:tc>
        <w:tc>
          <w:tcPr>
            <w:tcW w:w="3516" w:type="dxa"/>
            <w:vAlign w:val="center"/>
          </w:tcPr>
          <w:p w14:paraId="1514C8CB">
            <w:pPr>
              <w:keepNext w:val="0"/>
              <w:keepLines w:val="0"/>
              <w:pageBreakBefore w:val="0"/>
              <w:kinsoku/>
              <w:wordWrap/>
              <w:overflowPunct/>
              <w:topLinePunct w:val="0"/>
              <w:autoSpaceDE/>
              <w:autoSpaceDN/>
              <w:bidi w:val="0"/>
              <w:spacing w:line="360" w:lineRule="auto"/>
              <w:textAlignment w:val="auto"/>
              <w:rPr>
                <w:rFonts w:hint="eastAsia" w:eastAsia="宋体"/>
                <w:i w:val="0"/>
                <w:iCs w:val="0"/>
                <w:color w:val="auto"/>
                <w:sz w:val="18"/>
                <w:szCs w:val="18"/>
                <w:lang w:eastAsia="zh-CN"/>
              </w:rPr>
            </w:pPr>
            <w:r>
              <w:rPr>
                <w:rFonts w:hint="eastAsia"/>
                <w:iCs/>
                <w:sz w:val="18"/>
                <w:szCs w:val="18"/>
              </w:rPr>
              <w:t>植物学研究技术</w:t>
            </w:r>
          </w:p>
        </w:tc>
        <w:tc>
          <w:tcPr>
            <w:tcW w:w="1081" w:type="dxa"/>
            <w:vAlign w:val="center"/>
          </w:tcPr>
          <w:p w14:paraId="6F393E41">
            <w:pPr>
              <w:keepNext w:val="0"/>
              <w:keepLines w:val="0"/>
              <w:widowControl/>
              <w:suppressLineNumbers w:val="0"/>
              <w:jc w:val="center"/>
              <w:textAlignment w:val="center"/>
              <w:rPr>
                <w:rFonts w:hint="eastAsia" w:eastAsia="宋体"/>
                <w:color w:val="FF0000"/>
                <w:sz w:val="18"/>
                <w:szCs w:val="18"/>
                <w:lang w:val="en-US" w:eastAsia="zh-CN"/>
              </w:rPr>
            </w:pPr>
            <w:r>
              <w:rPr>
                <w:rFonts w:hint="default" w:ascii="Times New Roman" w:hAnsi="Times New Roman" w:eastAsia="等线" w:cs="Times New Roman"/>
                <w:i w:val="0"/>
                <w:iCs w:val="0"/>
                <w:color w:val="000000"/>
                <w:kern w:val="0"/>
                <w:sz w:val="18"/>
                <w:szCs w:val="18"/>
                <w:u w:val="none"/>
                <w:lang w:val="en-US" w:eastAsia="zh-CN" w:bidi="ar"/>
              </w:rPr>
              <w:t>XS120120</w:t>
            </w:r>
            <w:r>
              <w:rPr>
                <w:rFonts w:hint="eastAsia" w:eastAsia="等线" w:cs="Times New Roman"/>
                <w:i w:val="0"/>
                <w:iCs w:val="0"/>
                <w:color w:val="000000"/>
                <w:kern w:val="0"/>
                <w:sz w:val="18"/>
                <w:szCs w:val="18"/>
                <w:u w:val="none"/>
                <w:lang w:val="en-US" w:eastAsia="zh-CN" w:bidi="ar"/>
              </w:rPr>
              <w:t>1</w:t>
            </w:r>
          </w:p>
        </w:tc>
        <w:tc>
          <w:tcPr>
            <w:tcW w:w="709" w:type="dxa"/>
            <w:vAlign w:val="center"/>
          </w:tcPr>
          <w:p w14:paraId="01BEB891">
            <w:pPr>
              <w:keepNext w:val="0"/>
              <w:keepLines w:val="0"/>
              <w:pageBreakBefore w:val="0"/>
              <w:kinsoku/>
              <w:wordWrap/>
              <w:overflowPunct/>
              <w:topLinePunct w:val="0"/>
              <w:autoSpaceDE/>
              <w:autoSpaceDN/>
              <w:bidi w:val="0"/>
              <w:spacing w:line="360" w:lineRule="auto"/>
              <w:jc w:val="center"/>
              <w:textAlignment w:val="auto"/>
              <w:rPr>
                <w:rFonts w:hint="eastAsia" w:eastAsia="宋体"/>
                <w:i w:val="0"/>
                <w:iCs/>
                <w:color w:val="auto"/>
                <w:lang w:eastAsia="zh-CN"/>
              </w:rPr>
            </w:pPr>
            <w:r>
              <w:rPr>
                <w:rFonts w:hint="eastAsia"/>
                <w:i w:val="0"/>
                <w:iCs/>
                <w:color w:val="auto"/>
                <w:sz w:val="18"/>
                <w:szCs w:val="18"/>
                <w:lang w:val="en-US" w:eastAsia="zh-CN"/>
              </w:rPr>
              <w:t>2</w:t>
            </w:r>
          </w:p>
        </w:tc>
        <w:tc>
          <w:tcPr>
            <w:tcW w:w="709" w:type="dxa"/>
            <w:vAlign w:val="center"/>
          </w:tcPr>
          <w:p w14:paraId="25E1CCCF">
            <w:pPr>
              <w:keepNext w:val="0"/>
              <w:keepLines w:val="0"/>
              <w:pageBreakBefore w:val="0"/>
              <w:kinsoku/>
              <w:wordWrap/>
              <w:overflowPunct/>
              <w:topLinePunct w:val="0"/>
              <w:autoSpaceDE/>
              <w:autoSpaceDN/>
              <w:bidi w:val="0"/>
              <w:spacing w:line="360" w:lineRule="auto"/>
              <w:jc w:val="center"/>
              <w:textAlignment w:val="auto"/>
              <w:rPr>
                <w:rFonts w:hint="eastAsia" w:eastAsia="宋体"/>
                <w:i w:val="0"/>
                <w:iCs/>
                <w:color w:val="auto"/>
                <w:lang w:eastAsia="zh-CN"/>
              </w:rPr>
            </w:pPr>
            <w:r>
              <w:rPr>
                <w:rFonts w:hint="eastAsia"/>
                <w:i w:val="0"/>
                <w:iCs/>
                <w:color w:val="auto"/>
                <w:sz w:val="18"/>
                <w:szCs w:val="18"/>
                <w:lang w:val="en-US" w:eastAsia="zh-CN"/>
              </w:rPr>
              <w:t>1</w:t>
            </w:r>
          </w:p>
        </w:tc>
        <w:tc>
          <w:tcPr>
            <w:tcW w:w="1045" w:type="dxa"/>
            <w:vMerge w:val="continue"/>
            <w:vAlign w:val="center"/>
          </w:tcPr>
          <w:p w14:paraId="0D97E0F9">
            <w:pPr>
              <w:keepNext w:val="0"/>
              <w:keepLines w:val="0"/>
              <w:pageBreakBefore w:val="0"/>
              <w:kinsoku/>
              <w:wordWrap/>
              <w:overflowPunct/>
              <w:topLinePunct w:val="0"/>
              <w:autoSpaceDE/>
              <w:autoSpaceDN/>
              <w:bidi w:val="0"/>
              <w:adjustRightInd w:val="0"/>
              <w:snapToGrid w:val="0"/>
              <w:spacing w:line="360" w:lineRule="auto"/>
              <w:jc w:val="center"/>
              <w:textAlignment w:val="auto"/>
              <w:rPr>
                <w:color w:val="000000" w:themeColor="text1"/>
                <w:sz w:val="18"/>
                <w:szCs w:val="18"/>
                <w14:textFill>
                  <w14:solidFill>
                    <w14:schemeClr w14:val="tx1"/>
                  </w14:solidFill>
                </w14:textFill>
              </w:rPr>
            </w:pPr>
          </w:p>
        </w:tc>
      </w:tr>
      <w:tr w14:paraId="429E7B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D874C91">
            <w:pPr>
              <w:keepNext w:val="0"/>
              <w:keepLines w:val="0"/>
              <w:pageBreakBefore w:val="0"/>
              <w:kinsoku/>
              <w:wordWrap/>
              <w:overflowPunct/>
              <w:topLinePunct w:val="0"/>
              <w:autoSpaceDE/>
              <w:autoSpaceDN/>
              <w:bidi w:val="0"/>
              <w:spacing w:line="360" w:lineRule="auto"/>
              <w:textAlignment w:val="auto"/>
              <w:rPr>
                <w:b/>
                <w:color w:val="000000" w:themeColor="text1"/>
                <w:sz w:val="18"/>
                <w:szCs w:val="18"/>
                <w14:textFill>
                  <w14:solidFill>
                    <w14:schemeClr w14:val="tx1"/>
                  </w14:solidFill>
                </w14:textFill>
              </w:rPr>
            </w:pPr>
          </w:p>
        </w:tc>
        <w:tc>
          <w:tcPr>
            <w:tcW w:w="1226" w:type="dxa"/>
            <w:vMerge w:val="continue"/>
            <w:vAlign w:val="center"/>
          </w:tcPr>
          <w:p w14:paraId="4E133882">
            <w:pPr>
              <w:keepNext w:val="0"/>
              <w:keepLines w:val="0"/>
              <w:pageBreakBefore w:val="0"/>
              <w:kinsoku/>
              <w:wordWrap/>
              <w:overflowPunct/>
              <w:topLinePunct w:val="0"/>
              <w:autoSpaceDE/>
              <w:autoSpaceDN/>
              <w:bidi w:val="0"/>
              <w:adjustRightInd w:val="0"/>
              <w:snapToGrid w:val="0"/>
              <w:spacing w:line="360" w:lineRule="auto"/>
              <w:jc w:val="center"/>
              <w:textAlignment w:val="auto"/>
              <w:rPr>
                <w:b/>
                <w:color w:val="FF0000"/>
                <w:sz w:val="18"/>
                <w:szCs w:val="18"/>
              </w:rPr>
            </w:pPr>
          </w:p>
        </w:tc>
        <w:tc>
          <w:tcPr>
            <w:tcW w:w="3516" w:type="dxa"/>
            <w:vAlign w:val="center"/>
          </w:tcPr>
          <w:p w14:paraId="373BE699">
            <w:pPr>
              <w:keepNext w:val="0"/>
              <w:keepLines w:val="0"/>
              <w:pageBreakBefore w:val="0"/>
              <w:kinsoku/>
              <w:wordWrap/>
              <w:overflowPunct/>
              <w:topLinePunct w:val="0"/>
              <w:autoSpaceDE/>
              <w:autoSpaceDN/>
              <w:bidi w:val="0"/>
              <w:spacing w:line="360" w:lineRule="auto"/>
              <w:textAlignment w:val="auto"/>
              <w:rPr>
                <w:rFonts w:hint="eastAsia" w:eastAsia="宋体"/>
                <w:i w:val="0"/>
                <w:iCs/>
                <w:color w:val="auto"/>
                <w:sz w:val="18"/>
                <w:szCs w:val="18"/>
                <w:lang w:val="en-US" w:eastAsia="zh-CN"/>
              </w:rPr>
            </w:pPr>
            <w:r>
              <w:rPr>
                <w:rFonts w:hint="eastAsia"/>
                <w:i w:val="0"/>
                <w:iCs/>
                <w:color w:val="auto"/>
                <w:sz w:val="18"/>
                <w:szCs w:val="18"/>
                <w:lang w:val="en-US" w:eastAsia="zh-CN"/>
              </w:rPr>
              <w:t>植物生理学</w:t>
            </w:r>
          </w:p>
        </w:tc>
        <w:tc>
          <w:tcPr>
            <w:tcW w:w="1081" w:type="dxa"/>
            <w:vAlign w:val="center"/>
          </w:tcPr>
          <w:p w14:paraId="061C1A37">
            <w:pPr>
              <w:keepNext w:val="0"/>
              <w:keepLines w:val="0"/>
              <w:widowControl/>
              <w:suppressLineNumbers w:val="0"/>
              <w:jc w:val="center"/>
              <w:textAlignment w:val="center"/>
              <w:rPr>
                <w:i w:val="0"/>
                <w:iCs/>
                <w:color w:val="auto"/>
                <w:sz w:val="18"/>
                <w:szCs w:val="18"/>
              </w:rPr>
            </w:pPr>
            <w:r>
              <w:rPr>
                <w:rFonts w:hint="default" w:ascii="Times New Roman" w:hAnsi="Times New Roman" w:eastAsia="等线" w:cs="Times New Roman"/>
                <w:i w:val="0"/>
                <w:iCs w:val="0"/>
                <w:color w:val="000000"/>
                <w:kern w:val="0"/>
                <w:sz w:val="18"/>
                <w:szCs w:val="18"/>
                <w:u w:val="none"/>
                <w:lang w:val="en-US" w:eastAsia="zh-CN" w:bidi="ar"/>
              </w:rPr>
              <w:t>XS120120</w:t>
            </w:r>
            <w:r>
              <w:rPr>
                <w:rFonts w:hint="eastAsia" w:eastAsia="等线" w:cs="Times New Roman"/>
                <w:i w:val="0"/>
                <w:iCs w:val="0"/>
                <w:color w:val="000000"/>
                <w:kern w:val="0"/>
                <w:sz w:val="18"/>
                <w:szCs w:val="18"/>
                <w:u w:val="none"/>
                <w:lang w:val="en-US" w:eastAsia="zh-CN" w:bidi="ar"/>
              </w:rPr>
              <w:t>8</w:t>
            </w:r>
          </w:p>
        </w:tc>
        <w:tc>
          <w:tcPr>
            <w:tcW w:w="709" w:type="dxa"/>
            <w:vAlign w:val="center"/>
          </w:tcPr>
          <w:p w14:paraId="776F0635">
            <w:pPr>
              <w:keepNext w:val="0"/>
              <w:keepLines w:val="0"/>
              <w:pageBreakBefore w:val="0"/>
              <w:kinsoku/>
              <w:wordWrap/>
              <w:overflowPunct/>
              <w:topLinePunct w:val="0"/>
              <w:autoSpaceDE/>
              <w:autoSpaceDN/>
              <w:bidi w:val="0"/>
              <w:spacing w:line="360" w:lineRule="auto"/>
              <w:jc w:val="center"/>
              <w:textAlignment w:val="auto"/>
              <w:rPr>
                <w:i w:val="0"/>
                <w:iCs/>
                <w:color w:val="auto"/>
              </w:rPr>
            </w:pPr>
            <w:r>
              <w:rPr>
                <w:rFonts w:hint="eastAsia"/>
                <w:i w:val="0"/>
                <w:iCs/>
                <w:color w:val="auto"/>
                <w:sz w:val="18"/>
                <w:szCs w:val="18"/>
                <w:lang w:val="en-US" w:eastAsia="zh-CN"/>
              </w:rPr>
              <w:t>2</w:t>
            </w:r>
          </w:p>
        </w:tc>
        <w:tc>
          <w:tcPr>
            <w:tcW w:w="709" w:type="dxa"/>
            <w:vAlign w:val="center"/>
          </w:tcPr>
          <w:p w14:paraId="235FFDFB">
            <w:pPr>
              <w:keepNext w:val="0"/>
              <w:keepLines w:val="0"/>
              <w:pageBreakBefore w:val="0"/>
              <w:kinsoku/>
              <w:wordWrap/>
              <w:overflowPunct/>
              <w:topLinePunct w:val="0"/>
              <w:autoSpaceDE/>
              <w:autoSpaceDN/>
              <w:bidi w:val="0"/>
              <w:spacing w:line="360" w:lineRule="auto"/>
              <w:jc w:val="center"/>
              <w:textAlignment w:val="auto"/>
              <w:rPr>
                <w:i w:val="0"/>
                <w:iCs/>
                <w:color w:val="auto"/>
              </w:rPr>
            </w:pPr>
            <w:r>
              <w:rPr>
                <w:rFonts w:hint="eastAsia"/>
                <w:i w:val="0"/>
                <w:iCs/>
                <w:color w:val="auto"/>
                <w:sz w:val="18"/>
                <w:szCs w:val="18"/>
                <w:lang w:val="en-US" w:eastAsia="zh-CN"/>
              </w:rPr>
              <w:t>1</w:t>
            </w:r>
          </w:p>
        </w:tc>
        <w:tc>
          <w:tcPr>
            <w:tcW w:w="1045" w:type="dxa"/>
            <w:vMerge w:val="continue"/>
            <w:vAlign w:val="center"/>
          </w:tcPr>
          <w:p w14:paraId="62A29E0E">
            <w:pPr>
              <w:keepNext w:val="0"/>
              <w:keepLines w:val="0"/>
              <w:pageBreakBefore w:val="0"/>
              <w:kinsoku/>
              <w:wordWrap/>
              <w:overflowPunct/>
              <w:topLinePunct w:val="0"/>
              <w:autoSpaceDE/>
              <w:autoSpaceDN/>
              <w:bidi w:val="0"/>
              <w:adjustRightInd w:val="0"/>
              <w:snapToGrid w:val="0"/>
              <w:spacing w:line="360" w:lineRule="auto"/>
              <w:jc w:val="center"/>
              <w:textAlignment w:val="auto"/>
              <w:rPr>
                <w:color w:val="000000" w:themeColor="text1"/>
                <w:sz w:val="18"/>
                <w:szCs w:val="18"/>
                <w14:textFill>
                  <w14:solidFill>
                    <w14:schemeClr w14:val="tx1"/>
                  </w14:solidFill>
                </w14:textFill>
              </w:rPr>
            </w:pPr>
          </w:p>
        </w:tc>
      </w:tr>
      <w:tr w14:paraId="514388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321136C">
            <w:pPr>
              <w:keepNext w:val="0"/>
              <w:keepLines w:val="0"/>
              <w:pageBreakBefore w:val="0"/>
              <w:kinsoku/>
              <w:wordWrap/>
              <w:overflowPunct/>
              <w:topLinePunct w:val="0"/>
              <w:autoSpaceDE/>
              <w:autoSpaceDN/>
              <w:bidi w:val="0"/>
              <w:spacing w:line="360" w:lineRule="auto"/>
              <w:textAlignment w:val="auto"/>
              <w:rPr>
                <w:b/>
                <w:color w:val="000000" w:themeColor="text1"/>
                <w:sz w:val="18"/>
                <w:szCs w:val="18"/>
                <w14:textFill>
                  <w14:solidFill>
                    <w14:schemeClr w14:val="tx1"/>
                  </w14:solidFill>
                </w14:textFill>
              </w:rPr>
            </w:pPr>
          </w:p>
        </w:tc>
        <w:tc>
          <w:tcPr>
            <w:tcW w:w="1226" w:type="dxa"/>
            <w:vMerge w:val="continue"/>
          </w:tcPr>
          <w:p w14:paraId="06AAD5E4">
            <w:pPr>
              <w:keepNext w:val="0"/>
              <w:keepLines w:val="0"/>
              <w:pageBreakBefore w:val="0"/>
              <w:kinsoku/>
              <w:wordWrap/>
              <w:overflowPunct/>
              <w:topLinePunct w:val="0"/>
              <w:autoSpaceDE/>
              <w:autoSpaceDN/>
              <w:bidi w:val="0"/>
              <w:spacing w:line="360" w:lineRule="auto"/>
              <w:jc w:val="center"/>
              <w:textAlignment w:val="auto"/>
              <w:rPr>
                <w:rFonts w:hint="default"/>
                <w:b/>
                <w:i w:val="0"/>
                <w:iCs w:val="0"/>
                <w:color w:val="auto"/>
                <w:sz w:val="18"/>
                <w:szCs w:val="18"/>
                <w:lang w:val="en-US" w:eastAsia="zh-CN"/>
              </w:rPr>
            </w:pPr>
          </w:p>
        </w:tc>
        <w:tc>
          <w:tcPr>
            <w:tcW w:w="3516" w:type="dxa"/>
            <w:vAlign w:val="center"/>
          </w:tcPr>
          <w:p w14:paraId="22781A52">
            <w:pPr>
              <w:keepNext w:val="0"/>
              <w:keepLines w:val="0"/>
              <w:pageBreakBefore w:val="0"/>
              <w:kinsoku/>
              <w:wordWrap/>
              <w:overflowPunct/>
              <w:topLinePunct w:val="0"/>
              <w:autoSpaceDE/>
              <w:autoSpaceDN/>
              <w:bidi w:val="0"/>
              <w:adjustRightInd w:val="0"/>
              <w:snapToGrid w:val="0"/>
              <w:spacing w:line="360" w:lineRule="auto"/>
              <w:textAlignment w:val="auto"/>
              <w:rPr>
                <w:rFonts w:hint="eastAsia"/>
                <w:iCs/>
                <w:sz w:val="18"/>
                <w:szCs w:val="18"/>
              </w:rPr>
            </w:pPr>
            <w:r>
              <w:rPr>
                <w:rFonts w:hint="eastAsia"/>
                <w:iCs/>
                <w:sz w:val="18"/>
                <w:szCs w:val="18"/>
                <w:lang w:val="en-US" w:eastAsia="zh-CN"/>
              </w:rPr>
              <w:t>植物学研究进展</w:t>
            </w:r>
          </w:p>
        </w:tc>
        <w:tc>
          <w:tcPr>
            <w:tcW w:w="1081" w:type="dxa"/>
            <w:vAlign w:val="center"/>
          </w:tcPr>
          <w:p w14:paraId="318A66D5">
            <w:pPr>
              <w:keepNext w:val="0"/>
              <w:keepLines w:val="0"/>
              <w:widowControl/>
              <w:suppressLineNumbers w:val="0"/>
              <w:jc w:val="center"/>
              <w:textAlignment w:val="center"/>
              <w:rPr>
                <w:rFonts w:hint="default" w:eastAsia="宋体"/>
                <w:i/>
                <w:color w:val="FF0000"/>
                <w:sz w:val="18"/>
                <w:szCs w:val="18"/>
                <w:lang w:val="en-US" w:eastAsia="zh-CN"/>
              </w:rPr>
            </w:pPr>
            <w:r>
              <w:rPr>
                <w:rFonts w:hint="default" w:ascii="Times New Roman" w:hAnsi="Times New Roman" w:eastAsia="等线" w:cs="Times New Roman"/>
                <w:i w:val="0"/>
                <w:iCs w:val="0"/>
                <w:color w:val="000000"/>
                <w:kern w:val="0"/>
                <w:sz w:val="18"/>
                <w:szCs w:val="18"/>
                <w:u w:val="none"/>
                <w:lang w:val="en-US" w:eastAsia="zh-CN" w:bidi="ar"/>
              </w:rPr>
              <w:t>XS120120</w:t>
            </w:r>
            <w:r>
              <w:rPr>
                <w:rFonts w:hint="eastAsia" w:eastAsia="等线" w:cs="Times New Roman"/>
                <w:i w:val="0"/>
                <w:iCs w:val="0"/>
                <w:color w:val="000000"/>
                <w:kern w:val="0"/>
                <w:sz w:val="18"/>
                <w:szCs w:val="18"/>
                <w:u w:val="none"/>
                <w:lang w:val="en-US" w:eastAsia="zh-CN" w:bidi="ar"/>
              </w:rPr>
              <w:t>9</w:t>
            </w:r>
          </w:p>
        </w:tc>
        <w:tc>
          <w:tcPr>
            <w:tcW w:w="709" w:type="dxa"/>
            <w:vAlign w:val="center"/>
          </w:tcPr>
          <w:p w14:paraId="3A66274C">
            <w:pPr>
              <w:keepNext w:val="0"/>
              <w:keepLines w:val="0"/>
              <w:pageBreakBefore w:val="0"/>
              <w:kinsoku/>
              <w:wordWrap/>
              <w:overflowPunct/>
              <w:topLinePunct w:val="0"/>
              <w:autoSpaceDE/>
              <w:autoSpaceDN/>
              <w:bidi w:val="0"/>
              <w:spacing w:line="360" w:lineRule="auto"/>
              <w:jc w:val="center"/>
              <w:textAlignment w:val="auto"/>
              <w:rPr>
                <w:rFonts w:hint="default"/>
                <w:i/>
                <w:color w:val="FF0000"/>
                <w:sz w:val="18"/>
                <w:szCs w:val="18"/>
                <w:lang w:val="en-US"/>
              </w:rPr>
            </w:pPr>
            <w:r>
              <w:rPr>
                <w:rFonts w:hint="eastAsia"/>
                <w:i w:val="0"/>
                <w:iCs/>
                <w:color w:val="auto"/>
                <w:sz w:val="18"/>
                <w:szCs w:val="18"/>
                <w:lang w:val="en-US" w:eastAsia="zh-CN"/>
              </w:rPr>
              <w:t>2</w:t>
            </w:r>
          </w:p>
        </w:tc>
        <w:tc>
          <w:tcPr>
            <w:tcW w:w="709" w:type="dxa"/>
            <w:vAlign w:val="center"/>
          </w:tcPr>
          <w:p w14:paraId="5095AF00">
            <w:pPr>
              <w:keepNext w:val="0"/>
              <w:keepLines w:val="0"/>
              <w:pageBreakBefore w:val="0"/>
              <w:kinsoku/>
              <w:wordWrap/>
              <w:overflowPunct/>
              <w:topLinePunct w:val="0"/>
              <w:autoSpaceDE/>
              <w:autoSpaceDN/>
              <w:bidi w:val="0"/>
              <w:spacing w:line="360" w:lineRule="auto"/>
              <w:jc w:val="center"/>
              <w:textAlignment w:val="auto"/>
              <w:rPr>
                <w:i/>
                <w:color w:val="FF0000"/>
                <w:sz w:val="18"/>
                <w:szCs w:val="18"/>
              </w:rPr>
            </w:pPr>
            <w:r>
              <w:rPr>
                <w:rFonts w:hint="eastAsia"/>
                <w:i w:val="0"/>
                <w:iCs/>
                <w:color w:val="auto"/>
                <w:sz w:val="18"/>
                <w:szCs w:val="18"/>
                <w:lang w:val="en-US" w:eastAsia="zh-CN"/>
              </w:rPr>
              <w:t>1</w:t>
            </w:r>
          </w:p>
        </w:tc>
        <w:tc>
          <w:tcPr>
            <w:tcW w:w="1045" w:type="dxa"/>
            <w:vMerge w:val="continue"/>
            <w:vAlign w:val="center"/>
          </w:tcPr>
          <w:p w14:paraId="1D1EE1DE">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r>
      <w:tr w14:paraId="01DEE8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70788C3">
            <w:pPr>
              <w:keepNext w:val="0"/>
              <w:keepLines w:val="0"/>
              <w:pageBreakBefore w:val="0"/>
              <w:kinsoku/>
              <w:wordWrap/>
              <w:overflowPunct/>
              <w:topLinePunct w:val="0"/>
              <w:autoSpaceDE/>
              <w:autoSpaceDN/>
              <w:bidi w:val="0"/>
              <w:spacing w:line="360" w:lineRule="auto"/>
              <w:textAlignment w:val="auto"/>
              <w:rPr>
                <w:b/>
                <w:color w:val="000000" w:themeColor="text1"/>
                <w:sz w:val="18"/>
                <w:szCs w:val="18"/>
                <w14:textFill>
                  <w14:solidFill>
                    <w14:schemeClr w14:val="tx1"/>
                  </w14:solidFill>
                </w14:textFill>
              </w:rPr>
            </w:pPr>
          </w:p>
        </w:tc>
        <w:tc>
          <w:tcPr>
            <w:tcW w:w="1226" w:type="dxa"/>
            <w:vMerge w:val="continue"/>
          </w:tcPr>
          <w:p w14:paraId="7B9CAB27">
            <w:pPr>
              <w:keepNext w:val="0"/>
              <w:keepLines w:val="0"/>
              <w:pageBreakBefore w:val="0"/>
              <w:kinsoku/>
              <w:wordWrap/>
              <w:overflowPunct/>
              <w:topLinePunct w:val="0"/>
              <w:autoSpaceDE/>
              <w:autoSpaceDN/>
              <w:bidi w:val="0"/>
              <w:spacing w:line="360" w:lineRule="auto"/>
              <w:jc w:val="center"/>
              <w:textAlignment w:val="auto"/>
              <w:rPr>
                <w:rFonts w:hint="default"/>
                <w:b/>
                <w:i w:val="0"/>
                <w:iCs w:val="0"/>
                <w:color w:val="auto"/>
                <w:sz w:val="18"/>
                <w:szCs w:val="18"/>
                <w:lang w:val="en-US" w:eastAsia="zh-CN"/>
              </w:rPr>
            </w:pPr>
          </w:p>
        </w:tc>
        <w:tc>
          <w:tcPr>
            <w:tcW w:w="3516" w:type="dxa"/>
            <w:vAlign w:val="center"/>
          </w:tcPr>
          <w:p w14:paraId="25AD7E98">
            <w:pPr>
              <w:keepNext w:val="0"/>
              <w:keepLines w:val="0"/>
              <w:pageBreakBefore w:val="0"/>
              <w:kinsoku/>
              <w:wordWrap/>
              <w:overflowPunct/>
              <w:topLinePunct w:val="0"/>
              <w:autoSpaceDE/>
              <w:autoSpaceDN/>
              <w:bidi w:val="0"/>
              <w:adjustRightInd w:val="0"/>
              <w:snapToGrid w:val="0"/>
              <w:spacing w:line="360" w:lineRule="auto"/>
              <w:textAlignment w:val="auto"/>
              <w:rPr>
                <w:rFonts w:hint="default"/>
                <w:i w:val="0"/>
                <w:iCs/>
                <w:color w:val="auto"/>
                <w:sz w:val="18"/>
                <w:szCs w:val="18"/>
                <w:lang w:val="en-US" w:eastAsia="zh-CN"/>
              </w:rPr>
            </w:pPr>
            <w:r>
              <w:rPr>
                <w:rFonts w:hint="eastAsia"/>
                <w:i w:val="0"/>
                <w:iCs/>
                <w:color w:val="auto"/>
                <w:sz w:val="18"/>
                <w:szCs w:val="18"/>
                <w:lang w:val="en-US" w:eastAsia="zh-CN"/>
              </w:rPr>
              <w:t>植物资源化学</w:t>
            </w:r>
          </w:p>
        </w:tc>
        <w:tc>
          <w:tcPr>
            <w:tcW w:w="1081" w:type="dxa"/>
            <w:shd w:val="clear" w:color="auto" w:fill="auto"/>
            <w:vAlign w:val="center"/>
          </w:tcPr>
          <w:p w14:paraId="2C167FB4">
            <w:pPr>
              <w:keepNext w:val="0"/>
              <w:keepLines w:val="0"/>
              <w:widowControl/>
              <w:suppressLineNumbers w:val="0"/>
              <w:jc w:val="center"/>
              <w:textAlignment w:val="center"/>
              <w:rPr>
                <w:rFonts w:hint="default" w:ascii="Times New Roman" w:hAnsi="Times New Roman" w:eastAsia="宋体" w:cs="Times New Roman"/>
                <w:i/>
                <w:color w:val="FF0000"/>
                <w:kern w:val="2"/>
                <w:sz w:val="18"/>
                <w:szCs w:val="18"/>
                <w:lang w:val="en-US" w:eastAsia="zh-CN" w:bidi="ar-SA"/>
              </w:rPr>
            </w:pPr>
            <w:r>
              <w:rPr>
                <w:rFonts w:hint="default" w:ascii="Times New Roman" w:hAnsi="Times New Roman" w:eastAsia="等线" w:cs="Times New Roman"/>
                <w:i w:val="0"/>
                <w:iCs w:val="0"/>
                <w:color w:val="000000"/>
                <w:kern w:val="0"/>
                <w:sz w:val="18"/>
                <w:szCs w:val="18"/>
                <w:u w:val="none"/>
                <w:lang w:val="en-US" w:eastAsia="zh-CN" w:bidi="ar"/>
              </w:rPr>
              <w:t>XS1201205</w:t>
            </w:r>
          </w:p>
        </w:tc>
        <w:tc>
          <w:tcPr>
            <w:tcW w:w="709" w:type="dxa"/>
            <w:shd w:val="clear" w:color="auto" w:fill="auto"/>
            <w:vAlign w:val="center"/>
          </w:tcPr>
          <w:p w14:paraId="3B3BC24F">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i/>
                <w:color w:val="FF0000"/>
                <w:kern w:val="2"/>
                <w:sz w:val="18"/>
                <w:szCs w:val="18"/>
                <w:lang w:val="en-US" w:eastAsia="zh-CN" w:bidi="ar-SA"/>
              </w:rPr>
            </w:pPr>
            <w:r>
              <w:rPr>
                <w:rFonts w:hint="eastAsia"/>
                <w:i w:val="0"/>
                <w:iCs/>
                <w:color w:val="auto"/>
                <w:sz w:val="18"/>
                <w:szCs w:val="18"/>
                <w:lang w:val="en-US" w:eastAsia="zh-CN"/>
              </w:rPr>
              <w:t>2</w:t>
            </w:r>
          </w:p>
        </w:tc>
        <w:tc>
          <w:tcPr>
            <w:tcW w:w="709" w:type="dxa"/>
            <w:shd w:val="clear" w:color="auto" w:fill="auto"/>
            <w:vAlign w:val="center"/>
          </w:tcPr>
          <w:p w14:paraId="785B576C">
            <w:pPr>
              <w:keepNext w:val="0"/>
              <w:keepLines w:val="0"/>
              <w:pageBreakBefore w:val="0"/>
              <w:kinsoku/>
              <w:wordWrap/>
              <w:overflowPunct/>
              <w:topLinePunct w:val="0"/>
              <w:autoSpaceDE/>
              <w:autoSpaceDN/>
              <w:bidi w:val="0"/>
              <w:spacing w:line="360" w:lineRule="auto"/>
              <w:jc w:val="center"/>
              <w:textAlignment w:val="auto"/>
              <w:rPr>
                <w:rFonts w:hint="eastAsia" w:ascii="Times New Roman" w:hAnsi="Times New Roman" w:eastAsia="宋体" w:cs="Times New Roman"/>
                <w:i/>
                <w:color w:val="FF0000"/>
                <w:kern w:val="2"/>
                <w:sz w:val="18"/>
                <w:szCs w:val="18"/>
                <w:lang w:val="en-US" w:eastAsia="zh-CN" w:bidi="ar-SA"/>
              </w:rPr>
            </w:pPr>
            <w:r>
              <w:rPr>
                <w:rFonts w:hint="eastAsia"/>
                <w:i w:val="0"/>
                <w:iCs/>
                <w:color w:val="auto"/>
                <w:sz w:val="18"/>
                <w:szCs w:val="18"/>
                <w:lang w:val="en-US" w:eastAsia="zh-CN"/>
              </w:rPr>
              <w:t>1</w:t>
            </w:r>
          </w:p>
        </w:tc>
        <w:tc>
          <w:tcPr>
            <w:tcW w:w="1045" w:type="dxa"/>
            <w:vMerge w:val="continue"/>
            <w:vAlign w:val="center"/>
          </w:tcPr>
          <w:p w14:paraId="6A995442">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r>
      <w:tr w14:paraId="0F9D28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5515EBCC">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200F94EB">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1226" w:type="dxa"/>
            <w:vMerge w:val="restart"/>
            <w:vAlign w:val="center"/>
          </w:tcPr>
          <w:p w14:paraId="0948739E">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F41B342">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0AE43E0E">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508AC219">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32090078">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583FAC31">
            <w:pPr>
              <w:keepNext w:val="0"/>
              <w:keepLines w:val="0"/>
              <w:pageBreakBefore w:val="0"/>
              <w:kinsoku/>
              <w:wordWrap/>
              <w:overflowPunct/>
              <w:topLinePunct w:val="0"/>
              <w:autoSpaceDE/>
              <w:autoSpaceDN/>
              <w:bidi w:val="0"/>
              <w:spacing w:line="360" w:lineRule="auto"/>
              <w:jc w:val="center"/>
              <w:textAlignment w:val="auto"/>
              <w:rPr>
                <w:i/>
                <w:color w:val="FF0000"/>
                <w:sz w:val="18"/>
                <w:szCs w:val="18"/>
              </w:rPr>
            </w:pPr>
          </w:p>
        </w:tc>
      </w:tr>
      <w:tr w14:paraId="3F572E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57DE4EA5">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1226" w:type="dxa"/>
            <w:vMerge w:val="continue"/>
            <w:vAlign w:val="center"/>
          </w:tcPr>
          <w:p w14:paraId="50B1747E">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3516" w:type="dxa"/>
            <w:vAlign w:val="center"/>
          </w:tcPr>
          <w:p w14:paraId="788E21BC">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学术活动≥10次</w:t>
            </w:r>
          </w:p>
        </w:tc>
        <w:tc>
          <w:tcPr>
            <w:tcW w:w="1081" w:type="dxa"/>
            <w:vAlign w:val="center"/>
          </w:tcPr>
          <w:p w14:paraId="61EFD59C">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6A3D3A5C">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55BCA62">
            <w:pPr>
              <w:keepNext w:val="0"/>
              <w:keepLines w:val="0"/>
              <w:pageBreakBefore w:val="0"/>
              <w:kinsoku/>
              <w:wordWrap/>
              <w:overflowPunct/>
              <w:topLinePunct w:val="0"/>
              <w:autoSpaceDE/>
              <w:autoSpaceDN/>
              <w:bidi w:val="0"/>
              <w:spacing w:line="360" w:lineRule="auto"/>
              <w:jc w:val="center"/>
              <w:textAlignment w:val="auto"/>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2-3</w:t>
            </w:r>
          </w:p>
        </w:tc>
        <w:tc>
          <w:tcPr>
            <w:tcW w:w="1045" w:type="dxa"/>
            <w:vMerge w:val="continue"/>
            <w:vAlign w:val="center"/>
          </w:tcPr>
          <w:p w14:paraId="73FCA1A5">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r>
      <w:tr w14:paraId="153869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4E7C17">
            <w:pPr>
              <w:keepNext w:val="0"/>
              <w:keepLines w:val="0"/>
              <w:pageBreakBefore w:val="0"/>
              <w:kinsoku/>
              <w:wordWrap/>
              <w:overflowPunct/>
              <w:topLinePunct w:val="0"/>
              <w:autoSpaceDE/>
              <w:autoSpaceDN/>
              <w:bidi w:val="0"/>
              <w:spacing w:line="360" w:lineRule="auto"/>
              <w:textAlignment w:val="auto"/>
              <w:rPr>
                <w:b/>
                <w:color w:val="000000" w:themeColor="text1"/>
                <w:sz w:val="18"/>
                <w:szCs w:val="18"/>
                <w14:textFill>
                  <w14:solidFill>
                    <w14:schemeClr w14:val="tx1"/>
                  </w14:solidFill>
                </w14:textFill>
              </w:rPr>
            </w:pPr>
          </w:p>
        </w:tc>
        <w:tc>
          <w:tcPr>
            <w:tcW w:w="1226" w:type="dxa"/>
            <w:vMerge w:val="restart"/>
            <w:vAlign w:val="center"/>
          </w:tcPr>
          <w:p w14:paraId="20CCDBC3">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6D9ECAC0">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455CB111">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7847478D">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585D0BA1">
            <w:pPr>
              <w:keepNext w:val="0"/>
              <w:keepLines w:val="0"/>
              <w:pageBreakBefore w:val="0"/>
              <w:kinsoku/>
              <w:wordWrap/>
              <w:overflowPunct/>
              <w:topLinePunct w:val="0"/>
              <w:autoSpaceDE/>
              <w:autoSpaceDN/>
              <w:bidi w:val="0"/>
              <w:spacing w:line="360" w:lineRule="auto"/>
              <w:jc w:val="center"/>
              <w:textAlignment w:val="auto"/>
              <w:rPr>
                <w:rFonts w:hint="default" w:eastAsia="宋体"/>
                <w:color w:val="000000" w:themeColor="text1"/>
                <w:sz w:val="18"/>
                <w:szCs w:val="18"/>
                <w:lang w:val="en-US" w:eastAsia="zh-CN"/>
                <w14:textFill>
                  <w14:solidFill>
                    <w14:schemeClr w14:val="tx1"/>
                  </w14:solidFill>
                </w14:textFill>
              </w:rPr>
            </w:pPr>
            <w:r>
              <w:rPr>
                <w:rFonts w:hint="eastAsia"/>
                <w:i w:val="0"/>
                <w:iCs/>
                <w:color w:val="000000" w:themeColor="text1"/>
                <w:sz w:val="18"/>
                <w:szCs w:val="18"/>
                <w:lang w:val="en-US" w:eastAsia="zh-CN"/>
                <w14:textFill>
                  <w14:solidFill>
                    <w14:schemeClr w14:val="tx1"/>
                  </w14:solidFill>
                </w14:textFill>
              </w:rPr>
              <w:t>2</w:t>
            </w:r>
          </w:p>
        </w:tc>
        <w:tc>
          <w:tcPr>
            <w:tcW w:w="1045" w:type="dxa"/>
            <w:vMerge w:val="restart"/>
            <w:vAlign w:val="center"/>
          </w:tcPr>
          <w:p w14:paraId="61836073">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20B201F2">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7C6E57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3DBEC71">
            <w:pPr>
              <w:keepNext w:val="0"/>
              <w:keepLines w:val="0"/>
              <w:pageBreakBefore w:val="0"/>
              <w:kinsoku/>
              <w:wordWrap/>
              <w:overflowPunct/>
              <w:topLinePunct w:val="0"/>
              <w:autoSpaceDE/>
              <w:autoSpaceDN/>
              <w:bidi w:val="0"/>
              <w:spacing w:line="360" w:lineRule="auto"/>
              <w:textAlignment w:val="auto"/>
              <w:rPr>
                <w:b/>
                <w:color w:val="000000" w:themeColor="text1"/>
                <w:sz w:val="18"/>
                <w:szCs w:val="18"/>
                <w14:textFill>
                  <w14:solidFill>
                    <w14:schemeClr w14:val="tx1"/>
                  </w14:solidFill>
                </w14:textFill>
              </w:rPr>
            </w:pPr>
          </w:p>
        </w:tc>
        <w:tc>
          <w:tcPr>
            <w:tcW w:w="1226" w:type="dxa"/>
            <w:vMerge w:val="continue"/>
            <w:vAlign w:val="center"/>
          </w:tcPr>
          <w:p w14:paraId="006E5481">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3516" w:type="dxa"/>
            <w:vAlign w:val="center"/>
          </w:tcPr>
          <w:p w14:paraId="09868DBC">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3189EEBC">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0A194097">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01F9513D">
            <w:pPr>
              <w:keepNext w:val="0"/>
              <w:keepLines w:val="0"/>
              <w:pageBreakBefore w:val="0"/>
              <w:kinsoku/>
              <w:wordWrap/>
              <w:overflowPunct/>
              <w:topLinePunct w:val="0"/>
              <w:autoSpaceDE/>
              <w:autoSpaceDN/>
              <w:bidi w:val="0"/>
              <w:spacing w:line="360" w:lineRule="auto"/>
              <w:jc w:val="center"/>
              <w:textAlignment w:val="auto"/>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1045" w:type="dxa"/>
            <w:vMerge w:val="continue"/>
            <w:vAlign w:val="center"/>
          </w:tcPr>
          <w:p w14:paraId="3AB3323C">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r>
      <w:tr w14:paraId="77E2E2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10B78CC">
            <w:pPr>
              <w:keepNext w:val="0"/>
              <w:keepLines w:val="0"/>
              <w:pageBreakBefore w:val="0"/>
              <w:kinsoku/>
              <w:wordWrap/>
              <w:overflowPunct/>
              <w:topLinePunct w:val="0"/>
              <w:autoSpaceDE/>
              <w:autoSpaceDN/>
              <w:bidi w:val="0"/>
              <w:spacing w:line="360" w:lineRule="auto"/>
              <w:textAlignment w:val="auto"/>
              <w:rPr>
                <w:b/>
                <w:color w:val="000000" w:themeColor="text1"/>
                <w:sz w:val="18"/>
                <w:szCs w:val="18"/>
                <w14:textFill>
                  <w14:solidFill>
                    <w14:schemeClr w14:val="tx1"/>
                  </w14:solidFill>
                </w14:textFill>
              </w:rPr>
            </w:pPr>
          </w:p>
        </w:tc>
        <w:tc>
          <w:tcPr>
            <w:tcW w:w="1226" w:type="dxa"/>
            <w:vMerge w:val="continue"/>
            <w:vAlign w:val="center"/>
          </w:tcPr>
          <w:p w14:paraId="05F91269">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3516" w:type="dxa"/>
            <w:vAlign w:val="center"/>
          </w:tcPr>
          <w:p w14:paraId="1951D248">
            <w:pPr>
              <w:keepNext w:val="0"/>
              <w:keepLines w:val="0"/>
              <w:pageBreakBefore w:val="0"/>
              <w:kinsoku/>
              <w:wordWrap/>
              <w:overflowPunct/>
              <w:topLinePunct w:val="0"/>
              <w:autoSpaceDE/>
              <w:autoSpaceDN/>
              <w:bidi w:val="0"/>
              <w:spacing w:line="360" w:lineRule="auto"/>
              <w:textAlignment w:val="auto"/>
              <w:rPr>
                <w:sz w:val="18"/>
                <w:szCs w:val="18"/>
              </w:rPr>
            </w:pPr>
            <w:r>
              <w:rPr>
                <w:sz w:val="18"/>
                <w:szCs w:val="18"/>
              </w:rPr>
              <w:t>论文中期进展报告</w:t>
            </w:r>
          </w:p>
        </w:tc>
        <w:tc>
          <w:tcPr>
            <w:tcW w:w="1081" w:type="dxa"/>
            <w:vAlign w:val="center"/>
          </w:tcPr>
          <w:p w14:paraId="3C7D90DD">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4D947257">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6633AB2B">
            <w:pPr>
              <w:keepNext w:val="0"/>
              <w:keepLines w:val="0"/>
              <w:pageBreakBefore w:val="0"/>
              <w:kinsoku/>
              <w:wordWrap/>
              <w:overflowPunct/>
              <w:topLinePunct w:val="0"/>
              <w:autoSpaceDE/>
              <w:autoSpaceDN/>
              <w:bidi w:val="0"/>
              <w:spacing w:line="360" w:lineRule="auto"/>
              <w:jc w:val="center"/>
              <w:textAlignment w:val="auto"/>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1045" w:type="dxa"/>
            <w:vMerge w:val="continue"/>
          </w:tcPr>
          <w:p w14:paraId="5D002B24">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r>
      <w:tr w14:paraId="477BF5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40F4B6D">
            <w:pPr>
              <w:keepNext w:val="0"/>
              <w:keepLines w:val="0"/>
              <w:pageBreakBefore w:val="0"/>
              <w:kinsoku/>
              <w:wordWrap/>
              <w:overflowPunct/>
              <w:topLinePunct w:val="0"/>
              <w:autoSpaceDE/>
              <w:autoSpaceDN/>
              <w:bidi w:val="0"/>
              <w:spacing w:line="360" w:lineRule="auto"/>
              <w:textAlignment w:val="auto"/>
              <w:rPr>
                <w:b/>
                <w:color w:val="000000" w:themeColor="text1"/>
                <w:sz w:val="18"/>
                <w:szCs w:val="18"/>
                <w14:textFill>
                  <w14:solidFill>
                    <w14:schemeClr w14:val="tx1"/>
                  </w14:solidFill>
                </w14:textFill>
              </w:rPr>
            </w:pPr>
          </w:p>
        </w:tc>
        <w:tc>
          <w:tcPr>
            <w:tcW w:w="1226" w:type="dxa"/>
            <w:vMerge w:val="continue"/>
            <w:vAlign w:val="center"/>
          </w:tcPr>
          <w:p w14:paraId="5D6AD88F">
            <w:pPr>
              <w:keepNext w:val="0"/>
              <w:keepLines w:val="0"/>
              <w:pageBreakBefore w:val="0"/>
              <w:kinsoku/>
              <w:wordWrap/>
              <w:overflowPunct/>
              <w:topLinePunct w:val="0"/>
              <w:autoSpaceDE/>
              <w:autoSpaceDN/>
              <w:bidi w:val="0"/>
              <w:spacing w:line="360" w:lineRule="auto"/>
              <w:jc w:val="center"/>
              <w:textAlignment w:val="auto"/>
              <w:rPr>
                <w:b/>
                <w:color w:val="000000" w:themeColor="text1"/>
                <w:sz w:val="18"/>
                <w:szCs w:val="18"/>
                <w14:textFill>
                  <w14:solidFill>
                    <w14:schemeClr w14:val="tx1"/>
                  </w14:solidFill>
                </w14:textFill>
              </w:rPr>
            </w:pPr>
          </w:p>
        </w:tc>
        <w:tc>
          <w:tcPr>
            <w:tcW w:w="3516" w:type="dxa"/>
            <w:vAlign w:val="center"/>
          </w:tcPr>
          <w:p w14:paraId="3CC4ED17">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224AFD63">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2EF6C75A">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629EF34C">
            <w:pPr>
              <w:keepNext w:val="0"/>
              <w:keepLines w:val="0"/>
              <w:pageBreakBefore w:val="0"/>
              <w:kinsoku/>
              <w:wordWrap/>
              <w:overflowPunct/>
              <w:topLinePunct w:val="0"/>
              <w:autoSpaceDE/>
              <w:autoSpaceDN/>
              <w:bidi w:val="0"/>
              <w:spacing w:line="360" w:lineRule="auto"/>
              <w:jc w:val="center"/>
              <w:textAlignment w:val="auto"/>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w:t>
            </w:r>
          </w:p>
        </w:tc>
        <w:tc>
          <w:tcPr>
            <w:tcW w:w="1045" w:type="dxa"/>
            <w:vMerge w:val="continue"/>
          </w:tcPr>
          <w:p w14:paraId="19850447">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r>
      <w:tr w14:paraId="24E1B0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E566AF">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p>
        </w:tc>
        <w:tc>
          <w:tcPr>
            <w:tcW w:w="1226" w:type="dxa"/>
            <w:vMerge w:val="continue"/>
          </w:tcPr>
          <w:p w14:paraId="08AAA00E">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3516" w:type="dxa"/>
            <w:vAlign w:val="center"/>
          </w:tcPr>
          <w:p w14:paraId="330DDC91">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67D9288C">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10A52553">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10A9C5A8">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7AFEA77F">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r>
      <w:tr w14:paraId="53489D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1CB33CA">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p>
        </w:tc>
        <w:tc>
          <w:tcPr>
            <w:tcW w:w="1226" w:type="dxa"/>
            <w:vMerge w:val="continue"/>
          </w:tcPr>
          <w:p w14:paraId="242C3D03">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3516" w:type="dxa"/>
            <w:vAlign w:val="center"/>
          </w:tcPr>
          <w:p w14:paraId="05A2E38D">
            <w:pPr>
              <w:keepNext w:val="0"/>
              <w:keepLines w:val="0"/>
              <w:pageBreakBefore w:val="0"/>
              <w:kinsoku/>
              <w:wordWrap/>
              <w:overflowPunct/>
              <w:topLinePunct w:val="0"/>
              <w:autoSpaceDE/>
              <w:autoSpaceDN/>
              <w:bidi w:val="0"/>
              <w:spacing w:line="360" w:lineRule="auto"/>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7635BA65">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46E25638">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c>
          <w:tcPr>
            <w:tcW w:w="709" w:type="dxa"/>
            <w:vAlign w:val="center"/>
          </w:tcPr>
          <w:p w14:paraId="2AFD874B">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5A35E17E">
            <w:pPr>
              <w:keepNext w:val="0"/>
              <w:keepLines w:val="0"/>
              <w:pageBreakBefore w:val="0"/>
              <w:kinsoku/>
              <w:wordWrap/>
              <w:overflowPunct/>
              <w:topLinePunct w:val="0"/>
              <w:autoSpaceDE/>
              <w:autoSpaceDN/>
              <w:bidi w:val="0"/>
              <w:spacing w:line="360" w:lineRule="auto"/>
              <w:jc w:val="center"/>
              <w:textAlignment w:val="auto"/>
              <w:rPr>
                <w:color w:val="000000" w:themeColor="text1"/>
                <w:sz w:val="18"/>
                <w:szCs w:val="18"/>
                <w14:textFill>
                  <w14:solidFill>
                    <w14:schemeClr w14:val="tx1"/>
                  </w14:solidFill>
                </w14:textFill>
              </w:rPr>
            </w:pPr>
          </w:p>
        </w:tc>
      </w:tr>
    </w:tbl>
    <w:p w14:paraId="197D14DE">
      <w:pPr>
        <w:keepNext w:val="0"/>
        <w:keepLines w:val="0"/>
        <w:pageBreakBefore w:val="0"/>
        <w:kinsoku/>
        <w:wordWrap/>
        <w:overflowPunct/>
        <w:topLinePunct w:val="0"/>
        <w:autoSpaceDE/>
        <w:autoSpaceDN/>
        <w:bidi w:val="0"/>
        <w:spacing w:line="360" w:lineRule="auto"/>
        <w:ind w:firstLine="480" w:firstLineChars="200"/>
        <w:textAlignment w:val="auto"/>
        <w:rPr>
          <w:rFonts w:eastAsiaTheme="minorEastAsia"/>
          <w:bCs/>
          <w:sz w:val="24"/>
        </w:rPr>
      </w:pPr>
      <w:r>
        <w:rPr>
          <w:rFonts w:eastAsiaTheme="minorEastAsia"/>
          <w:bCs/>
          <w:sz w:val="24"/>
        </w:rPr>
        <w:t>*公共外语课程按入学时的外国语考试科目修读相关语种。</w:t>
      </w:r>
    </w:p>
    <w:p w14:paraId="2B1B56BC">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40C5734E">
      <w:pPr>
        <w:spacing w:line="440" w:lineRule="exact"/>
        <w:ind w:firstLine="480" w:firstLineChars="200"/>
        <w:rPr>
          <w:rFonts w:hint="default" w:eastAsiaTheme="minorEastAsia"/>
          <w:bCs/>
          <w:sz w:val="24"/>
          <w:lang w:val="en-US" w:eastAsia="zh-CN"/>
        </w:rPr>
      </w:pPr>
      <w:r>
        <w:rPr>
          <w:rFonts w:hint="eastAsia" w:eastAsiaTheme="minorEastAsia"/>
          <w:bCs/>
          <w:sz w:val="24"/>
          <w:lang w:val="en-US" w:eastAsia="zh-CN"/>
        </w:rPr>
        <w:t>无。</w:t>
      </w:r>
    </w:p>
    <w:p w14:paraId="2B672CE8">
      <w:pPr>
        <w:keepNext w:val="0"/>
        <w:keepLines w:val="0"/>
        <w:pageBreakBefore w:val="0"/>
        <w:kinsoku/>
        <w:wordWrap/>
        <w:overflowPunct/>
        <w:topLinePunct w:val="0"/>
        <w:autoSpaceDE/>
        <w:autoSpaceDN/>
        <w:bidi w:val="0"/>
        <w:spacing w:line="360" w:lineRule="auto"/>
        <w:ind w:firstLine="480" w:firstLineChars="200"/>
        <w:textAlignment w:val="auto"/>
        <w:rPr>
          <w:rFonts w:eastAsiaTheme="minorEastAsia"/>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2515C4"/>
    <w:rsid w:val="0339415C"/>
    <w:rsid w:val="035C4B69"/>
    <w:rsid w:val="0506170D"/>
    <w:rsid w:val="05C5252D"/>
    <w:rsid w:val="06E05689"/>
    <w:rsid w:val="091A640F"/>
    <w:rsid w:val="0B146C72"/>
    <w:rsid w:val="0C2F19F0"/>
    <w:rsid w:val="0CAF2210"/>
    <w:rsid w:val="15557480"/>
    <w:rsid w:val="1A6770D1"/>
    <w:rsid w:val="1FE96C05"/>
    <w:rsid w:val="24672AD2"/>
    <w:rsid w:val="24D12D46"/>
    <w:rsid w:val="2584600A"/>
    <w:rsid w:val="288307FB"/>
    <w:rsid w:val="2C006FE5"/>
    <w:rsid w:val="2D536CB5"/>
    <w:rsid w:val="2FDC5747"/>
    <w:rsid w:val="2FFC3957"/>
    <w:rsid w:val="328C6723"/>
    <w:rsid w:val="380E7CEF"/>
    <w:rsid w:val="3AF9494C"/>
    <w:rsid w:val="3B2C7653"/>
    <w:rsid w:val="3D446645"/>
    <w:rsid w:val="404E08C7"/>
    <w:rsid w:val="47F6649C"/>
    <w:rsid w:val="5385202A"/>
    <w:rsid w:val="538E49EC"/>
    <w:rsid w:val="57674F68"/>
    <w:rsid w:val="57CF21EA"/>
    <w:rsid w:val="58BF088D"/>
    <w:rsid w:val="5A98126D"/>
    <w:rsid w:val="5AEE5F9C"/>
    <w:rsid w:val="5C36109E"/>
    <w:rsid w:val="5ECC550E"/>
    <w:rsid w:val="60850ABD"/>
    <w:rsid w:val="6256605D"/>
    <w:rsid w:val="62CC342A"/>
    <w:rsid w:val="65B5468D"/>
    <w:rsid w:val="6CF5179E"/>
    <w:rsid w:val="714C2123"/>
    <w:rsid w:val="721602E0"/>
    <w:rsid w:val="72D74F98"/>
    <w:rsid w:val="783D15CE"/>
    <w:rsid w:val="7ADA414D"/>
    <w:rsid w:val="7DDD3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5</Pages>
  <Words>3248</Words>
  <Characters>3411</Characters>
  <Lines>137</Lines>
  <Paragraphs>38</Paragraphs>
  <TotalTime>33</TotalTime>
  <ScaleCrop>false</ScaleCrop>
  <LinksUpToDate>false</LinksUpToDate>
  <CharactersWithSpaces>3435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可儿</cp:lastModifiedBy>
  <cp:lastPrinted>2025-05-13T00:41:00Z</cp:lastPrinted>
  <dcterms:modified xsi:type="dcterms:W3CDTF">2025-07-11T09:13:01Z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eyJoZGlkIjoiZTc1ZjU4ZGM4MmRlYjBkMGFiM2M0MTg2NzI5ZTI4NzUiLCJ1c2VySWQiOiIzMjM0MDI2NTMifQ==</vt:lpwstr>
  </property>
  <property fmtid="{D5CDD505-2E9C-101B-9397-08002B2CF9AE}" pid="4" name="ICV">
    <vt:lpwstr>8EAAA593AB2148C89F4A39D9B8E000C2_12</vt:lpwstr>
  </property>
</Properties>
</file>