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288EA">
      <w:pPr>
        <w:ind w:right="227"/>
        <w:rPr>
          <w:rFonts w:eastAsia="黑体"/>
          <w:b/>
          <w:bCs/>
          <w:sz w:val="36"/>
          <w:szCs w:val="36"/>
        </w:rPr>
      </w:pPr>
      <w:r>
        <w:rPr>
          <w:rFonts w:hint="eastAsia" w:eastAsia="黑体"/>
          <w:b/>
          <w:bCs/>
          <w:sz w:val="36"/>
          <w:szCs w:val="36"/>
          <w:u w:val="single"/>
        </w:rPr>
        <w:t>马克思主义</w:t>
      </w:r>
      <w:r>
        <w:rPr>
          <w:rFonts w:eastAsia="黑体"/>
          <w:b/>
          <w:bCs/>
          <w:sz w:val="36"/>
          <w:szCs w:val="36"/>
          <w:u w:val="single"/>
        </w:rPr>
        <w:t>哲学</w:t>
      </w:r>
      <w:r>
        <w:rPr>
          <w:rFonts w:eastAsia="黑体"/>
          <w:b/>
          <w:bCs/>
          <w:sz w:val="36"/>
          <w:szCs w:val="36"/>
        </w:rPr>
        <w:t>专业学术学位硕士研究生培养方案</w:t>
      </w:r>
    </w:p>
    <w:p w14:paraId="16CB6E20">
      <w:pPr>
        <w:ind w:left="321" w:leftChars="153" w:right="227"/>
        <w:jc w:val="center"/>
        <w:rPr>
          <w:rFonts w:eastAsia="黑体"/>
          <w:b/>
          <w:bCs/>
          <w:sz w:val="28"/>
          <w:szCs w:val="28"/>
        </w:rPr>
      </w:pPr>
      <w:r>
        <w:rPr>
          <w:rFonts w:eastAsia="黑体"/>
          <w:b/>
          <w:bCs/>
          <w:sz w:val="28"/>
          <w:szCs w:val="28"/>
        </w:rPr>
        <w:t>（哲学与社会学学院)</w:t>
      </w:r>
    </w:p>
    <w:p w14:paraId="113CA7AA">
      <w:pPr>
        <w:spacing w:line="360" w:lineRule="auto"/>
        <w:ind w:firstLine="560" w:firstLineChars="200"/>
        <w:rPr>
          <w:rFonts w:eastAsia="黑体"/>
          <w:bCs/>
          <w:sz w:val="28"/>
          <w:szCs w:val="28"/>
        </w:rPr>
      </w:pPr>
      <w:r>
        <w:rPr>
          <w:rFonts w:eastAsia="黑体"/>
          <w:bCs/>
          <w:sz w:val="28"/>
          <w:szCs w:val="28"/>
        </w:rPr>
        <w:t>一、专业名称、代码</w:t>
      </w:r>
    </w:p>
    <w:p w14:paraId="5EF8D037">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马克思主义哲学</w:t>
      </w:r>
    </w:p>
    <w:p w14:paraId="0A58B54F">
      <w:pPr>
        <w:widowControl/>
        <w:spacing w:line="360" w:lineRule="auto"/>
        <w:ind w:firstLine="960" w:firstLineChars="400"/>
        <w:jc w:val="left"/>
        <w:rPr>
          <w:color w:val="222222"/>
          <w:kern w:val="0"/>
          <w:sz w:val="18"/>
          <w:szCs w:val="18"/>
        </w:rPr>
      </w:pPr>
      <w:r>
        <w:rPr>
          <w:color w:val="222222"/>
          <w:kern w:val="0"/>
          <w:sz w:val="24"/>
        </w:rPr>
        <w:t>专业代码：0101</w:t>
      </w:r>
      <w:r>
        <w:rPr>
          <w:rFonts w:hint="eastAsia"/>
          <w:color w:val="222222"/>
          <w:kern w:val="0"/>
          <w:sz w:val="24"/>
        </w:rPr>
        <w:t>01</w:t>
      </w:r>
    </w:p>
    <w:p w14:paraId="08305DB0">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7185629A">
      <w:pPr>
        <w:spacing w:line="360" w:lineRule="auto"/>
        <w:ind w:firstLine="480" w:firstLineChars="200"/>
        <w:rPr>
          <w:rFonts w:eastAsiaTheme="minorEastAsia"/>
          <w:sz w:val="24"/>
        </w:rPr>
      </w:pPr>
      <w:r>
        <w:rPr>
          <w:rFonts w:hint="eastAsia" w:eastAsiaTheme="minorEastAsia"/>
          <w:sz w:val="24"/>
        </w:rPr>
        <w:t>河北大学哲学学科是河北省唯一学科层次齐全的学科，是河北省哲学学科人才培养基地、人才聚集高地、科学研究基地。</w:t>
      </w:r>
      <w:r>
        <w:rPr>
          <w:rFonts w:eastAsiaTheme="minorEastAsia"/>
          <w:sz w:val="24"/>
        </w:rPr>
        <w:t>1955</w:t>
      </w:r>
      <w:r>
        <w:rPr>
          <w:rFonts w:hint="eastAsia" w:eastAsiaTheme="minorEastAsia"/>
          <w:sz w:val="24"/>
        </w:rPr>
        <w:t>年设立哲学本科专业。马克思主义哲学专业属于河北大学哲学一级学科下设的一门二级学科，2001年获批硕士点，2011年建成一级学科博士点，2012年获批博士后流动站。马克思主义哲学专业现有3名教师，其中教授1名，副教授2名，博士生导师1名，硕士生导师3名。承担国家级、省部级科研及教学教改项目10余项，在人民出版社等出版学术专著3部，在CSSCI、北大中文核心等各级各类学术期刊发表论文近50篇。马克思主义哲学专业是以马克思主义哲学的基本问题、发展沿革、理论成果、未来趋势为研究对象，揭示马克思主义哲学的本质内涵、客观规律以及在不同发展阶段中的新成果。本专业不仅注重马克思主义基本原理、马克思主义哲学史、马克思主义哲学经典著作等基础理论的深入学习，而且聚焦国外马克思主义哲学、后马克思主义哲学、马克思经济哲学等马克思主义哲学前沿问题的探索研究。</w:t>
      </w:r>
    </w:p>
    <w:p w14:paraId="48C2F733">
      <w:pPr>
        <w:spacing w:line="360" w:lineRule="auto"/>
        <w:ind w:firstLine="560" w:firstLineChars="200"/>
        <w:rPr>
          <w:rFonts w:eastAsia="黑体"/>
          <w:bCs/>
          <w:sz w:val="28"/>
          <w:szCs w:val="28"/>
        </w:rPr>
      </w:pPr>
      <w:r>
        <w:rPr>
          <w:rFonts w:eastAsia="黑体"/>
          <w:bCs/>
          <w:sz w:val="28"/>
          <w:szCs w:val="28"/>
        </w:rPr>
        <w:t>三、研究方向</w:t>
      </w:r>
    </w:p>
    <w:p w14:paraId="0523C325">
      <w:pPr>
        <w:spacing w:line="360" w:lineRule="auto"/>
        <w:ind w:firstLine="480" w:firstLineChars="200"/>
        <w:rPr>
          <w:b/>
          <w:sz w:val="24"/>
        </w:rPr>
      </w:pPr>
      <w:r>
        <w:rPr>
          <w:rFonts w:hint="eastAsia"/>
          <w:sz w:val="24"/>
        </w:rPr>
        <w:t>马克思主义哲学专业下设三个主要研究方向</w:t>
      </w:r>
      <w:r>
        <w:rPr>
          <w:rFonts w:hint="eastAsia" w:eastAsiaTheme="minorEastAsia"/>
          <w:sz w:val="24"/>
        </w:rPr>
        <w:t>。</w:t>
      </w:r>
    </w:p>
    <w:p w14:paraId="480204AF">
      <w:pPr>
        <w:spacing w:line="360" w:lineRule="auto"/>
        <w:ind w:firstLine="480" w:firstLineChars="200"/>
        <w:rPr>
          <w:rFonts w:eastAsiaTheme="minorEastAsia"/>
          <w:sz w:val="24"/>
        </w:rPr>
      </w:pPr>
      <w:r>
        <w:rPr>
          <w:rFonts w:hint="eastAsia" w:eastAsiaTheme="minorEastAsia"/>
          <w:sz w:val="24"/>
        </w:rPr>
        <w:t>第一，马克思经济哲学研究。本研究方向旨在</w:t>
      </w:r>
      <w:r>
        <w:rPr>
          <w:rFonts w:hint="eastAsia" w:ascii="宋体" w:hAnsi="宋体"/>
          <w:sz w:val="24"/>
        </w:rPr>
        <w:t>对马克思政治经济学文献进行哲学性研究，</w:t>
      </w:r>
      <w:r>
        <w:rPr>
          <w:rFonts w:hint="eastAsia" w:eastAsiaTheme="minorEastAsia"/>
          <w:sz w:val="24"/>
        </w:rPr>
        <w:t>积极挖掘马克思原生态哲学和政治经济学中的经济哲学元素，阐述马克思政治经济学研究与世界观形成的关系、进而深化研究马克思的经济哲学传统，在文献实证基础上聚焦马克思经济哲学的微观存在形式，对马克思经济哲学进行开拓性研究，</w:t>
      </w:r>
      <w:r>
        <w:rPr>
          <w:rFonts w:hint="eastAsia" w:ascii="宋体" w:hAnsi="宋体"/>
          <w:sz w:val="24"/>
        </w:rPr>
        <w:t>在继承马克思经济哲学传统的基础上发挥马克思主义哲学在当代的理论与实践价值。</w:t>
      </w:r>
    </w:p>
    <w:p w14:paraId="107A87CB">
      <w:pPr>
        <w:spacing w:line="360" w:lineRule="auto"/>
        <w:ind w:firstLine="480" w:firstLineChars="200"/>
        <w:rPr>
          <w:rFonts w:eastAsiaTheme="minorEastAsia"/>
          <w:color w:val="FF0000"/>
          <w:sz w:val="24"/>
        </w:rPr>
      </w:pPr>
      <w:r>
        <w:rPr>
          <w:rFonts w:hint="eastAsia" w:eastAsiaTheme="minorEastAsia"/>
          <w:sz w:val="24"/>
        </w:rPr>
        <w:t>第二，马克思主义哲学经典文献研究。本研究方向侧重对马克思主义哲学中的典型哲学概念、哲学命题以及哲学原理进行原创性研究。一方面，</w:t>
      </w:r>
      <w:r>
        <w:rPr>
          <w:rFonts w:hint="eastAsia" w:ascii="宋体" w:hAnsi="宋体"/>
          <w:sz w:val="24"/>
        </w:rPr>
        <w:t>从马克思所处的时代背景、学术背景出发，对代表马克思不同思想发展时期的经典哲学著作进行文本解读和研究。另一方面，结合现当代马克思主义哲学文本研究的最新发展动向，对马克思主义哲学的辩证法、认识论、唯物史观和方法论进行统一解读，使学生掌握全面分析社会历史问题的哲学方法，能够对社会历史现实问题进行深入分析。</w:t>
      </w:r>
    </w:p>
    <w:p w14:paraId="40DD493D">
      <w:pPr>
        <w:spacing w:line="360" w:lineRule="auto"/>
        <w:ind w:firstLine="480" w:firstLineChars="200"/>
        <w:rPr>
          <w:rFonts w:eastAsiaTheme="minorEastAsia"/>
          <w:color w:val="000000" w:themeColor="text1"/>
          <w:sz w:val="24"/>
          <w14:textFill>
            <w14:solidFill>
              <w14:schemeClr w14:val="tx1"/>
            </w14:solidFill>
          </w14:textFill>
        </w:rPr>
      </w:pPr>
      <w:r>
        <w:rPr>
          <w:rFonts w:hint="eastAsia" w:eastAsiaTheme="minorEastAsia"/>
          <w:sz w:val="24"/>
        </w:rPr>
        <w:t>第三，国外马克思主义哲学研究。本研究方向注重对后马克思主义思潮、国外</w:t>
      </w:r>
      <w:r>
        <w:rPr>
          <w:rFonts w:eastAsiaTheme="minorEastAsia"/>
          <w:sz w:val="24"/>
        </w:rPr>
        <w:t>马克思主义哲学</w:t>
      </w:r>
      <w:r>
        <w:rPr>
          <w:rFonts w:hint="eastAsia" w:eastAsiaTheme="minorEastAsia"/>
          <w:sz w:val="24"/>
        </w:rPr>
        <w:t>以及当代人工智能的马克思主义前沿问题进行创新性研究。</w:t>
      </w:r>
      <w:r>
        <w:rPr>
          <w:rFonts w:hint="eastAsia" w:ascii="宋体" w:hAnsi="宋体"/>
          <w:sz w:val="24"/>
        </w:rPr>
        <w:t>在指导学生熟练掌握马克思主义哲学经典文献和基本原理的基础上，进一步研究国外马克思主义哲学思潮或流派的产生、发展、主要代表人物及其基本思想，引导学生对其进行分析、鉴别和批判，把国外马克思主义哲学研究和中国化马克思主义哲学新形态的建构和中国现代化建设联系起来</w:t>
      </w:r>
      <w:r>
        <w:rPr>
          <w:rFonts w:hint="eastAsia" w:eastAsiaTheme="minorEastAsia"/>
          <w:color w:val="000000" w:themeColor="text1"/>
          <w:sz w:val="24"/>
          <w14:textFill>
            <w14:solidFill>
              <w14:schemeClr w14:val="tx1"/>
            </w14:solidFill>
          </w14:textFill>
        </w:rPr>
        <w:t>。</w:t>
      </w:r>
    </w:p>
    <w:p w14:paraId="044F797D">
      <w:pPr>
        <w:spacing w:line="360" w:lineRule="auto"/>
        <w:ind w:firstLine="560" w:firstLineChars="200"/>
        <w:rPr>
          <w:rFonts w:eastAsia="黑体"/>
          <w:bCs/>
          <w:sz w:val="28"/>
          <w:szCs w:val="28"/>
        </w:rPr>
      </w:pPr>
      <w:r>
        <w:rPr>
          <w:rFonts w:eastAsia="黑体"/>
          <w:bCs/>
          <w:sz w:val="28"/>
          <w:szCs w:val="28"/>
        </w:rPr>
        <w:t>四、学制及学习年限</w:t>
      </w:r>
    </w:p>
    <w:p w14:paraId="77F45918">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740ADFC2">
      <w:pPr>
        <w:spacing w:line="360" w:lineRule="auto"/>
        <w:ind w:firstLine="560" w:firstLineChars="200"/>
        <w:rPr>
          <w:rFonts w:eastAsia="黑体"/>
          <w:bCs/>
          <w:sz w:val="28"/>
          <w:szCs w:val="28"/>
        </w:rPr>
      </w:pPr>
      <w:r>
        <w:rPr>
          <w:rFonts w:eastAsia="黑体"/>
          <w:bCs/>
          <w:sz w:val="28"/>
          <w:szCs w:val="28"/>
        </w:rPr>
        <w:t>五、培养目标</w:t>
      </w:r>
    </w:p>
    <w:p w14:paraId="64F4FB46">
      <w:pPr>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树立正确的中国特色社会主义核心价值观，具有坚定的理想信念，高尚的道德情操，优良的学术作风，高度的社会责任感。</w:t>
      </w:r>
    </w:p>
    <w:p w14:paraId="2558958E">
      <w:pPr>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掌握</w:t>
      </w:r>
      <w:r>
        <w:rPr>
          <w:rFonts w:hint="eastAsia" w:eastAsiaTheme="minorEastAsia"/>
          <w:color w:val="000000" w:themeColor="text1"/>
          <w:sz w:val="24"/>
          <w14:textFill>
            <w14:solidFill>
              <w14:schemeClr w14:val="tx1"/>
            </w14:solidFill>
          </w14:textFill>
        </w:rPr>
        <w:t>马克思主义哲学学科</w:t>
      </w:r>
      <w:r>
        <w:rPr>
          <w:rFonts w:eastAsiaTheme="minorEastAsia"/>
          <w:color w:val="000000" w:themeColor="text1"/>
          <w:sz w:val="24"/>
          <w14:textFill>
            <w14:solidFill>
              <w14:schemeClr w14:val="tx1"/>
            </w14:solidFill>
          </w14:textFill>
        </w:rPr>
        <w:t>坚实的基础理论和系统的专门知识，</w:t>
      </w:r>
      <w:r>
        <w:rPr>
          <w:rFonts w:hint="eastAsia" w:eastAsiaTheme="minorEastAsia"/>
          <w:color w:val="000000" w:themeColor="text1"/>
          <w:sz w:val="24"/>
          <w14:textFill>
            <w14:solidFill>
              <w14:schemeClr w14:val="tx1"/>
            </w14:solidFill>
          </w14:textFill>
        </w:rPr>
        <w:t>熟悉马克思主义哲学学科的主要原典和基本资料</w:t>
      </w:r>
      <w:r>
        <w:rPr>
          <w:rFonts w:eastAsiaTheme="minorEastAsia"/>
          <w:color w:val="000000" w:themeColor="text1"/>
          <w:sz w:val="24"/>
          <w14:textFill>
            <w14:solidFill>
              <w14:schemeClr w14:val="tx1"/>
            </w14:solidFill>
          </w14:textFill>
        </w:rPr>
        <w:t>，熟悉本学科的前沿研究领域，具有独立从事科学研究和解决实际问题的能力。</w:t>
      </w:r>
    </w:p>
    <w:p w14:paraId="526E3C5B">
      <w:pPr>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至少掌握一门外国语，能熟练阅读本专业的外文资料，具有撰写学术论文和进行国际学术交流的能力。</w:t>
      </w:r>
    </w:p>
    <w:p w14:paraId="6A0E4BBE">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具有良好的团队意识和团队合作精神。</w:t>
      </w:r>
    </w:p>
    <w:p w14:paraId="417CAC50">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具有健康的身体和良好的心理素质。</w:t>
      </w:r>
    </w:p>
    <w:p w14:paraId="7DDB666A">
      <w:pPr>
        <w:spacing w:line="360" w:lineRule="auto"/>
        <w:ind w:firstLine="480" w:firstLineChars="200"/>
        <w:rPr>
          <w:rFonts w:eastAsiaTheme="minorEastAsia"/>
          <w:i/>
          <w:color w:val="FF0000"/>
          <w:sz w:val="24"/>
        </w:rPr>
      </w:pPr>
      <w:r>
        <w:rPr>
          <w:rFonts w:hint="eastAsia" w:eastAsiaTheme="minorEastAsia"/>
          <w:color w:val="000000" w:themeColor="text1"/>
          <w:sz w:val="24"/>
          <w14:textFill>
            <w14:solidFill>
              <w14:schemeClr w14:val="tx1"/>
            </w14:solidFill>
          </w14:textFill>
        </w:rPr>
        <w:t>6. 培养德智体美劳全面发展的社会主义事业接班人。</w:t>
      </w:r>
    </w:p>
    <w:p w14:paraId="0153F810">
      <w:pPr>
        <w:spacing w:line="360" w:lineRule="auto"/>
        <w:ind w:firstLine="560" w:firstLineChars="200"/>
        <w:rPr>
          <w:rFonts w:eastAsia="黑体"/>
          <w:bCs/>
          <w:sz w:val="28"/>
          <w:szCs w:val="28"/>
        </w:rPr>
      </w:pPr>
      <w:r>
        <w:rPr>
          <w:rFonts w:eastAsia="黑体"/>
          <w:bCs/>
          <w:sz w:val="28"/>
          <w:szCs w:val="28"/>
        </w:rPr>
        <w:t>六、培养方式</w:t>
      </w:r>
    </w:p>
    <w:p w14:paraId="00000B90">
      <w:pPr>
        <w:spacing w:line="360" w:lineRule="auto"/>
        <w:ind w:firstLine="480" w:firstLineChars="200"/>
        <w:rPr>
          <w:rFonts w:eastAsiaTheme="minorEastAsia"/>
          <w:sz w:val="24"/>
        </w:rPr>
      </w:pPr>
      <w:r>
        <w:rPr>
          <w:rFonts w:hint="eastAsia" w:eastAsiaTheme="minorEastAsia"/>
          <w:sz w:val="24"/>
        </w:rPr>
        <w:t>全日制。以培养学生的学术研究能力和创新能力为核心，主要采取以下方式：</w:t>
      </w:r>
    </w:p>
    <w:p w14:paraId="1CC84225">
      <w:pPr>
        <w:spacing w:line="360" w:lineRule="auto"/>
        <w:ind w:firstLine="480" w:firstLineChars="200"/>
        <w:rPr>
          <w:rFonts w:eastAsiaTheme="minorEastAsia"/>
          <w:sz w:val="24"/>
        </w:rPr>
      </w:pPr>
      <w:r>
        <w:rPr>
          <w:rFonts w:eastAsiaTheme="minorEastAsia"/>
          <w:sz w:val="24"/>
        </w:rPr>
        <w:t>1.</w:t>
      </w:r>
      <w:r>
        <w:rPr>
          <w:rFonts w:hint="eastAsia" w:eastAsiaTheme="minorEastAsia"/>
          <w:sz w:val="24"/>
        </w:rPr>
        <w:t>课程学习和经典研读相结合。通过课程学习构建学生系统的学科知识体系，通过经典研读培养学生对哲学传统的深入理解。教学方式强调文本细读与批判性讨论，其核心目标是夯实理论基础，塑造哲学思维范式。</w:t>
      </w:r>
    </w:p>
    <w:p w14:paraId="499E4D13">
      <w:pPr>
        <w:spacing w:line="360" w:lineRule="auto"/>
        <w:ind w:firstLine="480" w:firstLineChars="200"/>
        <w:rPr>
          <w:rFonts w:eastAsiaTheme="minorEastAsia"/>
          <w:sz w:val="24"/>
        </w:rPr>
      </w:pPr>
      <w:r>
        <w:rPr>
          <w:rFonts w:eastAsiaTheme="minorEastAsia"/>
          <w:sz w:val="24"/>
        </w:rPr>
        <w:t>2.</w:t>
      </w:r>
      <w:r>
        <w:rPr>
          <w:rFonts w:hint="eastAsia" w:eastAsiaTheme="minorEastAsia"/>
          <w:sz w:val="24"/>
        </w:rPr>
        <w:t>导师负责制与科研训练相结合。导师制作为学术能力孵化的核心机制，贯穿培养全程。通过科研训练不断培养学生的科研能力，其核心目标是实现学生科研能力的内化，推动学生从知识接受者向独立研究者过渡。</w:t>
      </w:r>
    </w:p>
    <w:p w14:paraId="3C41AD39">
      <w:pPr>
        <w:spacing w:line="360" w:lineRule="auto"/>
        <w:ind w:firstLine="560" w:firstLineChars="200"/>
        <w:rPr>
          <w:rFonts w:eastAsia="黑体"/>
          <w:bCs/>
          <w:sz w:val="28"/>
          <w:szCs w:val="28"/>
        </w:rPr>
      </w:pPr>
      <w:r>
        <w:rPr>
          <w:rFonts w:eastAsia="黑体"/>
          <w:bCs/>
          <w:sz w:val="28"/>
          <w:szCs w:val="28"/>
        </w:rPr>
        <w:t>七、中期筛选</w:t>
      </w:r>
    </w:p>
    <w:p w14:paraId="3E9F3B7C">
      <w:pPr>
        <w:spacing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7DB9E90C">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02E6BDE">
      <w:pPr>
        <w:widowControl/>
        <w:spacing w:line="360" w:lineRule="auto"/>
        <w:ind w:firstLine="480" w:firstLineChars="200"/>
        <w:jc w:val="left"/>
        <w:rPr>
          <w:color w:val="222222"/>
          <w:kern w:val="0"/>
          <w:sz w:val="24"/>
        </w:rPr>
      </w:pPr>
      <w:r>
        <w:rPr>
          <w:color w:val="222222"/>
          <w:kern w:val="0"/>
          <w:sz w:val="24"/>
        </w:rPr>
        <w:t>1.</w:t>
      </w:r>
      <w:r>
        <w:rPr>
          <w:rFonts w:hint="eastAsia"/>
          <w:color w:val="222222"/>
          <w:kern w:val="0"/>
          <w:sz w:val="24"/>
        </w:rPr>
        <w:t xml:space="preserve"> </w:t>
      </w:r>
      <w:r>
        <w:rPr>
          <w:color w:val="222222"/>
          <w:kern w:val="0"/>
          <w:sz w:val="24"/>
        </w:rPr>
        <w:t>总体要求：按照《河北大学关于开展2025版研究生培养方案修订工作的指导意见》（校政字〔2025〕9号）规定，硕士研究生论文开题与答辩时间间隔原则上不少于12个月。学位（毕业）论文应当表明作者具有独立从事学术研究工作的能力，鼓励硕士研究生参与科学研究，取得创新性成果。</w:t>
      </w:r>
    </w:p>
    <w:p w14:paraId="6FECFCE3">
      <w:pPr>
        <w:widowControl/>
        <w:spacing w:line="360" w:lineRule="auto"/>
        <w:ind w:firstLine="480" w:firstLineChars="200"/>
        <w:jc w:val="left"/>
        <w:rPr>
          <w:color w:val="222222"/>
          <w:kern w:val="0"/>
          <w:sz w:val="24"/>
        </w:rPr>
      </w:pPr>
      <w:r>
        <w:rPr>
          <w:color w:val="222222"/>
          <w:kern w:val="0"/>
          <w:sz w:val="24"/>
        </w:rPr>
        <w:t>2.</w:t>
      </w:r>
      <w:r>
        <w:rPr>
          <w:rFonts w:hint="eastAsia"/>
          <w:color w:val="222222"/>
          <w:kern w:val="0"/>
          <w:sz w:val="24"/>
        </w:rPr>
        <w:t xml:space="preserve"> </w:t>
      </w:r>
      <w:r>
        <w:rPr>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71AE771D">
      <w:pPr>
        <w:widowControl/>
        <w:spacing w:line="360" w:lineRule="auto"/>
        <w:ind w:firstLine="480" w:firstLineChars="200"/>
        <w:jc w:val="left"/>
        <w:rPr>
          <w:color w:val="222222"/>
          <w:kern w:val="0"/>
          <w:sz w:val="24"/>
        </w:rPr>
      </w:pPr>
      <w:r>
        <w:rPr>
          <w:color w:val="222222"/>
          <w:kern w:val="0"/>
          <w:sz w:val="24"/>
        </w:rPr>
        <w:t>原则上在入学后第3学期（最迟不超过第4学期）完成开题。开题由3-5名具有高级专业技术职务人员参加，以学术报告的方式进行。</w:t>
      </w:r>
    </w:p>
    <w:p w14:paraId="4D1C8E0B">
      <w:pPr>
        <w:widowControl/>
        <w:spacing w:line="360" w:lineRule="auto"/>
        <w:ind w:firstLine="480" w:firstLineChars="200"/>
        <w:jc w:val="left"/>
        <w:rPr>
          <w:color w:val="222222"/>
          <w:kern w:val="0"/>
          <w:sz w:val="24"/>
        </w:rPr>
      </w:pPr>
      <w:r>
        <w:rPr>
          <w:color w:val="222222"/>
          <w:kern w:val="0"/>
          <w:sz w:val="24"/>
        </w:rPr>
        <w:t>3.</w:t>
      </w:r>
      <w:r>
        <w:rPr>
          <w:rFonts w:hint="eastAsia"/>
          <w:color w:val="222222"/>
          <w:kern w:val="0"/>
          <w:sz w:val="24"/>
        </w:rPr>
        <w:t xml:space="preserve"> </w:t>
      </w:r>
      <w:r>
        <w:rPr>
          <w:color w:val="222222"/>
          <w:kern w:val="0"/>
          <w:sz w:val="24"/>
        </w:rPr>
        <w:t>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5B82153C">
      <w:pPr>
        <w:widowControl/>
        <w:spacing w:line="360" w:lineRule="auto"/>
        <w:ind w:firstLine="480" w:firstLineChars="200"/>
        <w:jc w:val="left"/>
        <w:rPr>
          <w:color w:val="222222"/>
          <w:kern w:val="0"/>
          <w:sz w:val="24"/>
        </w:rPr>
      </w:pPr>
      <w:r>
        <w:rPr>
          <w:color w:val="222222"/>
          <w:kern w:val="0"/>
          <w:sz w:val="24"/>
        </w:rPr>
        <w:t>4.</w:t>
      </w:r>
      <w:r>
        <w:rPr>
          <w:rFonts w:hint="eastAsia"/>
          <w:color w:val="222222"/>
          <w:kern w:val="0"/>
          <w:sz w:val="24"/>
        </w:rPr>
        <w:t xml:space="preserve"> </w:t>
      </w:r>
      <w:r>
        <w:rPr>
          <w:color w:val="222222"/>
          <w:kern w:val="0"/>
          <w:sz w:val="24"/>
        </w:rPr>
        <w:t>学位申请：达到学位授予条件的申请人，经导师同意后，应于答辩前三个月，向所属学位评定分委员会提出学位申请，提交学位申请材料。</w:t>
      </w:r>
    </w:p>
    <w:p w14:paraId="28758573">
      <w:pPr>
        <w:widowControl/>
        <w:spacing w:line="360" w:lineRule="auto"/>
        <w:ind w:firstLine="480" w:firstLineChars="200"/>
        <w:jc w:val="left"/>
        <w:rPr>
          <w:color w:val="222222"/>
          <w:kern w:val="0"/>
          <w:sz w:val="24"/>
        </w:rPr>
      </w:pPr>
      <w:r>
        <w:rPr>
          <w:color w:val="222222"/>
          <w:kern w:val="0"/>
          <w:sz w:val="24"/>
        </w:rPr>
        <w:t>5.</w:t>
      </w:r>
      <w:r>
        <w:rPr>
          <w:rFonts w:hint="eastAsia"/>
          <w:color w:val="222222"/>
          <w:kern w:val="0"/>
          <w:sz w:val="24"/>
        </w:rPr>
        <w:t xml:space="preserve"> </w:t>
      </w:r>
      <w:r>
        <w:rPr>
          <w:color w:val="222222"/>
          <w:kern w:val="0"/>
          <w:sz w:val="24"/>
        </w:rPr>
        <w:t>预答辩：学位申请人须进行学位论文预答辩。预答辩通过者，方可进入学位论文评阅、学位论文答辩等环节。学位（毕业）论文预答辩在正式答辩前3个月进行。</w:t>
      </w:r>
    </w:p>
    <w:p w14:paraId="3F8D60C6">
      <w:pPr>
        <w:widowControl/>
        <w:spacing w:line="360" w:lineRule="auto"/>
        <w:ind w:firstLine="480" w:firstLineChars="200"/>
        <w:jc w:val="left"/>
        <w:rPr>
          <w:color w:val="222222"/>
          <w:kern w:val="0"/>
          <w:sz w:val="24"/>
        </w:rPr>
      </w:pPr>
      <w:r>
        <w:rPr>
          <w:color w:val="222222"/>
          <w:kern w:val="0"/>
          <w:sz w:val="24"/>
        </w:rPr>
        <w:t>6.</w:t>
      </w:r>
      <w:r>
        <w:rPr>
          <w:rFonts w:hint="eastAsia"/>
          <w:color w:val="222222"/>
          <w:kern w:val="0"/>
          <w:sz w:val="24"/>
        </w:rPr>
        <w:t xml:space="preserve"> </w:t>
      </w:r>
      <w:r>
        <w:rPr>
          <w:color w:val="222222"/>
          <w:kern w:val="0"/>
          <w:sz w:val="24"/>
        </w:rPr>
        <w:t>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2DC65729">
      <w:pPr>
        <w:widowControl/>
        <w:spacing w:line="360" w:lineRule="auto"/>
        <w:ind w:firstLine="480" w:firstLineChars="200"/>
        <w:jc w:val="left"/>
        <w:rPr>
          <w:rFonts w:eastAsiaTheme="minorEastAsia"/>
          <w:i/>
          <w:color w:val="FF0000"/>
          <w:sz w:val="24"/>
        </w:rPr>
      </w:pPr>
      <w:r>
        <w:rPr>
          <w:bCs/>
          <w:color w:val="222222"/>
          <w:kern w:val="0"/>
          <w:sz w:val="24"/>
        </w:rPr>
        <w:t>7.</w:t>
      </w:r>
      <w:r>
        <w:rPr>
          <w:rFonts w:hint="eastAsia"/>
          <w:bCs/>
          <w:color w:val="222222"/>
          <w:kern w:val="0"/>
          <w:sz w:val="24"/>
        </w:rPr>
        <w:t xml:space="preserve"> </w:t>
      </w:r>
      <w:r>
        <w:rPr>
          <w:bCs/>
          <w:color w:val="222222"/>
          <w:kern w:val="0"/>
          <w:sz w:val="24"/>
        </w:rPr>
        <w:t>答辩：学位（毕业）论文答辩按照</w:t>
      </w:r>
      <w:r>
        <w:rPr>
          <w:color w:val="222222"/>
          <w:kern w:val="0"/>
          <w:sz w:val="24"/>
        </w:rPr>
        <w:t>《河北大学博士、硕士学位授予工作实施细则》（校政字〔2025〕7号）执行。</w:t>
      </w:r>
    </w:p>
    <w:p w14:paraId="2D0A8175">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07153CE0">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54CD08E8">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bCs/>
          <w:sz w:val="24"/>
        </w:rPr>
        <w:t>于10次</w:t>
      </w:r>
      <w:r>
        <w:rPr>
          <w:rFonts w:eastAsiaTheme="minorEastAsia"/>
          <w:color w:val="000000"/>
          <w:sz w:val="24"/>
        </w:rPr>
        <w:t>学术活动，并撰写学术报告小结；以主讲人或宣讲人身份，参加在校内外举行的学术报告或学术讲座不少于</w:t>
      </w:r>
      <w:r>
        <w:rPr>
          <w:rFonts w:eastAsiaTheme="minorEastAsia"/>
          <w:sz w:val="24"/>
        </w:rPr>
        <w:t>1</w:t>
      </w:r>
      <w:r>
        <w:rPr>
          <w:rFonts w:eastAsiaTheme="minorEastAsia"/>
          <w:color w:val="000000"/>
          <w:sz w:val="24"/>
        </w:rPr>
        <w:t>次。</w:t>
      </w:r>
    </w:p>
    <w:p w14:paraId="7BC5E1A0">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16DAA5D">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72D99B7">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5214A10">
      <w:pPr>
        <w:spacing w:line="360" w:lineRule="auto"/>
        <w:ind w:firstLine="480" w:firstLineChars="200"/>
        <w:rPr>
          <w:rFonts w:eastAsiaTheme="minorEastAsia"/>
          <w:color w:val="000000"/>
          <w:sz w:val="24"/>
        </w:rPr>
      </w:pPr>
      <w:r>
        <w:rPr>
          <w:rFonts w:eastAsiaTheme="minorEastAsia"/>
          <w:color w:val="000000"/>
          <w:sz w:val="24"/>
        </w:rPr>
        <w:t>研究生申请学位取得的创新性成果需满足《哲学与社会学学院关于研究生申请学位取得创新性成果的规定》的有关要求。</w:t>
      </w:r>
    </w:p>
    <w:p w14:paraId="70C4F0D0">
      <w:pPr>
        <w:spacing w:line="360" w:lineRule="auto"/>
        <w:ind w:firstLine="560" w:firstLineChars="200"/>
        <w:rPr>
          <w:rFonts w:eastAsia="黑体"/>
          <w:bCs/>
          <w:sz w:val="28"/>
          <w:szCs w:val="28"/>
        </w:rPr>
      </w:pPr>
      <w:r>
        <w:rPr>
          <w:rFonts w:eastAsia="黑体"/>
          <w:bCs/>
          <w:sz w:val="28"/>
          <w:szCs w:val="28"/>
        </w:rPr>
        <w:t>十一、学位授予</w:t>
      </w:r>
    </w:p>
    <w:p w14:paraId="4E5745BC">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eastAsiaTheme="minorEastAsia"/>
          <w:bCs/>
          <w:sz w:val="24"/>
        </w:rPr>
        <w:t>学院</w:t>
      </w:r>
      <w:r>
        <w:rPr>
          <w:color w:val="222222"/>
          <w:kern w:val="0"/>
          <w:sz w:val="24"/>
        </w:rPr>
        <w:t>制定的创新性成果要求，</w:t>
      </w:r>
      <w:r>
        <w:rPr>
          <w:rFonts w:eastAsiaTheme="minorEastAsia"/>
          <w:bCs/>
          <w:sz w:val="24"/>
        </w:rPr>
        <w:t>符合《河北大学博士、硕士学位授予工作实施细则》</w:t>
      </w:r>
      <w:r>
        <w:rPr>
          <w:color w:val="222222"/>
          <w:kern w:val="0"/>
          <w:sz w:val="24"/>
        </w:rPr>
        <w:t>（校政字〔2025〕7号）</w:t>
      </w:r>
      <w:r>
        <w:rPr>
          <w:rFonts w:eastAsiaTheme="minorEastAsia"/>
          <w:bCs/>
          <w:sz w:val="24"/>
        </w:rPr>
        <w:t>的有关规定，达到学校学位授予标准，经学校学位评定委员会审议，授予硕士学位。</w:t>
      </w:r>
    </w:p>
    <w:p w14:paraId="051B25FA">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755E96DA">
      <w:pPr>
        <w:spacing w:line="360" w:lineRule="auto"/>
        <w:ind w:firstLine="480" w:firstLineChars="200"/>
        <w:rPr>
          <w:color w:val="000000"/>
          <w:sz w:val="24"/>
        </w:rPr>
      </w:pPr>
      <w:r>
        <w:rPr>
          <w:rFonts w:eastAsiaTheme="minorEastAsia"/>
          <w:color w:val="000000"/>
          <w:sz w:val="24"/>
        </w:rPr>
        <w:t>本专业最</w:t>
      </w:r>
      <w:r>
        <w:rPr>
          <w:rFonts w:eastAsiaTheme="minorEastAsia"/>
          <w:sz w:val="24"/>
        </w:rPr>
        <w:t>低毕业学分为</w:t>
      </w:r>
      <w:r>
        <w:rPr>
          <w:rFonts w:hint="eastAsia" w:eastAsiaTheme="minorEastAsia"/>
          <w:sz w:val="24"/>
        </w:rPr>
        <w:t>2</w:t>
      </w:r>
      <w:r>
        <w:rPr>
          <w:rFonts w:eastAsiaTheme="minorEastAsia"/>
          <w:sz w:val="24"/>
        </w:rPr>
        <w:t>8分，其中学位课</w:t>
      </w:r>
      <w:r>
        <w:rPr>
          <w:rFonts w:hint="eastAsia" w:eastAsiaTheme="minorEastAsia"/>
          <w:sz w:val="24"/>
        </w:rPr>
        <w:t>1</w:t>
      </w:r>
      <w:r>
        <w:rPr>
          <w:rFonts w:eastAsiaTheme="minorEastAsia"/>
          <w:sz w:val="24"/>
        </w:rPr>
        <w:t>5学分，非学位课</w:t>
      </w:r>
      <w:r>
        <w:rPr>
          <w:rFonts w:hint="eastAsia" w:eastAsiaTheme="minorEastAsia"/>
          <w:sz w:val="24"/>
        </w:rPr>
        <w:t>12</w:t>
      </w:r>
      <w:r>
        <w:rPr>
          <w:rFonts w:eastAsiaTheme="minorEastAsia"/>
          <w:sz w:val="24"/>
        </w:rPr>
        <w:t>学分，必修环节</w:t>
      </w:r>
      <w:r>
        <w:rPr>
          <w:rFonts w:hint="eastAsia" w:eastAsiaTheme="minorEastAsia"/>
          <w:sz w:val="24"/>
        </w:rPr>
        <w:t>1</w:t>
      </w:r>
      <w:r>
        <w:rPr>
          <w:rFonts w:eastAsiaTheme="minorEastAsia"/>
          <w:sz w:val="24"/>
        </w:rPr>
        <w:t>分。课程考试不设补考环节，</w:t>
      </w:r>
      <w:r>
        <w:rPr>
          <w:sz w:val="24"/>
        </w:rPr>
        <w:t>考试成绩低于60分的</w:t>
      </w:r>
      <w:r>
        <w:rPr>
          <w:color w:val="000000"/>
          <w:sz w:val="24"/>
        </w:rPr>
        <w:t>需重修。</w:t>
      </w:r>
    </w:p>
    <w:p w14:paraId="17C881CB">
      <w:pPr>
        <w:spacing w:line="360" w:lineRule="auto"/>
        <w:ind w:firstLine="480" w:firstLineChars="200"/>
        <w:rPr>
          <w:color w:val="000000"/>
          <w:sz w:val="24"/>
        </w:rPr>
      </w:pPr>
    </w:p>
    <w:p w14:paraId="100ABA35">
      <w:pPr>
        <w:spacing w:after="156" w:afterLines="50" w:line="360" w:lineRule="auto"/>
        <w:ind w:firstLine="482" w:firstLineChars="200"/>
        <w:jc w:val="center"/>
        <w:rPr>
          <w:rFonts w:eastAsiaTheme="minorEastAsia"/>
          <w:b/>
          <w:bCs/>
          <w:sz w:val="24"/>
        </w:rPr>
      </w:pPr>
      <w:r>
        <w:rPr>
          <w:rFonts w:hint="eastAsia" w:eastAsiaTheme="minorEastAsia"/>
          <w:b/>
          <w:bCs/>
          <w:sz w:val="24"/>
        </w:rPr>
        <w:t>马克思主义哲学</w:t>
      </w:r>
      <w:r>
        <w:rPr>
          <w:rFonts w:eastAsiaTheme="minorEastAsia"/>
          <w:b/>
          <w:bCs/>
          <w:sz w:val="24"/>
        </w:rPr>
        <w:t>专业学术学位硕士研究生课程及培养环节设置一览表</w:t>
      </w:r>
    </w:p>
    <w:tbl>
      <w:tblPr>
        <w:tblStyle w:val="4"/>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1BBDF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06963DC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4CCCA97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628D766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804D84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1CEB4F0E">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0A44855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20BC4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F67DE8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6ED0590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9F441A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3A88657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1DAA258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236DAF7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41F032E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6DDB23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32FF9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885C824">
            <w:pPr>
              <w:jc w:val="center"/>
              <w:rPr>
                <w:b/>
                <w:color w:val="000000" w:themeColor="text1"/>
                <w:sz w:val="18"/>
                <w:szCs w:val="18"/>
                <w14:textFill>
                  <w14:solidFill>
                    <w14:schemeClr w14:val="tx1"/>
                  </w14:solidFill>
                </w14:textFill>
              </w:rPr>
            </w:pPr>
          </w:p>
        </w:tc>
        <w:tc>
          <w:tcPr>
            <w:tcW w:w="1226" w:type="dxa"/>
            <w:vMerge w:val="continue"/>
            <w:vAlign w:val="center"/>
          </w:tcPr>
          <w:p w14:paraId="4F5BE112">
            <w:pPr>
              <w:jc w:val="center"/>
              <w:rPr>
                <w:b/>
                <w:color w:val="000000" w:themeColor="text1"/>
                <w:sz w:val="18"/>
                <w:szCs w:val="18"/>
                <w14:textFill>
                  <w14:solidFill>
                    <w14:schemeClr w14:val="tx1"/>
                  </w14:solidFill>
                </w14:textFill>
              </w:rPr>
            </w:pPr>
          </w:p>
        </w:tc>
        <w:tc>
          <w:tcPr>
            <w:tcW w:w="3516" w:type="dxa"/>
            <w:vAlign w:val="center"/>
          </w:tcPr>
          <w:p w14:paraId="12D66122">
            <w:pPr>
              <w:rPr>
                <w:sz w:val="18"/>
                <w:szCs w:val="18"/>
              </w:rPr>
            </w:pPr>
            <w:r>
              <w:rPr>
                <w:sz w:val="18"/>
                <w:szCs w:val="18"/>
              </w:rPr>
              <w:t>通用学术英语</w:t>
            </w:r>
          </w:p>
        </w:tc>
        <w:tc>
          <w:tcPr>
            <w:tcW w:w="1081" w:type="dxa"/>
            <w:vAlign w:val="center"/>
          </w:tcPr>
          <w:p w14:paraId="455916EA">
            <w:pPr>
              <w:jc w:val="center"/>
              <w:rPr>
                <w:sz w:val="18"/>
                <w:szCs w:val="18"/>
              </w:rPr>
            </w:pPr>
            <w:r>
              <w:rPr>
                <w:sz w:val="18"/>
                <w:szCs w:val="18"/>
              </w:rPr>
              <w:t>TS0000002</w:t>
            </w:r>
          </w:p>
        </w:tc>
        <w:tc>
          <w:tcPr>
            <w:tcW w:w="709" w:type="dxa"/>
            <w:vAlign w:val="center"/>
          </w:tcPr>
          <w:p w14:paraId="05D0E661">
            <w:pPr>
              <w:jc w:val="center"/>
              <w:rPr>
                <w:sz w:val="18"/>
                <w:szCs w:val="18"/>
              </w:rPr>
            </w:pPr>
            <w:r>
              <w:rPr>
                <w:sz w:val="18"/>
                <w:szCs w:val="18"/>
              </w:rPr>
              <w:t>2</w:t>
            </w:r>
          </w:p>
        </w:tc>
        <w:tc>
          <w:tcPr>
            <w:tcW w:w="709" w:type="dxa"/>
            <w:vAlign w:val="center"/>
          </w:tcPr>
          <w:p w14:paraId="3A22C2C6">
            <w:pPr>
              <w:jc w:val="center"/>
              <w:rPr>
                <w:sz w:val="18"/>
                <w:szCs w:val="18"/>
              </w:rPr>
            </w:pPr>
            <w:r>
              <w:rPr>
                <w:sz w:val="18"/>
                <w:szCs w:val="18"/>
              </w:rPr>
              <w:t>1</w:t>
            </w:r>
          </w:p>
        </w:tc>
        <w:tc>
          <w:tcPr>
            <w:tcW w:w="1045" w:type="dxa"/>
            <w:vAlign w:val="center"/>
          </w:tcPr>
          <w:p w14:paraId="6296EDDC">
            <w:pPr>
              <w:jc w:val="center"/>
              <w:rPr>
                <w:sz w:val="18"/>
                <w:szCs w:val="18"/>
              </w:rPr>
            </w:pPr>
            <w:r>
              <w:rPr>
                <w:rFonts w:hint="eastAsia"/>
                <w:sz w:val="18"/>
                <w:szCs w:val="18"/>
              </w:rPr>
              <w:t>考查</w:t>
            </w:r>
          </w:p>
        </w:tc>
      </w:tr>
      <w:tr w14:paraId="2C12C8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275F3AE">
            <w:pPr>
              <w:jc w:val="center"/>
              <w:rPr>
                <w:b/>
                <w:color w:val="000000" w:themeColor="text1"/>
                <w:sz w:val="18"/>
                <w:szCs w:val="18"/>
                <w14:textFill>
                  <w14:solidFill>
                    <w14:schemeClr w14:val="tx1"/>
                  </w14:solidFill>
                </w14:textFill>
              </w:rPr>
            </w:pPr>
          </w:p>
        </w:tc>
        <w:tc>
          <w:tcPr>
            <w:tcW w:w="1226" w:type="dxa"/>
            <w:vMerge w:val="restart"/>
            <w:vAlign w:val="center"/>
          </w:tcPr>
          <w:p w14:paraId="321241F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017A506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（8学分）</w:t>
            </w:r>
          </w:p>
        </w:tc>
        <w:tc>
          <w:tcPr>
            <w:tcW w:w="3516" w:type="dxa"/>
            <w:vAlign w:val="center"/>
          </w:tcPr>
          <w:p w14:paraId="4C6BD39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5FA21775">
            <w:pPr>
              <w:jc w:val="center"/>
              <w:rPr>
                <w:color w:val="000000" w:themeColor="text1"/>
                <w:sz w:val="18"/>
                <w:szCs w:val="18"/>
                <w14:textFill>
                  <w14:solidFill>
                    <w14:schemeClr w14:val="tx1"/>
                  </w14:solidFill>
                </w14:textFill>
              </w:rPr>
            </w:pPr>
            <w:r>
              <w:rPr>
                <w:rFonts w:hint="eastAsia"/>
                <w:sz w:val="18"/>
                <w:szCs w:val="18"/>
              </w:rPr>
              <w:t>XS2900001</w:t>
            </w:r>
          </w:p>
        </w:tc>
        <w:tc>
          <w:tcPr>
            <w:tcW w:w="709" w:type="dxa"/>
            <w:vAlign w:val="center"/>
          </w:tcPr>
          <w:p w14:paraId="686ADE9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66EAF13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tcPr>
          <w:p w14:paraId="5E34D66C">
            <w:pPr>
              <w:jc w:val="center"/>
            </w:pPr>
            <w:r>
              <w:rPr>
                <w:rFonts w:hint="eastAsia"/>
                <w:sz w:val="18"/>
                <w:szCs w:val="18"/>
              </w:rPr>
              <w:t>考查</w:t>
            </w:r>
          </w:p>
        </w:tc>
      </w:tr>
      <w:tr w14:paraId="1E9842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79CD360">
            <w:pPr>
              <w:jc w:val="center"/>
              <w:rPr>
                <w:b/>
                <w:color w:val="000000" w:themeColor="text1"/>
                <w:sz w:val="18"/>
                <w:szCs w:val="18"/>
                <w14:textFill>
                  <w14:solidFill>
                    <w14:schemeClr w14:val="tx1"/>
                  </w14:solidFill>
                </w14:textFill>
              </w:rPr>
            </w:pPr>
          </w:p>
        </w:tc>
        <w:tc>
          <w:tcPr>
            <w:tcW w:w="1226" w:type="dxa"/>
            <w:vMerge w:val="continue"/>
            <w:vAlign w:val="center"/>
          </w:tcPr>
          <w:p w14:paraId="0665E9F0">
            <w:pPr>
              <w:jc w:val="center"/>
              <w:rPr>
                <w:b/>
                <w:color w:val="000000" w:themeColor="text1"/>
                <w:sz w:val="18"/>
                <w:szCs w:val="18"/>
                <w14:textFill>
                  <w14:solidFill>
                    <w14:schemeClr w14:val="tx1"/>
                  </w14:solidFill>
                </w14:textFill>
              </w:rPr>
            </w:pPr>
          </w:p>
        </w:tc>
        <w:tc>
          <w:tcPr>
            <w:tcW w:w="3516" w:type="dxa"/>
            <w:vAlign w:val="center"/>
          </w:tcPr>
          <w:p w14:paraId="0ECC4A6C">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哲学</w:t>
            </w:r>
            <w:r>
              <w:rPr>
                <w:color w:val="000000" w:themeColor="text1"/>
                <w:sz w:val="18"/>
                <w:szCs w:val="18"/>
                <w14:textFill>
                  <w14:solidFill>
                    <w14:schemeClr w14:val="tx1"/>
                  </w14:solidFill>
                </w14:textFill>
              </w:rPr>
              <w:t>经典研读</w:t>
            </w:r>
          </w:p>
        </w:tc>
        <w:tc>
          <w:tcPr>
            <w:tcW w:w="1081" w:type="dxa"/>
          </w:tcPr>
          <w:p w14:paraId="4E4FC77B">
            <w:pPr>
              <w:rPr>
                <w:color w:val="000000" w:themeColor="text1"/>
                <w:sz w:val="18"/>
                <w:szCs w:val="18"/>
                <w14:textFill>
                  <w14:solidFill>
                    <w14:schemeClr w14:val="tx1"/>
                  </w14:solidFill>
                </w14:textFill>
              </w:rPr>
            </w:pPr>
            <w:r>
              <w:rPr>
                <w:rFonts w:hint="eastAsia"/>
                <w:sz w:val="18"/>
                <w:szCs w:val="18"/>
              </w:rPr>
              <w:t>XS2900002</w:t>
            </w:r>
          </w:p>
        </w:tc>
        <w:tc>
          <w:tcPr>
            <w:tcW w:w="709" w:type="dxa"/>
            <w:vAlign w:val="center"/>
          </w:tcPr>
          <w:p w14:paraId="65A4A70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709" w:type="dxa"/>
            <w:vAlign w:val="center"/>
          </w:tcPr>
          <w:p w14:paraId="78A7ABB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tcPr>
          <w:p w14:paraId="5373DAA8">
            <w:pPr>
              <w:jc w:val="center"/>
            </w:pPr>
            <w:r>
              <w:rPr>
                <w:rFonts w:hint="eastAsia"/>
                <w:sz w:val="18"/>
                <w:szCs w:val="18"/>
              </w:rPr>
              <w:t>考查</w:t>
            </w:r>
          </w:p>
        </w:tc>
      </w:tr>
      <w:tr w14:paraId="7E8F34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22944E8">
            <w:pPr>
              <w:jc w:val="center"/>
              <w:rPr>
                <w:b/>
                <w:color w:val="000000" w:themeColor="text1"/>
                <w:sz w:val="18"/>
                <w:szCs w:val="18"/>
                <w14:textFill>
                  <w14:solidFill>
                    <w14:schemeClr w14:val="tx1"/>
                  </w14:solidFill>
                </w14:textFill>
              </w:rPr>
            </w:pPr>
          </w:p>
        </w:tc>
        <w:tc>
          <w:tcPr>
            <w:tcW w:w="1226" w:type="dxa"/>
            <w:vMerge w:val="continue"/>
            <w:vAlign w:val="center"/>
          </w:tcPr>
          <w:p w14:paraId="14454DA1">
            <w:pPr>
              <w:jc w:val="center"/>
              <w:rPr>
                <w:b/>
                <w:color w:val="000000" w:themeColor="text1"/>
                <w:sz w:val="18"/>
                <w:szCs w:val="18"/>
                <w14:textFill>
                  <w14:solidFill>
                    <w14:schemeClr w14:val="tx1"/>
                  </w14:solidFill>
                </w14:textFill>
              </w:rPr>
            </w:pPr>
          </w:p>
        </w:tc>
        <w:tc>
          <w:tcPr>
            <w:tcW w:w="3516" w:type="dxa"/>
            <w:vAlign w:val="center"/>
          </w:tcPr>
          <w:p w14:paraId="41BFC8B1">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哲学基本问题与方法</w:t>
            </w:r>
          </w:p>
        </w:tc>
        <w:tc>
          <w:tcPr>
            <w:tcW w:w="1081" w:type="dxa"/>
          </w:tcPr>
          <w:p w14:paraId="758318C5">
            <w:pPr>
              <w:rPr>
                <w:color w:val="000000" w:themeColor="text1"/>
                <w:sz w:val="18"/>
                <w:szCs w:val="18"/>
                <w14:textFill>
                  <w14:solidFill>
                    <w14:schemeClr w14:val="tx1"/>
                  </w14:solidFill>
                </w14:textFill>
              </w:rPr>
            </w:pPr>
            <w:r>
              <w:rPr>
                <w:rFonts w:hint="eastAsia"/>
                <w:sz w:val="18"/>
                <w:szCs w:val="18"/>
              </w:rPr>
              <w:t>XS2900003</w:t>
            </w:r>
          </w:p>
        </w:tc>
        <w:tc>
          <w:tcPr>
            <w:tcW w:w="709" w:type="dxa"/>
            <w:vAlign w:val="center"/>
          </w:tcPr>
          <w:p w14:paraId="415A420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3EA458D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tcPr>
          <w:p w14:paraId="41F21151">
            <w:pPr>
              <w:jc w:val="center"/>
            </w:pPr>
            <w:r>
              <w:rPr>
                <w:rFonts w:hint="eastAsia"/>
                <w:sz w:val="18"/>
                <w:szCs w:val="18"/>
              </w:rPr>
              <w:t>考查</w:t>
            </w:r>
          </w:p>
        </w:tc>
      </w:tr>
      <w:tr w14:paraId="1E914A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6CAF390">
            <w:pPr>
              <w:jc w:val="center"/>
              <w:rPr>
                <w:b/>
                <w:color w:val="000000" w:themeColor="text1"/>
                <w:sz w:val="18"/>
                <w:szCs w:val="18"/>
                <w14:textFill>
                  <w14:solidFill>
                    <w14:schemeClr w14:val="tx1"/>
                  </w14:solidFill>
                </w14:textFill>
              </w:rPr>
            </w:pPr>
          </w:p>
        </w:tc>
        <w:tc>
          <w:tcPr>
            <w:tcW w:w="1226" w:type="dxa"/>
            <w:vMerge w:val="continue"/>
            <w:vAlign w:val="center"/>
          </w:tcPr>
          <w:p w14:paraId="42EEB60D">
            <w:pPr>
              <w:jc w:val="center"/>
              <w:rPr>
                <w:b/>
                <w:color w:val="000000" w:themeColor="text1"/>
                <w:sz w:val="18"/>
                <w:szCs w:val="18"/>
                <w14:textFill>
                  <w14:solidFill>
                    <w14:schemeClr w14:val="tx1"/>
                  </w14:solidFill>
                </w14:textFill>
              </w:rPr>
            </w:pPr>
          </w:p>
        </w:tc>
        <w:tc>
          <w:tcPr>
            <w:tcW w:w="3516" w:type="dxa"/>
            <w:vAlign w:val="center"/>
          </w:tcPr>
          <w:p w14:paraId="5ACAE949">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哲学学科前沿问题</w:t>
            </w:r>
          </w:p>
        </w:tc>
        <w:tc>
          <w:tcPr>
            <w:tcW w:w="1081" w:type="dxa"/>
          </w:tcPr>
          <w:p w14:paraId="35648A2F">
            <w:pPr>
              <w:rPr>
                <w:color w:val="000000" w:themeColor="text1"/>
                <w:sz w:val="18"/>
                <w:szCs w:val="18"/>
                <w14:textFill>
                  <w14:solidFill>
                    <w14:schemeClr w14:val="tx1"/>
                  </w14:solidFill>
                </w14:textFill>
              </w:rPr>
            </w:pPr>
            <w:r>
              <w:rPr>
                <w:rFonts w:hint="eastAsia"/>
                <w:sz w:val="18"/>
                <w:szCs w:val="18"/>
              </w:rPr>
              <w:t>XS2900004</w:t>
            </w:r>
          </w:p>
        </w:tc>
        <w:tc>
          <w:tcPr>
            <w:tcW w:w="709" w:type="dxa"/>
            <w:vAlign w:val="center"/>
          </w:tcPr>
          <w:p w14:paraId="6D15FFC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002FCF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Align w:val="center"/>
          </w:tcPr>
          <w:p w14:paraId="0DAF7111">
            <w:pPr>
              <w:jc w:val="center"/>
              <w:rPr>
                <w:i/>
                <w:color w:val="FF0000"/>
                <w:sz w:val="18"/>
                <w:szCs w:val="18"/>
              </w:rPr>
            </w:pPr>
            <w:r>
              <w:rPr>
                <w:rFonts w:hint="eastAsia"/>
                <w:sz w:val="18"/>
                <w:szCs w:val="18"/>
              </w:rPr>
              <w:t>考查</w:t>
            </w:r>
          </w:p>
        </w:tc>
      </w:tr>
      <w:tr w14:paraId="2407F0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6EEA566">
            <w:pPr>
              <w:jc w:val="center"/>
              <w:rPr>
                <w:b/>
                <w:color w:val="000000" w:themeColor="text1"/>
                <w:sz w:val="18"/>
                <w:szCs w:val="18"/>
                <w14:textFill>
                  <w14:solidFill>
                    <w14:schemeClr w14:val="tx1"/>
                  </w14:solidFill>
                </w14:textFill>
              </w:rPr>
            </w:pPr>
          </w:p>
        </w:tc>
        <w:tc>
          <w:tcPr>
            <w:tcW w:w="1226" w:type="dxa"/>
            <w:vMerge w:val="restart"/>
            <w:vAlign w:val="center"/>
          </w:tcPr>
          <w:p w14:paraId="4C4C07D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BD6AEA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（3学分）</w:t>
            </w:r>
          </w:p>
        </w:tc>
        <w:tc>
          <w:tcPr>
            <w:tcW w:w="3516" w:type="dxa"/>
          </w:tcPr>
          <w:p w14:paraId="15F74929">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逻辑</w:t>
            </w:r>
            <w:r>
              <w:rPr>
                <w:color w:val="000000" w:themeColor="text1"/>
                <w:sz w:val="18"/>
                <w:szCs w:val="18"/>
                <w14:textFill>
                  <w14:solidFill>
                    <w14:schemeClr w14:val="tx1"/>
                  </w14:solidFill>
                </w14:textFill>
              </w:rPr>
              <w:t>思维与训练</w:t>
            </w:r>
          </w:p>
        </w:tc>
        <w:tc>
          <w:tcPr>
            <w:tcW w:w="1081" w:type="dxa"/>
          </w:tcPr>
          <w:p w14:paraId="4ABE7379">
            <w:pPr>
              <w:rPr>
                <w:color w:val="FF0000"/>
                <w:sz w:val="18"/>
                <w:szCs w:val="18"/>
              </w:rPr>
            </w:pPr>
            <w:r>
              <w:rPr>
                <w:rFonts w:hint="eastAsia"/>
                <w:sz w:val="18"/>
                <w:szCs w:val="18"/>
              </w:rPr>
              <w:t>XS2900005</w:t>
            </w:r>
          </w:p>
        </w:tc>
        <w:tc>
          <w:tcPr>
            <w:tcW w:w="709" w:type="dxa"/>
            <w:vAlign w:val="center"/>
          </w:tcPr>
          <w:p w14:paraId="0760D109">
            <w:pPr>
              <w:jc w:val="center"/>
              <w:rPr>
                <w:sz w:val="18"/>
                <w:szCs w:val="18"/>
              </w:rPr>
            </w:pPr>
            <w:r>
              <w:rPr>
                <w:rFonts w:hint="eastAsia"/>
                <w:sz w:val="18"/>
                <w:szCs w:val="18"/>
              </w:rPr>
              <w:t>1</w:t>
            </w:r>
          </w:p>
        </w:tc>
        <w:tc>
          <w:tcPr>
            <w:tcW w:w="709" w:type="dxa"/>
            <w:vAlign w:val="center"/>
          </w:tcPr>
          <w:p w14:paraId="2840053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3B14B246">
            <w:pPr>
              <w:jc w:val="center"/>
              <w:rPr>
                <w:sz w:val="18"/>
                <w:szCs w:val="18"/>
              </w:rPr>
            </w:pPr>
            <w:r>
              <w:rPr>
                <w:sz w:val="18"/>
                <w:szCs w:val="18"/>
              </w:rPr>
              <w:t>考试</w:t>
            </w:r>
          </w:p>
        </w:tc>
      </w:tr>
      <w:tr w14:paraId="590939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F93435A">
            <w:pPr>
              <w:jc w:val="center"/>
              <w:rPr>
                <w:b/>
                <w:color w:val="000000" w:themeColor="text1"/>
                <w:sz w:val="18"/>
                <w:szCs w:val="18"/>
                <w14:textFill>
                  <w14:solidFill>
                    <w14:schemeClr w14:val="tx1"/>
                  </w14:solidFill>
                </w14:textFill>
              </w:rPr>
            </w:pPr>
          </w:p>
        </w:tc>
        <w:tc>
          <w:tcPr>
            <w:tcW w:w="1226" w:type="dxa"/>
            <w:vMerge w:val="continue"/>
            <w:vAlign w:val="center"/>
          </w:tcPr>
          <w:p w14:paraId="2F8BC417">
            <w:pPr>
              <w:jc w:val="center"/>
              <w:rPr>
                <w:b/>
                <w:color w:val="000000" w:themeColor="text1"/>
                <w:sz w:val="18"/>
                <w:szCs w:val="18"/>
                <w14:textFill>
                  <w14:solidFill>
                    <w14:schemeClr w14:val="tx1"/>
                  </w14:solidFill>
                </w14:textFill>
              </w:rPr>
            </w:pPr>
          </w:p>
        </w:tc>
        <w:tc>
          <w:tcPr>
            <w:tcW w:w="3516" w:type="dxa"/>
          </w:tcPr>
          <w:p w14:paraId="1FEE6B8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哲学专业外语</w:t>
            </w:r>
          </w:p>
        </w:tc>
        <w:tc>
          <w:tcPr>
            <w:tcW w:w="1081" w:type="dxa"/>
          </w:tcPr>
          <w:p w14:paraId="189F7388">
            <w:pPr>
              <w:rPr>
                <w:i/>
                <w:color w:val="FF0000"/>
                <w:sz w:val="18"/>
                <w:szCs w:val="18"/>
              </w:rPr>
            </w:pPr>
            <w:r>
              <w:rPr>
                <w:rFonts w:hint="eastAsia"/>
                <w:sz w:val="18"/>
                <w:szCs w:val="18"/>
              </w:rPr>
              <w:t>XS2900006</w:t>
            </w:r>
          </w:p>
        </w:tc>
        <w:tc>
          <w:tcPr>
            <w:tcW w:w="709" w:type="dxa"/>
            <w:vAlign w:val="center"/>
          </w:tcPr>
          <w:p w14:paraId="381FF44F">
            <w:pPr>
              <w:jc w:val="center"/>
              <w:rPr>
                <w:sz w:val="18"/>
                <w:szCs w:val="18"/>
              </w:rPr>
            </w:pPr>
            <w:r>
              <w:rPr>
                <w:rFonts w:hint="eastAsia"/>
                <w:sz w:val="18"/>
                <w:szCs w:val="18"/>
              </w:rPr>
              <w:t>2</w:t>
            </w:r>
          </w:p>
        </w:tc>
        <w:tc>
          <w:tcPr>
            <w:tcW w:w="709" w:type="dxa"/>
            <w:vAlign w:val="center"/>
          </w:tcPr>
          <w:p w14:paraId="3CEC549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Align w:val="center"/>
          </w:tcPr>
          <w:p w14:paraId="5176E3AD">
            <w:pPr>
              <w:jc w:val="center"/>
              <w:rPr>
                <w:sz w:val="18"/>
                <w:szCs w:val="18"/>
              </w:rPr>
            </w:pPr>
            <w:r>
              <w:rPr>
                <w:sz w:val="18"/>
                <w:szCs w:val="18"/>
              </w:rPr>
              <w:t>考试</w:t>
            </w:r>
          </w:p>
        </w:tc>
      </w:tr>
      <w:tr w14:paraId="6029A0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1E1027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4029B0B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1A6DD3A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025E29E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71795FA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5857450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6FF6F9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069A69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C2FC8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80FF11A">
            <w:pPr>
              <w:jc w:val="center"/>
              <w:rPr>
                <w:b/>
                <w:color w:val="000000" w:themeColor="text1"/>
                <w:sz w:val="18"/>
                <w:szCs w:val="18"/>
                <w14:textFill>
                  <w14:solidFill>
                    <w14:schemeClr w14:val="tx1"/>
                  </w14:solidFill>
                </w14:textFill>
              </w:rPr>
            </w:pPr>
          </w:p>
        </w:tc>
        <w:tc>
          <w:tcPr>
            <w:tcW w:w="1226" w:type="dxa"/>
            <w:vMerge w:val="continue"/>
            <w:vAlign w:val="center"/>
          </w:tcPr>
          <w:p w14:paraId="56A14B16">
            <w:pPr>
              <w:jc w:val="center"/>
              <w:rPr>
                <w:b/>
                <w:color w:val="000000" w:themeColor="text1"/>
                <w:sz w:val="18"/>
                <w:szCs w:val="18"/>
                <w14:textFill>
                  <w14:solidFill>
                    <w14:schemeClr w14:val="tx1"/>
                  </w14:solidFill>
                </w14:textFill>
              </w:rPr>
            </w:pPr>
          </w:p>
        </w:tc>
        <w:tc>
          <w:tcPr>
            <w:tcW w:w="3516" w:type="dxa"/>
            <w:vAlign w:val="center"/>
          </w:tcPr>
          <w:p w14:paraId="04CA604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62DBB8F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2252BD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B477F6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60EF021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5A2A3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1C4B0BE1">
            <w:pPr>
              <w:rPr>
                <w:b/>
                <w:color w:val="000000" w:themeColor="text1"/>
                <w:sz w:val="18"/>
                <w:szCs w:val="18"/>
                <w14:textFill>
                  <w14:solidFill>
                    <w14:schemeClr w14:val="tx1"/>
                  </w14:solidFill>
                </w14:textFill>
              </w:rPr>
            </w:pPr>
            <w:bookmarkStart w:id="1" w:name="_GoBack" w:colFirst="3" w:colLast="3"/>
          </w:p>
        </w:tc>
        <w:tc>
          <w:tcPr>
            <w:tcW w:w="1226" w:type="dxa"/>
            <w:vMerge w:val="restart"/>
            <w:vAlign w:val="center"/>
          </w:tcPr>
          <w:p w14:paraId="2570F9D6">
            <w:pPr>
              <w:adjustRightInd w:val="0"/>
              <w:snapToGrid w:val="0"/>
              <w:jc w:val="center"/>
              <w:rPr>
                <w:b/>
                <w:sz w:val="18"/>
                <w:szCs w:val="18"/>
              </w:rPr>
            </w:pPr>
            <w:r>
              <w:rPr>
                <w:rFonts w:hint="eastAsia"/>
                <w:b/>
                <w:sz w:val="18"/>
                <w:szCs w:val="18"/>
              </w:rPr>
              <w:t>专业</w:t>
            </w:r>
          </w:p>
          <w:p w14:paraId="3B7CFA32">
            <w:pPr>
              <w:adjustRightInd w:val="0"/>
              <w:snapToGrid w:val="0"/>
              <w:jc w:val="center"/>
              <w:rPr>
                <w:b/>
                <w:color w:val="000000" w:themeColor="text1"/>
                <w:sz w:val="18"/>
                <w:szCs w:val="18"/>
                <w14:textFill>
                  <w14:solidFill>
                    <w14:schemeClr w14:val="tx1"/>
                  </w14:solidFill>
                </w14:textFill>
              </w:rPr>
            </w:pPr>
            <w:r>
              <w:rPr>
                <w:b/>
                <w:sz w:val="18"/>
                <w:szCs w:val="18"/>
              </w:rPr>
              <w:t>选修课</w:t>
            </w:r>
          </w:p>
        </w:tc>
        <w:tc>
          <w:tcPr>
            <w:tcW w:w="3516" w:type="dxa"/>
            <w:shd w:val="clear" w:color="auto" w:fill="auto"/>
            <w:vAlign w:val="center"/>
          </w:tcPr>
          <w:p w14:paraId="67C1803B">
            <w:pPr>
              <w:rPr>
                <w:i/>
                <w:sz w:val="18"/>
                <w:szCs w:val="18"/>
              </w:rPr>
            </w:pPr>
            <w:r>
              <w:rPr>
                <w:rFonts w:hint="eastAsia"/>
                <w:sz w:val="18"/>
                <w:szCs w:val="18"/>
              </w:rPr>
              <w:t>马克思主义哲学经典著作选读</w:t>
            </w:r>
          </w:p>
        </w:tc>
        <w:tc>
          <w:tcPr>
            <w:tcW w:w="1081" w:type="dxa"/>
            <w:shd w:val="clear" w:color="auto" w:fill="auto"/>
            <w:vAlign w:val="center"/>
          </w:tcPr>
          <w:p w14:paraId="05614AC1">
            <w:pPr>
              <w:jc w:val="center"/>
              <w:rPr>
                <w:sz w:val="18"/>
                <w:szCs w:val="18"/>
              </w:rPr>
            </w:pPr>
            <w:r>
              <w:rPr>
                <w:rFonts w:hint="eastAsia"/>
                <w:sz w:val="18"/>
                <w:szCs w:val="18"/>
              </w:rPr>
              <w:t>XS29012</w:t>
            </w:r>
            <w:r>
              <w:rPr>
                <w:rFonts w:hint="eastAsia"/>
                <w:sz w:val="18"/>
                <w:szCs w:val="18"/>
                <w:lang w:val="en-US" w:eastAsia="zh-CN"/>
              </w:rPr>
              <w:t>1</w:t>
            </w:r>
            <w:r>
              <w:rPr>
                <w:rFonts w:hint="eastAsia"/>
                <w:sz w:val="18"/>
                <w:szCs w:val="18"/>
              </w:rPr>
              <w:t>1</w:t>
            </w:r>
          </w:p>
        </w:tc>
        <w:tc>
          <w:tcPr>
            <w:tcW w:w="709" w:type="dxa"/>
            <w:shd w:val="clear" w:color="auto" w:fill="auto"/>
            <w:vAlign w:val="center"/>
          </w:tcPr>
          <w:p w14:paraId="007D7023">
            <w:pPr>
              <w:jc w:val="center"/>
              <w:rPr>
                <w:sz w:val="18"/>
                <w:szCs w:val="18"/>
              </w:rPr>
            </w:pPr>
            <w:r>
              <w:rPr>
                <w:rFonts w:hint="eastAsia"/>
                <w:sz w:val="18"/>
                <w:szCs w:val="18"/>
              </w:rPr>
              <w:t>2</w:t>
            </w:r>
          </w:p>
        </w:tc>
        <w:tc>
          <w:tcPr>
            <w:tcW w:w="709" w:type="dxa"/>
            <w:shd w:val="clear" w:color="auto" w:fill="auto"/>
            <w:vAlign w:val="center"/>
          </w:tcPr>
          <w:p w14:paraId="67438DA8">
            <w:pPr>
              <w:jc w:val="center"/>
              <w:rPr>
                <w:sz w:val="18"/>
                <w:szCs w:val="18"/>
              </w:rPr>
            </w:pPr>
            <w:r>
              <w:rPr>
                <w:rFonts w:hint="eastAsia"/>
                <w:sz w:val="18"/>
                <w:szCs w:val="18"/>
              </w:rPr>
              <w:t>1</w:t>
            </w:r>
          </w:p>
        </w:tc>
        <w:tc>
          <w:tcPr>
            <w:tcW w:w="1045" w:type="dxa"/>
            <w:vMerge w:val="restart"/>
            <w:vAlign w:val="center"/>
          </w:tcPr>
          <w:p w14:paraId="259E66E9">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至少选修</w:t>
            </w:r>
          </w:p>
          <w:p w14:paraId="48DEC7C5">
            <w:pPr>
              <w:adjustRightInd w:val="0"/>
              <w:snapToGrid w:val="0"/>
              <w:jc w:val="center"/>
              <w:rPr>
                <w:color w:val="000000" w:themeColor="text1"/>
                <w:sz w:val="18"/>
                <w:szCs w:val="18"/>
                <w14:textFill>
                  <w14:solidFill>
                    <w14:schemeClr w14:val="tx1"/>
                  </w14:solidFill>
                </w14:textFill>
              </w:rPr>
            </w:pPr>
            <w:r>
              <w:rPr>
                <w:sz w:val="18"/>
                <w:szCs w:val="18"/>
              </w:rPr>
              <w:t>10</w:t>
            </w:r>
            <w:r>
              <w:rPr>
                <w:color w:val="000000" w:themeColor="text1"/>
                <w:sz w:val="18"/>
                <w:szCs w:val="18"/>
                <w14:textFill>
                  <w14:solidFill>
                    <w14:schemeClr w14:val="tx1"/>
                  </w14:solidFill>
                </w14:textFill>
              </w:rPr>
              <w:t>学分</w:t>
            </w:r>
          </w:p>
        </w:tc>
      </w:tr>
      <w:bookmarkEnd w:id="1"/>
      <w:tr w14:paraId="54D7C6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5C35DE">
            <w:pPr>
              <w:rPr>
                <w:b/>
                <w:color w:val="000000" w:themeColor="text1"/>
                <w:sz w:val="18"/>
                <w:szCs w:val="18"/>
                <w14:textFill>
                  <w14:solidFill>
                    <w14:schemeClr w14:val="tx1"/>
                  </w14:solidFill>
                </w14:textFill>
              </w:rPr>
            </w:pPr>
          </w:p>
        </w:tc>
        <w:tc>
          <w:tcPr>
            <w:tcW w:w="1226" w:type="dxa"/>
            <w:vMerge w:val="continue"/>
            <w:vAlign w:val="center"/>
          </w:tcPr>
          <w:p w14:paraId="4B8B6B07">
            <w:pPr>
              <w:adjustRightInd w:val="0"/>
              <w:snapToGrid w:val="0"/>
              <w:jc w:val="center"/>
              <w:rPr>
                <w:b/>
                <w:color w:val="FF0000"/>
                <w:sz w:val="18"/>
                <w:szCs w:val="18"/>
              </w:rPr>
            </w:pPr>
          </w:p>
        </w:tc>
        <w:tc>
          <w:tcPr>
            <w:tcW w:w="3516" w:type="dxa"/>
            <w:shd w:val="clear" w:color="auto" w:fill="auto"/>
            <w:vAlign w:val="center"/>
          </w:tcPr>
          <w:p w14:paraId="3E95BC3E">
            <w:pPr>
              <w:rPr>
                <w:i/>
                <w:sz w:val="18"/>
                <w:szCs w:val="18"/>
              </w:rPr>
            </w:pPr>
            <w:r>
              <w:rPr>
                <w:rFonts w:hint="eastAsia"/>
                <w:sz w:val="18"/>
                <w:szCs w:val="18"/>
              </w:rPr>
              <w:t>历史唯物主义</w:t>
            </w:r>
          </w:p>
        </w:tc>
        <w:tc>
          <w:tcPr>
            <w:tcW w:w="1081" w:type="dxa"/>
            <w:shd w:val="clear" w:color="auto" w:fill="auto"/>
          </w:tcPr>
          <w:p w14:paraId="1163620E">
            <w:pPr>
              <w:rPr>
                <w:sz w:val="18"/>
                <w:szCs w:val="18"/>
              </w:rPr>
            </w:pPr>
            <w:r>
              <w:rPr>
                <w:rFonts w:hint="eastAsia"/>
                <w:sz w:val="18"/>
                <w:szCs w:val="18"/>
              </w:rPr>
              <w:t>XS29012</w:t>
            </w:r>
            <w:r>
              <w:rPr>
                <w:rFonts w:hint="eastAsia"/>
                <w:sz w:val="18"/>
                <w:szCs w:val="18"/>
                <w:lang w:val="en-US" w:eastAsia="zh-CN"/>
              </w:rPr>
              <w:t>1</w:t>
            </w:r>
            <w:r>
              <w:rPr>
                <w:rFonts w:hint="eastAsia"/>
                <w:sz w:val="18"/>
                <w:szCs w:val="18"/>
              </w:rPr>
              <w:t>2</w:t>
            </w:r>
          </w:p>
        </w:tc>
        <w:tc>
          <w:tcPr>
            <w:tcW w:w="709" w:type="dxa"/>
            <w:shd w:val="clear" w:color="auto" w:fill="auto"/>
            <w:vAlign w:val="center"/>
          </w:tcPr>
          <w:p w14:paraId="2CB56A29">
            <w:pPr>
              <w:jc w:val="center"/>
              <w:rPr>
                <w:sz w:val="18"/>
                <w:szCs w:val="18"/>
              </w:rPr>
            </w:pPr>
            <w:r>
              <w:rPr>
                <w:rFonts w:hint="eastAsia"/>
                <w:sz w:val="18"/>
                <w:szCs w:val="18"/>
              </w:rPr>
              <w:t>2</w:t>
            </w:r>
          </w:p>
        </w:tc>
        <w:tc>
          <w:tcPr>
            <w:tcW w:w="709" w:type="dxa"/>
            <w:shd w:val="clear" w:color="auto" w:fill="auto"/>
            <w:vAlign w:val="center"/>
          </w:tcPr>
          <w:p w14:paraId="46B66DC7">
            <w:pPr>
              <w:jc w:val="center"/>
              <w:rPr>
                <w:sz w:val="18"/>
                <w:szCs w:val="18"/>
              </w:rPr>
            </w:pPr>
            <w:r>
              <w:rPr>
                <w:rFonts w:hint="eastAsia"/>
                <w:sz w:val="18"/>
                <w:szCs w:val="18"/>
              </w:rPr>
              <w:t>1</w:t>
            </w:r>
          </w:p>
        </w:tc>
        <w:tc>
          <w:tcPr>
            <w:tcW w:w="1045" w:type="dxa"/>
            <w:vMerge w:val="continue"/>
            <w:vAlign w:val="center"/>
          </w:tcPr>
          <w:p w14:paraId="5F9E3EB0">
            <w:pPr>
              <w:adjustRightInd w:val="0"/>
              <w:snapToGrid w:val="0"/>
              <w:jc w:val="center"/>
              <w:rPr>
                <w:color w:val="000000" w:themeColor="text1"/>
                <w:sz w:val="18"/>
                <w:szCs w:val="18"/>
                <w14:textFill>
                  <w14:solidFill>
                    <w14:schemeClr w14:val="tx1"/>
                  </w14:solidFill>
                </w14:textFill>
              </w:rPr>
            </w:pPr>
          </w:p>
        </w:tc>
      </w:tr>
      <w:tr w14:paraId="6247A4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4EBE312">
            <w:pPr>
              <w:rPr>
                <w:b/>
                <w:color w:val="000000" w:themeColor="text1"/>
                <w:sz w:val="18"/>
                <w:szCs w:val="18"/>
                <w14:textFill>
                  <w14:solidFill>
                    <w14:schemeClr w14:val="tx1"/>
                  </w14:solidFill>
                </w14:textFill>
              </w:rPr>
            </w:pPr>
          </w:p>
        </w:tc>
        <w:tc>
          <w:tcPr>
            <w:tcW w:w="1226" w:type="dxa"/>
            <w:vMerge w:val="continue"/>
            <w:vAlign w:val="center"/>
          </w:tcPr>
          <w:p w14:paraId="48731908">
            <w:pPr>
              <w:adjustRightInd w:val="0"/>
              <w:snapToGrid w:val="0"/>
              <w:jc w:val="center"/>
              <w:rPr>
                <w:b/>
                <w:color w:val="FF0000"/>
                <w:sz w:val="18"/>
                <w:szCs w:val="18"/>
              </w:rPr>
            </w:pPr>
          </w:p>
        </w:tc>
        <w:tc>
          <w:tcPr>
            <w:tcW w:w="3516" w:type="dxa"/>
            <w:shd w:val="clear" w:color="auto" w:fill="auto"/>
            <w:vAlign w:val="center"/>
          </w:tcPr>
          <w:p w14:paraId="02942C8A">
            <w:pPr>
              <w:rPr>
                <w:i/>
                <w:sz w:val="18"/>
                <w:szCs w:val="18"/>
              </w:rPr>
            </w:pPr>
            <w:r>
              <w:rPr>
                <w:rFonts w:hint="eastAsia"/>
                <w:sz w:val="18"/>
                <w:szCs w:val="18"/>
              </w:rPr>
              <w:t>国外马克思主义哲学</w:t>
            </w:r>
          </w:p>
        </w:tc>
        <w:tc>
          <w:tcPr>
            <w:tcW w:w="1081" w:type="dxa"/>
            <w:shd w:val="clear" w:color="auto" w:fill="auto"/>
          </w:tcPr>
          <w:p w14:paraId="097D5B70">
            <w:pPr>
              <w:rPr>
                <w:i/>
                <w:sz w:val="18"/>
                <w:szCs w:val="18"/>
              </w:rPr>
            </w:pPr>
            <w:r>
              <w:rPr>
                <w:rFonts w:hint="eastAsia"/>
                <w:sz w:val="18"/>
                <w:szCs w:val="18"/>
              </w:rPr>
              <w:t>XS29012</w:t>
            </w:r>
            <w:r>
              <w:rPr>
                <w:rFonts w:hint="eastAsia"/>
                <w:sz w:val="18"/>
                <w:szCs w:val="18"/>
                <w:lang w:val="en-US" w:eastAsia="zh-CN"/>
              </w:rPr>
              <w:t>1</w:t>
            </w:r>
            <w:r>
              <w:rPr>
                <w:rFonts w:hint="eastAsia"/>
                <w:sz w:val="18"/>
                <w:szCs w:val="18"/>
              </w:rPr>
              <w:t>3</w:t>
            </w:r>
          </w:p>
        </w:tc>
        <w:tc>
          <w:tcPr>
            <w:tcW w:w="709" w:type="dxa"/>
            <w:shd w:val="clear" w:color="auto" w:fill="auto"/>
            <w:vAlign w:val="center"/>
          </w:tcPr>
          <w:p w14:paraId="29299F19">
            <w:pPr>
              <w:jc w:val="center"/>
              <w:rPr>
                <w:i/>
                <w:sz w:val="18"/>
                <w:szCs w:val="18"/>
              </w:rPr>
            </w:pPr>
            <w:r>
              <w:rPr>
                <w:rFonts w:hint="eastAsia"/>
                <w:sz w:val="18"/>
                <w:szCs w:val="18"/>
              </w:rPr>
              <w:t>2</w:t>
            </w:r>
          </w:p>
        </w:tc>
        <w:tc>
          <w:tcPr>
            <w:tcW w:w="709" w:type="dxa"/>
            <w:shd w:val="clear" w:color="auto" w:fill="auto"/>
            <w:vAlign w:val="center"/>
          </w:tcPr>
          <w:p w14:paraId="3CC95086">
            <w:pPr>
              <w:jc w:val="center"/>
              <w:rPr>
                <w:i/>
                <w:sz w:val="18"/>
                <w:szCs w:val="18"/>
              </w:rPr>
            </w:pPr>
            <w:r>
              <w:rPr>
                <w:rFonts w:hint="eastAsia"/>
                <w:sz w:val="18"/>
                <w:szCs w:val="18"/>
              </w:rPr>
              <w:t>2</w:t>
            </w:r>
          </w:p>
        </w:tc>
        <w:tc>
          <w:tcPr>
            <w:tcW w:w="1045" w:type="dxa"/>
            <w:vMerge w:val="continue"/>
            <w:vAlign w:val="center"/>
          </w:tcPr>
          <w:p w14:paraId="1222F618">
            <w:pPr>
              <w:adjustRightInd w:val="0"/>
              <w:snapToGrid w:val="0"/>
              <w:jc w:val="center"/>
              <w:rPr>
                <w:color w:val="000000" w:themeColor="text1"/>
                <w:sz w:val="18"/>
                <w:szCs w:val="18"/>
                <w14:textFill>
                  <w14:solidFill>
                    <w14:schemeClr w14:val="tx1"/>
                  </w14:solidFill>
                </w14:textFill>
              </w:rPr>
            </w:pPr>
          </w:p>
        </w:tc>
      </w:tr>
      <w:tr w14:paraId="5B48EA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BAE3C4F">
            <w:pPr>
              <w:rPr>
                <w:b/>
                <w:color w:val="000000" w:themeColor="text1"/>
                <w:sz w:val="18"/>
                <w:szCs w:val="18"/>
                <w14:textFill>
                  <w14:solidFill>
                    <w14:schemeClr w14:val="tx1"/>
                  </w14:solidFill>
                </w14:textFill>
              </w:rPr>
            </w:pPr>
          </w:p>
        </w:tc>
        <w:tc>
          <w:tcPr>
            <w:tcW w:w="1226" w:type="dxa"/>
            <w:vMerge w:val="continue"/>
            <w:vAlign w:val="center"/>
          </w:tcPr>
          <w:p w14:paraId="464C83F5">
            <w:pPr>
              <w:adjustRightInd w:val="0"/>
              <w:snapToGrid w:val="0"/>
              <w:jc w:val="center"/>
              <w:rPr>
                <w:b/>
                <w:color w:val="FF0000"/>
                <w:sz w:val="18"/>
                <w:szCs w:val="18"/>
              </w:rPr>
            </w:pPr>
          </w:p>
        </w:tc>
        <w:tc>
          <w:tcPr>
            <w:tcW w:w="3516" w:type="dxa"/>
            <w:shd w:val="clear" w:color="auto" w:fill="auto"/>
            <w:vAlign w:val="center"/>
          </w:tcPr>
          <w:p w14:paraId="006F1F01">
            <w:pPr>
              <w:rPr>
                <w:i/>
                <w:sz w:val="18"/>
                <w:szCs w:val="18"/>
              </w:rPr>
            </w:pPr>
            <w:r>
              <w:rPr>
                <w:rFonts w:hint="eastAsia"/>
                <w:sz w:val="18"/>
                <w:szCs w:val="18"/>
              </w:rPr>
              <w:t>辩证唯物主义</w:t>
            </w:r>
          </w:p>
        </w:tc>
        <w:tc>
          <w:tcPr>
            <w:tcW w:w="1081" w:type="dxa"/>
            <w:shd w:val="clear" w:color="auto" w:fill="auto"/>
          </w:tcPr>
          <w:p w14:paraId="42052A67">
            <w:pPr>
              <w:rPr>
                <w:i/>
                <w:sz w:val="18"/>
                <w:szCs w:val="18"/>
              </w:rPr>
            </w:pPr>
            <w:r>
              <w:rPr>
                <w:rFonts w:hint="eastAsia"/>
                <w:sz w:val="18"/>
                <w:szCs w:val="18"/>
              </w:rPr>
              <w:t>XS29012</w:t>
            </w:r>
            <w:r>
              <w:rPr>
                <w:rFonts w:hint="eastAsia"/>
                <w:sz w:val="18"/>
                <w:szCs w:val="18"/>
                <w:lang w:val="en-US" w:eastAsia="zh-CN"/>
              </w:rPr>
              <w:t>1</w:t>
            </w:r>
            <w:r>
              <w:rPr>
                <w:rFonts w:hint="eastAsia"/>
                <w:sz w:val="18"/>
                <w:szCs w:val="18"/>
              </w:rPr>
              <w:t>4</w:t>
            </w:r>
          </w:p>
        </w:tc>
        <w:tc>
          <w:tcPr>
            <w:tcW w:w="709" w:type="dxa"/>
            <w:shd w:val="clear" w:color="auto" w:fill="auto"/>
            <w:vAlign w:val="center"/>
          </w:tcPr>
          <w:p w14:paraId="5B387E5F">
            <w:pPr>
              <w:jc w:val="center"/>
              <w:rPr>
                <w:i/>
                <w:sz w:val="18"/>
                <w:szCs w:val="18"/>
              </w:rPr>
            </w:pPr>
            <w:r>
              <w:rPr>
                <w:rFonts w:hint="eastAsia"/>
                <w:sz w:val="18"/>
                <w:szCs w:val="18"/>
              </w:rPr>
              <w:t>2</w:t>
            </w:r>
          </w:p>
        </w:tc>
        <w:tc>
          <w:tcPr>
            <w:tcW w:w="709" w:type="dxa"/>
            <w:shd w:val="clear" w:color="auto" w:fill="auto"/>
            <w:vAlign w:val="center"/>
          </w:tcPr>
          <w:p w14:paraId="2154D65C">
            <w:pPr>
              <w:jc w:val="center"/>
              <w:rPr>
                <w:i/>
                <w:sz w:val="18"/>
                <w:szCs w:val="18"/>
              </w:rPr>
            </w:pPr>
            <w:r>
              <w:rPr>
                <w:rFonts w:hint="eastAsia"/>
                <w:sz w:val="18"/>
                <w:szCs w:val="18"/>
              </w:rPr>
              <w:t>2</w:t>
            </w:r>
          </w:p>
        </w:tc>
        <w:tc>
          <w:tcPr>
            <w:tcW w:w="1045" w:type="dxa"/>
            <w:vMerge w:val="continue"/>
            <w:vAlign w:val="center"/>
          </w:tcPr>
          <w:p w14:paraId="4EB044B6">
            <w:pPr>
              <w:adjustRightInd w:val="0"/>
              <w:snapToGrid w:val="0"/>
              <w:jc w:val="center"/>
              <w:rPr>
                <w:color w:val="000000" w:themeColor="text1"/>
                <w:sz w:val="18"/>
                <w:szCs w:val="18"/>
                <w14:textFill>
                  <w14:solidFill>
                    <w14:schemeClr w14:val="tx1"/>
                  </w14:solidFill>
                </w14:textFill>
              </w:rPr>
            </w:pPr>
          </w:p>
        </w:tc>
      </w:tr>
      <w:tr w14:paraId="25C7D3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FF4943">
            <w:pPr>
              <w:rPr>
                <w:b/>
                <w:color w:val="000000" w:themeColor="text1"/>
                <w:sz w:val="18"/>
                <w:szCs w:val="18"/>
                <w14:textFill>
                  <w14:solidFill>
                    <w14:schemeClr w14:val="tx1"/>
                  </w14:solidFill>
                </w14:textFill>
              </w:rPr>
            </w:pPr>
          </w:p>
        </w:tc>
        <w:tc>
          <w:tcPr>
            <w:tcW w:w="1226" w:type="dxa"/>
            <w:vMerge w:val="continue"/>
            <w:vAlign w:val="center"/>
          </w:tcPr>
          <w:p w14:paraId="5CAA50FA">
            <w:pPr>
              <w:adjustRightInd w:val="0"/>
              <w:snapToGrid w:val="0"/>
              <w:jc w:val="center"/>
              <w:rPr>
                <w:b/>
                <w:color w:val="FF0000"/>
                <w:sz w:val="18"/>
                <w:szCs w:val="18"/>
              </w:rPr>
            </w:pPr>
          </w:p>
        </w:tc>
        <w:tc>
          <w:tcPr>
            <w:tcW w:w="3516" w:type="dxa"/>
            <w:shd w:val="clear" w:color="auto" w:fill="auto"/>
            <w:vAlign w:val="center"/>
          </w:tcPr>
          <w:p w14:paraId="0CF16529">
            <w:pPr>
              <w:rPr>
                <w:i/>
                <w:sz w:val="18"/>
                <w:szCs w:val="18"/>
              </w:rPr>
            </w:pPr>
            <w:r>
              <w:rPr>
                <w:rFonts w:hint="eastAsia"/>
                <w:sz w:val="18"/>
                <w:szCs w:val="18"/>
              </w:rPr>
              <w:t>马克思主义哲学前沿</w:t>
            </w:r>
          </w:p>
        </w:tc>
        <w:tc>
          <w:tcPr>
            <w:tcW w:w="1081" w:type="dxa"/>
            <w:shd w:val="clear" w:color="auto" w:fill="auto"/>
          </w:tcPr>
          <w:p w14:paraId="23C288C6">
            <w:pPr>
              <w:rPr>
                <w:i/>
                <w:sz w:val="18"/>
                <w:szCs w:val="18"/>
              </w:rPr>
            </w:pPr>
            <w:r>
              <w:rPr>
                <w:rFonts w:hint="eastAsia"/>
                <w:sz w:val="18"/>
                <w:szCs w:val="18"/>
              </w:rPr>
              <w:t>XS29012</w:t>
            </w:r>
            <w:r>
              <w:rPr>
                <w:rFonts w:hint="eastAsia"/>
                <w:sz w:val="18"/>
                <w:szCs w:val="18"/>
                <w:lang w:val="en-US" w:eastAsia="zh-CN"/>
              </w:rPr>
              <w:t>1</w:t>
            </w:r>
            <w:r>
              <w:rPr>
                <w:rFonts w:hint="eastAsia"/>
                <w:sz w:val="18"/>
                <w:szCs w:val="18"/>
              </w:rPr>
              <w:t>5</w:t>
            </w:r>
          </w:p>
        </w:tc>
        <w:tc>
          <w:tcPr>
            <w:tcW w:w="709" w:type="dxa"/>
            <w:shd w:val="clear" w:color="auto" w:fill="auto"/>
            <w:vAlign w:val="center"/>
          </w:tcPr>
          <w:p w14:paraId="7905D437">
            <w:pPr>
              <w:jc w:val="center"/>
              <w:rPr>
                <w:i/>
                <w:sz w:val="18"/>
                <w:szCs w:val="18"/>
              </w:rPr>
            </w:pPr>
            <w:r>
              <w:rPr>
                <w:rFonts w:hint="eastAsia"/>
                <w:sz w:val="18"/>
                <w:szCs w:val="18"/>
              </w:rPr>
              <w:t>2</w:t>
            </w:r>
          </w:p>
        </w:tc>
        <w:tc>
          <w:tcPr>
            <w:tcW w:w="709" w:type="dxa"/>
            <w:shd w:val="clear" w:color="auto" w:fill="auto"/>
            <w:vAlign w:val="center"/>
          </w:tcPr>
          <w:p w14:paraId="6FAB3C56">
            <w:pPr>
              <w:jc w:val="center"/>
              <w:rPr>
                <w:i/>
                <w:sz w:val="18"/>
                <w:szCs w:val="18"/>
              </w:rPr>
            </w:pPr>
            <w:r>
              <w:rPr>
                <w:rFonts w:hint="eastAsia"/>
                <w:sz w:val="18"/>
                <w:szCs w:val="18"/>
              </w:rPr>
              <w:t>3</w:t>
            </w:r>
          </w:p>
        </w:tc>
        <w:tc>
          <w:tcPr>
            <w:tcW w:w="1045" w:type="dxa"/>
            <w:vMerge w:val="continue"/>
            <w:vAlign w:val="center"/>
          </w:tcPr>
          <w:p w14:paraId="1736A0E9">
            <w:pPr>
              <w:adjustRightInd w:val="0"/>
              <w:snapToGrid w:val="0"/>
              <w:jc w:val="center"/>
              <w:rPr>
                <w:color w:val="000000" w:themeColor="text1"/>
                <w:sz w:val="18"/>
                <w:szCs w:val="18"/>
                <w14:textFill>
                  <w14:solidFill>
                    <w14:schemeClr w14:val="tx1"/>
                  </w14:solidFill>
                </w14:textFill>
              </w:rPr>
            </w:pPr>
          </w:p>
        </w:tc>
      </w:tr>
      <w:tr w14:paraId="256E09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195E3D1">
            <w:pPr>
              <w:rPr>
                <w:b/>
                <w:color w:val="000000" w:themeColor="text1"/>
                <w:sz w:val="18"/>
                <w:szCs w:val="18"/>
                <w14:textFill>
                  <w14:solidFill>
                    <w14:schemeClr w14:val="tx1"/>
                  </w14:solidFill>
                </w14:textFill>
              </w:rPr>
            </w:pPr>
          </w:p>
        </w:tc>
        <w:tc>
          <w:tcPr>
            <w:tcW w:w="1226" w:type="dxa"/>
            <w:vMerge w:val="continue"/>
            <w:vAlign w:val="center"/>
          </w:tcPr>
          <w:p w14:paraId="56B344C3">
            <w:pPr>
              <w:adjustRightInd w:val="0"/>
              <w:snapToGrid w:val="0"/>
              <w:jc w:val="center"/>
              <w:rPr>
                <w:b/>
                <w:color w:val="FF0000"/>
                <w:sz w:val="18"/>
                <w:szCs w:val="18"/>
              </w:rPr>
            </w:pPr>
          </w:p>
        </w:tc>
        <w:tc>
          <w:tcPr>
            <w:tcW w:w="3516" w:type="dxa"/>
            <w:shd w:val="clear" w:color="auto" w:fill="auto"/>
            <w:vAlign w:val="center"/>
          </w:tcPr>
          <w:p w14:paraId="5B1B7084">
            <w:pPr>
              <w:rPr>
                <w:i/>
                <w:sz w:val="18"/>
                <w:szCs w:val="18"/>
              </w:rPr>
            </w:pPr>
            <w:r>
              <w:rPr>
                <w:rFonts w:hint="eastAsia"/>
                <w:sz w:val="18"/>
                <w:szCs w:val="18"/>
              </w:rPr>
              <w:t>马克思经济哲学</w:t>
            </w:r>
          </w:p>
        </w:tc>
        <w:tc>
          <w:tcPr>
            <w:tcW w:w="1081" w:type="dxa"/>
            <w:shd w:val="clear" w:color="auto" w:fill="auto"/>
          </w:tcPr>
          <w:p w14:paraId="7221E20F">
            <w:pPr>
              <w:rPr>
                <w:i/>
                <w:sz w:val="18"/>
                <w:szCs w:val="18"/>
              </w:rPr>
            </w:pPr>
            <w:r>
              <w:rPr>
                <w:rFonts w:hint="eastAsia"/>
                <w:sz w:val="18"/>
                <w:szCs w:val="18"/>
              </w:rPr>
              <w:t>XS29012</w:t>
            </w:r>
            <w:r>
              <w:rPr>
                <w:rFonts w:hint="eastAsia"/>
                <w:sz w:val="18"/>
                <w:szCs w:val="18"/>
                <w:lang w:val="en-US" w:eastAsia="zh-CN"/>
              </w:rPr>
              <w:t>1</w:t>
            </w:r>
            <w:r>
              <w:rPr>
                <w:rFonts w:hint="eastAsia"/>
                <w:sz w:val="18"/>
                <w:szCs w:val="18"/>
              </w:rPr>
              <w:t>6</w:t>
            </w:r>
          </w:p>
        </w:tc>
        <w:tc>
          <w:tcPr>
            <w:tcW w:w="709" w:type="dxa"/>
            <w:shd w:val="clear" w:color="auto" w:fill="auto"/>
            <w:vAlign w:val="center"/>
          </w:tcPr>
          <w:p w14:paraId="5EFEBD0E">
            <w:pPr>
              <w:jc w:val="center"/>
              <w:rPr>
                <w:i/>
                <w:sz w:val="18"/>
                <w:szCs w:val="18"/>
              </w:rPr>
            </w:pPr>
            <w:r>
              <w:rPr>
                <w:rFonts w:hint="eastAsia"/>
                <w:sz w:val="18"/>
                <w:szCs w:val="18"/>
              </w:rPr>
              <w:t>2</w:t>
            </w:r>
          </w:p>
        </w:tc>
        <w:tc>
          <w:tcPr>
            <w:tcW w:w="709" w:type="dxa"/>
            <w:shd w:val="clear" w:color="auto" w:fill="auto"/>
            <w:vAlign w:val="center"/>
          </w:tcPr>
          <w:p w14:paraId="2BB97F3D">
            <w:pPr>
              <w:jc w:val="center"/>
              <w:rPr>
                <w:i/>
                <w:sz w:val="18"/>
                <w:szCs w:val="18"/>
              </w:rPr>
            </w:pPr>
            <w:r>
              <w:rPr>
                <w:rFonts w:hint="eastAsia"/>
                <w:sz w:val="18"/>
                <w:szCs w:val="18"/>
              </w:rPr>
              <w:t>3</w:t>
            </w:r>
          </w:p>
        </w:tc>
        <w:tc>
          <w:tcPr>
            <w:tcW w:w="1045" w:type="dxa"/>
            <w:vMerge w:val="continue"/>
            <w:vAlign w:val="center"/>
          </w:tcPr>
          <w:p w14:paraId="4EAA18A2">
            <w:pPr>
              <w:adjustRightInd w:val="0"/>
              <w:snapToGrid w:val="0"/>
              <w:jc w:val="center"/>
              <w:rPr>
                <w:color w:val="000000" w:themeColor="text1"/>
                <w:sz w:val="18"/>
                <w:szCs w:val="18"/>
                <w14:textFill>
                  <w14:solidFill>
                    <w14:schemeClr w14:val="tx1"/>
                  </w14:solidFill>
                </w14:textFill>
              </w:rPr>
            </w:pPr>
          </w:p>
        </w:tc>
      </w:tr>
      <w:tr w14:paraId="49D82E1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EB1FD9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4D59B543">
            <w:pPr>
              <w:jc w:val="center"/>
              <w:rPr>
                <w:b/>
                <w:color w:val="000000" w:themeColor="text1"/>
                <w:sz w:val="18"/>
                <w:szCs w:val="18"/>
                <w14:textFill>
                  <w14:solidFill>
                    <w14:schemeClr w14:val="tx1"/>
                  </w14:solidFill>
                </w14:textFill>
              </w:rPr>
            </w:pPr>
          </w:p>
        </w:tc>
        <w:tc>
          <w:tcPr>
            <w:tcW w:w="1226" w:type="dxa"/>
            <w:vMerge w:val="restart"/>
            <w:vAlign w:val="center"/>
          </w:tcPr>
          <w:p w14:paraId="058BA26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58E24C2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7C90E608">
            <w:pPr>
              <w:jc w:val="center"/>
              <w:rPr>
                <w:color w:val="000000" w:themeColor="text1"/>
                <w:sz w:val="18"/>
                <w:szCs w:val="18"/>
                <w14:textFill>
                  <w14:solidFill>
                    <w14:schemeClr w14:val="tx1"/>
                  </w14:solidFill>
                </w14:textFill>
              </w:rPr>
            </w:pPr>
          </w:p>
        </w:tc>
        <w:tc>
          <w:tcPr>
            <w:tcW w:w="709" w:type="dxa"/>
            <w:vAlign w:val="center"/>
          </w:tcPr>
          <w:p w14:paraId="5DD5CDFF">
            <w:pPr>
              <w:jc w:val="center"/>
              <w:rPr>
                <w:color w:val="000000" w:themeColor="text1"/>
                <w:sz w:val="18"/>
                <w:szCs w:val="18"/>
                <w14:textFill>
                  <w14:solidFill>
                    <w14:schemeClr w14:val="tx1"/>
                  </w14:solidFill>
                </w14:textFill>
              </w:rPr>
            </w:pPr>
          </w:p>
        </w:tc>
        <w:tc>
          <w:tcPr>
            <w:tcW w:w="709" w:type="dxa"/>
            <w:vAlign w:val="center"/>
          </w:tcPr>
          <w:p w14:paraId="6E4C8AA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0970DCED">
            <w:pPr>
              <w:jc w:val="center"/>
              <w:rPr>
                <w:i/>
                <w:color w:val="FF0000"/>
                <w:sz w:val="18"/>
                <w:szCs w:val="18"/>
              </w:rPr>
            </w:pPr>
          </w:p>
        </w:tc>
      </w:tr>
      <w:tr w14:paraId="3AE5D7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056BFDF9">
            <w:pPr>
              <w:jc w:val="center"/>
              <w:rPr>
                <w:b/>
                <w:color w:val="000000" w:themeColor="text1"/>
                <w:sz w:val="18"/>
                <w:szCs w:val="18"/>
                <w14:textFill>
                  <w14:solidFill>
                    <w14:schemeClr w14:val="tx1"/>
                  </w14:solidFill>
                </w14:textFill>
              </w:rPr>
            </w:pPr>
          </w:p>
        </w:tc>
        <w:tc>
          <w:tcPr>
            <w:tcW w:w="1226" w:type="dxa"/>
            <w:vMerge w:val="continue"/>
            <w:vAlign w:val="center"/>
          </w:tcPr>
          <w:p w14:paraId="1AFAEAFD">
            <w:pPr>
              <w:jc w:val="center"/>
              <w:rPr>
                <w:b/>
                <w:color w:val="000000" w:themeColor="text1"/>
                <w:sz w:val="18"/>
                <w:szCs w:val="18"/>
                <w14:textFill>
                  <w14:solidFill>
                    <w14:schemeClr w14:val="tx1"/>
                  </w14:solidFill>
                </w14:textFill>
              </w:rPr>
            </w:pPr>
          </w:p>
        </w:tc>
        <w:tc>
          <w:tcPr>
            <w:tcW w:w="3516" w:type="dxa"/>
            <w:vAlign w:val="center"/>
          </w:tcPr>
          <w:p w14:paraId="2715A1D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shd w:val="clear" w:color="auto" w:fill="auto"/>
            <w:vAlign w:val="center"/>
          </w:tcPr>
          <w:p w14:paraId="03EF465F">
            <w:pPr>
              <w:jc w:val="center"/>
              <w:rPr>
                <w:color w:val="000000" w:themeColor="text1"/>
                <w:sz w:val="18"/>
                <w:szCs w:val="18"/>
                <w14:textFill>
                  <w14:solidFill>
                    <w14:schemeClr w14:val="tx1"/>
                  </w14:solidFill>
                </w14:textFill>
              </w:rPr>
            </w:pPr>
          </w:p>
        </w:tc>
        <w:tc>
          <w:tcPr>
            <w:tcW w:w="709" w:type="dxa"/>
            <w:vAlign w:val="center"/>
          </w:tcPr>
          <w:p w14:paraId="0D6B6F0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D8E073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4-5</w:t>
            </w:r>
          </w:p>
        </w:tc>
        <w:tc>
          <w:tcPr>
            <w:tcW w:w="1045" w:type="dxa"/>
            <w:vMerge w:val="continue"/>
            <w:vAlign w:val="center"/>
          </w:tcPr>
          <w:p w14:paraId="7CB806B2">
            <w:pPr>
              <w:jc w:val="center"/>
              <w:rPr>
                <w:color w:val="000000" w:themeColor="text1"/>
                <w:sz w:val="18"/>
                <w:szCs w:val="18"/>
                <w14:textFill>
                  <w14:solidFill>
                    <w14:schemeClr w14:val="tx1"/>
                  </w14:solidFill>
                </w14:textFill>
              </w:rPr>
            </w:pPr>
          </w:p>
        </w:tc>
      </w:tr>
      <w:tr w14:paraId="1D5406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E8BCE17">
            <w:pPr>
              <w:rPr>
                <w:b/>
                <w:color w:val="000000" w:themeColor="text1"/>
                <w:sz w:val="18"/>
                <w:szCs w:val="18"/>
                <w14:textFill>
                  <w14:solidFill>
                    <w14:schemeClr w14:val="tx1"/>
                  </w14:solidFill>
                </w14:textFill>
              </w:rPr>
            </w:pPr>
          </w:p>
        </w:tc>
        <w:tc>
          <w:tcPr>
            <w:tcW w:w="1226" w:type="dxa"/>
            <w:vMerge w:val="restart"/>
            <w:vAlign w:val="center"/>
          </w:tcPr>
          <w:p w14:paraId="746DF7D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39CA92E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2B729BFC">
            <w:pPr>
              <w:jc w:val="center"/>
              <w:rPr>
                <w:color w:val="000000" w:themeColor="text1"/>
                <w:sz w:val="18"/>
                <w:szCs w:val="18"/>
                <w14:textFill>
                  <w14:solidFill>
                    <w14:schemeClr w14:val="tx1"/>
                  </w14:solidFill>
                </w14:textFill>
              </w:rPr>
            </w:pPr>
          </w:p>
        </w:tc>
        <w:tc>
          <w:tcPr>
            <w:tcW w:w="709" w:type="dxa"/>
            <w:vAlign w:val="center"/>
          </w:tcPr>
          <w:p w14:paraId="66D6D3E2">
            <w:pPr>
              <w:jc w:val="center"/>
              <w:rPr>
                <w:color w:val="000000" w:themeColor="text1"/>
                <w:sz w:val="18"/>
                <w:szCs w:val="18"/>
                <w14:textFill>
                  <w14:solidFill>
                    <w14:schemeClr w14:val="tx1"/>
                  </w14:solidFill>
                </w14:textFill>
              </w:rPr>
            </w:pPr>
          </w:p>
        </w:tc>
        <w:tc>
          <w:tcPr>
            <w:tcW w:w="709" w:type="dxa"/>
            <w:vAlign w:val="center"/>
          </w:tcPr>
          <w:p w14:paraId="5A8B6DED">
            <w:pPr>
              <w:jc w:val="center"/>
              <w:rPr>
                <w:color w:val="000000" w:themeColor="text1"/>
                <w:sz w:val="18"/>
                <w:szCs w:val="18"/>
                <w14:textFill>
                  <w14:solidFill>
                    <w14:schemeClr w14:val="tx1"/>
                  </w14:solidFill>
                </w14:textFill>
              </w:rPr>
            </w:pPr>
            <w:r>
              <w:rPr>
                <w:sz w:val="18"/>
                <w:szCs w:val="18"/>
              </w:rPr>
              <w:t>4</w:t>
            </w:r>
          </w:p>
        </w:tc>
        <w:tc>
          <w:tcPr>
            <w:tcW w:w="1045" w:type="dxa"/>
            <w:vMerge w:val="restart"/>
            <w:vAlign w:val="center"/>
          </w:tcPr>
          <w:p w14:paraId="3204FB5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42BBF3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CAE50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980A40">
            <w:pPr>
              <w:rPr>
                <w:b/>
                <w:color w:val="000000" w:themeColor="text1"/>
                <w:sz w:val="18"/>
                <w:szCs w:val="18"/>
                <w14:textFill>
                  <w14:solidFill>
                    <w14:schemeClr w14:val="tx1"/>
                  </w14:solidFill>
                </w14:textFill>
              </w:rPr>
            </w:pPr>
          </w:p>
        </w:tc>
        <w:tc>
          <w:tcPr>
            <w:tcW w:w="1226" w:type="dxa"/>
            <w:vMerge w:val="continue"/>
            <w:vAlign w:val="center"/>
          </w:tcPr>
          <w:p w14:paraId="52CE1B68">
            <w:pPr>
              <w:jc w:val="center"/>
              <w:rPr>
                <w:b/>
                <w:color w:val="000000" w:themeColor="text1"/>
                <w:sz w:val="18"/>
                <w:szCs w:val="18"/>
                <w14:textFill>
                  <w14:solidFill>
                    <w14:schemeClr w14:val="tx1"/>
                  </w14:solidFill>
                </w14:textFill>
              </w:rPr>
            </w:pPr>
          </w:p>
        </w:tc>
        <w:tc>
          <w:tcPr>
            <w:tcW w:w="3516" w:type="dxa"/>
            <w:vAlign w:val="center"/>
          </w:tcPr>
          <w:p w14:paraId="47FE3CA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7F6A6ECB">
            <w:pPr>
              <w:jc w:val="center"/>
              <w:rPr>
                <w:color w:val="000000" w:themeColor="text1"/>
                <w:sz w:val="18"/>
                <w:szCs w:val="18"/>
                <w14:textFill>
                  <w14:solidFill>
                    <w14:schemeClr w14:val="tx1"/>
                  </w14:solidFill>
                </w14:textFill>
              </w:rPr>
            </w:pPr>
          </w:p>
        </w:tc>
        <w:tc>
          <w:tcPr>
            <w:tcW w:w="709" w:type="dxa"/>
            <w:vAlign w:val="center"/>
          </w:tcPr>
          <w:p w14:paraId="3129598F">
            <w:pPr>
              <w:jc w:val="center"/>
              <w:rPr>
                <w:color w:val="000000" w:themeColor="text1"/>
                <w:sz w:val="18"/>
                <w:szCs w:val="18"/>
                <w14:textFill>
                  <w14:solidFill>
                    <w14:schemeClr w14:val="tx1"/>
                  </w14:solidFill>
                </w14:textFill>
              </w:rPr>
            </w:pPr>
          </w:p>
        </w:tc>
        <w:tc>
          <w:tcPr>
            <w:tcW w:w="709" w:type="dxa"/>
            <w:vAlign w:val="center"/>
          </w:tcPr>
          <w:p w14:paraId="1A5D8783">
            <w:pPr>
              <w:jc w:val="center"/>
              <w:rPr>
                <w:sz w:val="18"/>
                <w:szCs w:val="18"/>
              </w:rPr>
            </w:pPr>
            <w:r>
              <w:rPr>
                <w:sz w:val="18"/>
                <w:szCs w:val="18"/>
              </w:rPr>
              <w:t>4</w:t>
            </w:r>
          </w:p>
        </w:tc>
        <w:tc>
          <w:tcPr>
            <w:tcW w:w="1045" w:type="dxa"/>
            <w:vMerge w:val="continue"/>
            <w:vAlign w:val="center"/>
          </w:tcPr>
          <w:p w14:paraId="112467C9">
            <w:pPr>
              <w:jc w:val="center"/>
              <w:rPr>
                <w:color w:val="000000" w:themeColor="text1"/>
                <w:sz w:val="18"/>
                <w:szCs w:val="18"/>
                <w14:textFill>
                  <w14:solidFill>
                    <w14:schemeClr w14:val="tx1"/>
                  </w14:solidFill>
                </w14:textFill>
              </w:rPr>
            </w:pPr>
          </w:p>
        </w:tc>
      </w:tr>
      <w:tr w14:paraId="09D59A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5421F7">
            <w:pPr>
              <w:rPr>
                <w:b/>
                <w:color w:val="000000" w:themeColor="text1"/>
                <w:sz w:val="18"/>
                <w:szCs w:val="18"/>
                <w14:textFill>
                  <w14:solidFill>
                    <w14:schemeClr w14:val="tx1"/>
                  </w14:solidFill>
                </w14:textFill>
              </w:rPr>
            </w:pPr>
          </w:p>
        </w:tc>
        <w:tc>
          <w:tcPr>
            <w:tcW w:w="1226" w:type="dxa"/>
            <w:vMerge w:val="continue"/>
            <w:vAlign w:val="center"/>
          </w:tcPr>
          <w:p w14:paraId="64A7A8D1">
            <w:pPr>
              <w:jc w:val="center"/>
              <w:rPr>
                <w:b/>
                <w:color w:val="000000" w:themeColor="text1"/>
                <w:sz w:val="18"/>
                <w:szCs w:val="18"/>
                <w14:textFill>
                  <w14:solidFill>
                    <w14:schemeClr w14:val="tx1"/>
                  </w14:solidFill>
                </w14:textFill>
              </w:rPr>
            </w:pPr>
          </w:p>
        </w:tc>
        <w:tc>
          <w:tcPr>
            <w:tcW w:w="3516" w:type="dxa"/>
            <w:vAlign w:val="center"/>
          </w:tcPr>
          <w:p w14:paraId="0F043A96">
            <w:pPr>
              <w:rPr>
                <w:sz w:val="18"/>
                <w:szCs w:val="18"/>
              </w:rPr>
            </w:pPr>
            <w:r>
              <w:rPr>
                <w:sz w:val="18"/>
                <w:szCs w:val="18"/>
              </w:rPr>
              <w:t>论文中期进展报告</w:t>
            </w:r>
          </w:p>
        </w:tc>
        <w:tc>
          <w:tcPr>
            <w:tcW w:w="1081" w:type="dxa"/>
            <w:vAlign w:val="center"/>
          </w:tcPr>
          <w:p w14:paraId="30484C1C">
            <w:pPr>
              <w:jc w:val="center"/>
              <w:rPr>
                <w:color w:val="000000" w:themeColor="text1"/>
                <w:sz w:val="18"/>
                <w:szCs w:val="18"/>
                <w14:textFill>
                  <w14:solidFill>
                    <w14:schemeClr w14:val="tx1"/>
                  </w14:solidFill>
                </w14:textFill>
              </w:rPr>
            </w:pPr>
          </w:p>
        </w:tc>
        <w:tc>
          <w:tcPr>
            <w:tcW w:w="709" w:type="dxa"/>
            <w:vAlign w:val="center"/>
          </w:tcPr>
          <w:p w14:paraId="609C89D0">
            <w:pPr>
              <w:jc w:val="center"/>
              <w:rPr>
                <w:color w:val="000000" w:themeColor="text1"/>
                <w:sz w:val="18"/>
                <w:szCs w:val="18"/>
                <w14:textFill>
                  <w14:solidFill>
                    <w14:schemeClr w14:val="tx1"/>
                  </w14:solidFill>
                </w14:textFill>
              </w:rPr>
            </w:pPr>
          </w:p>
        </w:tc>
        <w:tc>
          <w:tcPr>
            <w:tcW w:w="709" w:type="dxa"/>
            <w:vAlign w:val="center"/>
          </w:tcPr>
          <w:p w14:paraId="705FE0E1">
            <w:pPr>
              <w:jc w:val="center"/>
              <w:rPr>
                <w:sz w:val="18"/>
                <w:szCs w:val="18"/>
              </w:rPr>
            </w:pPr>
            <w:r>
              <w:rPr>
                <w:sz w:val="18"/>
                <w:szCs w:val="18"/>
              </w:rPr>
              <w:t>5</w:t>
            </w:r>
          </w:p>
        </w:tc>
        <w:tc>
          <w:tcPr>
            <w:tcW w:w="1045" w:type="dxa"/>
            <w:vMerge w:val="continue"/>
          </w:tcPr>
          <w:p w14:paraId="2942FC4B">
            <w:pPr>
              <w:jc w:val="center"/>
              <w:rPr>
                <w:color w:val="000000" w:themeColor="text1"/>
                <w:sz w:val="18"/>
                <w:szCs w:val="18"/>
                <w14:textFill>
                  <w14:solidFill>
                    <w14:schemeClr w14:val="tx1"/>
                  </w14:solidFill>
                </w14:textFill>
              </w:rPr>
            </w:pPr>
          </w:p>
        </w:tc>
      </w:tr>
      <w:tr w14:paraId="2CA801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285642E">
            <w:pPr>
              <w:rPr>
                <w:b/>
                <w:color w:val="000000" w:themeColor="text1"/>
                <w:sz w:val="18"/>
                <w:szCs w:val="18"/>
                <w14:textFill>
                  <w14:solidFill>
                    <w14:schemeClr w14:val="tx1"/>
                  </w14:solidFill>
                </w14:textFill>
              </w:rPr>
            </w:pPr>
          </w:p>
        </w:tc>
        <w:tc>
          <w:tcPr>
            <w:tcW w:w="1226" w:type="dxa"/>
            <w:vMerge w:val="continue"/>
            <w:vAlign w:val="center"/>
          </w:tcPr>
          <w:p w14:paraId="32613445">
            <w:pPr>
              <w:jc w:val="center"/>
              <w:rPr>
                <w:b/>
                <w:color w:val="000000" w:themeColor="text1"/>
                <w:sz w:val="18"/>
                <w:szCs w:val="18"/>
                <w14:textFill>
                  <w14:solidFill>
                    <w14:schemeClr w14:val="tx1"/>
                  </w14:solidFill>
                </w14:textFill>
              </w:rPr>
            </w:pPr>
          </w:p>
        </w:tc>
        <w:tc>
          <w:tcPr>
            <w:tcW w:w="3516" w:type="dxa"/>
            <w:vAlign w:val="center"/>
          </w:tcPr>
          <w:p w14:paraId="561F02B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7EB75960">
            <w:pPr>
              <w:jc w:val="center"/>
              <w:rPr>
                <w:color w:val="000000" w:themeColor="text1"/>
                <w:sz w:val="18"/>
                <w:szCs w:val="18"/>
                <w14:textFill>
                  <w14:solidFill>
                    <w14:schemeClr w14:val="tx1"/>
                  </w14:solidFill>
                </w14:textFill>
              </w:rPr>
            </w:pPr>
          </w:p>
        </w:tc>
        <w:tc>
          <w:tcPr>
            <w:tcW w:w="709" w:type="dxa"/>
            <w:vAlign w:val="center"/>
          </w:tcPr>
          <w:p w14:paraId="5AECBB99">
            <w:pPr>
              <w:jc w:val="center"/>
              <w:rPr>
                <w:color w:val="000000" w:themeColor="text1"/>
                <w:sz w:val="18"/>
                <w:szCs w:val="18"/>
                <w14:textFill>
                  <w14:solidFill>
                    <w14:schemeClr w14:val="tx1"/>
                  </w14:solidFill>
                </w14:textFill>
              </w:rPr>
            </w:pPr>
          </w:p>
        </w:tc>
        <w:tc>
          <w:tcPr>
            <w:tcW w:w="709" w:type="dxa"/>
            <w:vAlign w:val="center"/>
          </w:tcPr>
          <w:p w14:paraId="46E5C302">
            <w:pPr>
              <w:jc w:val="center"/>
              <w:rPr>
                <w:sz w:val="18"/>
                <w:szCs w:val="18"/>
              </w:rPr>
            </w:pPr>
            <w:r>
              <w:rPr>
                <w:sz w:val="18"/>
                <w:szCs w:val="18"/>
              </w:rPr>
              <w:t>5</w:t>
            </w:r>
          </w:p>
        </w:tc>
        <w:tc>
          <w:tcPr>
            <w:tcW w:w="1045" w:type="dxa"/>
            <w:vMerge w:val="continue"/>
          </w:tcPr>
          <w:p w14:paraId="7777092D">
            <w:pPr>
              <w:jc w:val="center"/>
              <w:rPr>
                <w:color w:val="000000" w:themeColor="text1"/>
                <w:sz w:val="18"/>
                <w:szCs w:val="18"/>
                <w14:textFill>
                  <w14:solidFill>
                    <w14:schemeClr w14:val="tx1"/>
                  </w14:solidFill>
                </w14:textFill>
              </w:rPr>
            </w:pPr>
          </w:p>
        </w:tc>
      </w:tr>
      <w:tr w14:paraId="0C868E7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446CDD9">
            <w:pPr>
              <w:rPr>
                <w:color w:val="000000" w:themeColor="text1"/>
                <w:sz w:val="18"/>
                <w:szCs w:val="18"/>
                <w14:textFill>
                  <w14:solidFill>
                    <w14:schemeClr w14:val="tx1"/>
                  </w14:solidFill>
                </w14:textFill>
              </w:rPr>
            </w:pPr>
          </w:p>
        </w:tc>
        <w:tc>
          <w:tcPr>
            <w:tcW w:w="1226" w:type="dxa"/>
            <w:vMerge w:val="continue"/>
          </w:tcPr>
          <w:p w14:paraId="6B53E6BB">
            <w:pPr>
              <w:jc w:val="center"/>
              <w:rPr>
                <w:color w:val="000000" w:themeColor="text1"/>
                <w:sz w:val="18"/>
                <w:szCs w:val="18"/>
                <w14:textFill>
                  <w14:solidFill>
                    <w14:schemeClr w14:val="tx1"/>
                  </w14:solidFill>
                </w14:textFill>
              </w:rPr>
            </w:pPr>
          </w:p>
        </w:tc>
        <w:tc>
          <w:tcPr>
            <w:tcW w:w="3516" w:type="dxa"/>
            <w:vAlign w:val="center"/>
          </w:tcPr>
          <w:p w14:paraId="0CC7792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5B800304">
            <w:pPr>
              <w:jc w:val="center"/>
              <w:rPr>
                <w:color w:val="000000" w:themeColor="text1"/>
                <w:sz w:val="18"/>
                <w:szCs w:val="18"/>
                <w14:textFill>
                  <w14:solidFill>
                    <w14:schemeClr w14:val="tx1"/>
                  </w14:solidFill>
                </w14:textFill>
              </w:rPr>
            </w:pPr>
          </w:p>
        </w:tc>
        <w:tc>
          <w:tcPr>
            <w:tcW w:w="709" w:type="dxa"/>
            <w:vAlign w:val="center"/>
          </w:tcPr>
          <w:p w14:paraId="5900AA96">
            <w:pPr>
              <w:jc w:val="center"/>
              <w:rPr>
                <w:color w:val="000000" w:themeColor="text1"/>
                <w:sz w:val="18"/>
                <w:szCs w:val="18"/>
                <w14:textFill>
                  <w14:solidFill>
                    <w14:schemeClr w14:val="tx1"/>
                  </w14:solidFill>
                </w14:textFill>
              </w:rPr>
            </w:pPr>
          </w:p>
        </w:tc>
        <w:tc>
          <w:tcPr>
            <w:tcW w:w="709" w:type="dxa"/>
            <w:vAlign w:val="center"/>
          </w:tcPr>
          <w:p w14:paraId="099D192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6ADBC7A2">
            <w:pPr>
              <w:jc w:val="center"/>
              <w:rPr>
                <w:color w:val="000000" w:themeColor="text1"/>
                <w:sz w:val="18"/>
                <w:szCs w:val="18"/>
                <w14:textFill>
                  <w14:solidFill>
                    <w14:schemeClr w14:val="tx1"/>
                  </w14:solidFill>
                </w14:textFill>
              </w:rPr>
            </w:pPr>
          </w:p>
        </w:tc>
      </w:tr>
      <w:tr w14:paraId="0C6B05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13FB0B">
            <w:pPr>
              <w:rPr>
                <w:color w:val="000000" w:themeColor="text1"/>
                <w:sz w:val="18"/>
                <w:szCs w:val="18"/>
                <w14:textFill>
                  <w14:solidFill>
                    <w14:schemeClr w14:val="tx1"/>
                  </w14:solidFill>
                </w14:textFill>
              </w:rPr>
            </w:pPr>
          </w:p>
        </w:tc>
        <w:tc>
          <w:tcPr>
            <w:tcW w:w="1226" w:type="dxa"/>
            <w:vMerge w:val="continue"/>
          </w:tcPr>
          <w:p w14:paraId="169294FD">
            <w:pPr>
              <w:jc w:val="center"/>
              <w:rPr>
                <w:color w:val="000000" w:themeColor="text1"/>
                <w:sz w:val="18"/>
                <w:szCs w:val="18"/>
                <w14:textFill>
                  <w14:solidFill>
                    <w14:schemeClr w14:val="tx1"/>
                  </w14:solidFill>
                </w14:textFill>
              </w:rPr>
            </w:pPr>
          </w:p>
        </w:tc>
        <w:tc>
          <w:tcPr>
            <w:tcW w:w="3516" w:type="dxa"/>
            <w:vAlign w:val="center"/>
          </w:tcPr>
          <w:p w14:paraId="106A660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5CD91C9E">
            <w:pPr>
              <w:jc w:val="center"/>
              <w:rPr>
                <w:color w:val="000000" w:themeColor="text1"/>
                <w:sz w:val="18"/>
                <w:szCs w:val="18"/>
                <w14:textFill>
                  <w14:solidFill>
                    <w14:schemeClr w14:val="tx1"/>
                  </w14:solidFill>
                </w14:textFill>
              </w:rPr>
            </w:pPr>
          </w:p>
        </w:tc>
        <w:tc>
          <w:tcPr>
            <w:tcW w:w="709" w:type="dxa"/>
            <w:vAlign w:val="center"/>
          </w:tcPr>
          <w:p w14:paraId="102BBFD4">
            <w:pPr>
              <w:jc w:val="center"/>
              <w:rPr>
                <w:color w:val="000000" w:themeColor="text1"/>
                <w:sz w:val="18"/>
                <w:szCs w:val="18"/>
                <w14:textFill>
                  <w14:solidFill>
                    <w14:schemeClr w14:val="tx1"/>
                  </w14:solidFill>
                </w14:textFill>
              </w:rPr>
            </w:pPr>
          </w:p>
        </w:tc>
        <w:tc>
          <w:tcPr>
            <w:tcW w:w="709" w:type="dxa"/>
            <w:vAlign w:val="center"/>
          </w:tcPr>
          <w:p w14:paraId="796AE71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1530CE67">
            <w:pPr>
              <w:jc w:val="center"/>
              <w:rPr>
                <w:color w:val="000000" w:themeColor="text1"/>
                <w:sz w:val="18"/>
                <w:szCs w:val="18"/>
                <w14:textFill>
                  <w14:solidFill>
                    <w14:schemeClr w14:val="tx1"/>
                  </w14:solidFill>
                </w14:textFill>
              </w:rPr>
            </w:pPr>
          </w:p>
        </w:tc>
      </w:tr>
    </w:tbl>
    <w:p w14:paraId="00CF645D">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2F4A02A7">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2C02A7C">
      <w:pPr>
        <w:spacing w:line="440" w:lineRule="exact"/>
        <w:ind w:firstLine="480" w:firstLineChars="200"/>
        <w:rPr>
          <w:rFonts w:eastAsiaTheme="minorEastAsia"/>
          <w:bCs/>
          <w:sz w:val="24"/>
        </w:rPr>
      </w:pPr>
      <w:r>
        <w:rPr>
          <w:rFonts w:eastAsiaTheme="minorEastAsia"/>
          <w:bCs/>
          <w:sz w:val="24"/>
        </w:rPr>
        <w:t>1.</w:t>
      </w:r>
      <w:r>
        <w:rPr>
          <w:rFonts w:hint="eastAsia" w:eastAsiaTheme="minorEastAsia"/>
          <w:bCs/>
          <w:sz w:val="24"/>
        </w:rPr>
        <w:t xml:space="preserve"> 学位课为一级学科下所有专业方向的必修课程。必修环节为研究生培养过程中必须完成的培养活动。</w:t>
      </w:r>
    </w:p>
    <w:p w14:paraId="012AD59B">
      <w:pPr>
        <w:spacing w:line="440" w:lineRule="exact"/>
        <w:ind w:firstLine="480" w:firstLineChars="200"/>
        <w:rPr>
          <w:rFonts w:eastAsiaTheme="minorEastAsia"/>
          <w:bCs/>
          <w:sz w:val="24"/>
        </w:rPr>
      </w:pPr>
      <w:r>
        <w:rPr>
          <w:rFonts w:hint="eastAsia" w:eastAsiaTheme="minorEastAsia"/>
          <w:bCs/>
          <w:sz w:val="24"/>
        </w:rPr>
        <w:t>2</w:t>
      </w:r>
      <w:r>
        <w:rPr>
          <w:rFonts w:eastAsiaTheme="minorEastAsia"/>
          <w:bCs/>
          <w:sz w:val="24"/>
        </w:rPr>
        <w:t>. 非学位课中的公共通识课为</w:t>
      </w:r>
      <w:r>
        <w:rPr>
          <w:rFonts w:hint="eastAsia" w:eastAsiaTheme="minorEastAsia"/>
          <w:bCs/>
          <w:sz w:val="24"/>
        </w:rPr>
        <w:t>必选课程。</w:t>
      </w:r>
    </w:p>
    <w:p w14:paraId="730D42EA">
      <w:pPr>
        <w:spacing w:line="440" w:lineRule="exact"/>
        <w:ind w:firstLine="480" w:firstLineChars="200"/>
        <w:rPr>
          <w:rFonts w:eastAsiaTheme="minorEastAsia"/>
          <w:bCs/>
          <w:sz w:val="24"/>
        </w:rPr>
      </w:pPr>
      <w:r>
        <w:rPr>
          <w:rFonts w:hint="eastAsia" w:eastAsiaTheme="minorEastAsia"/>
          <w:bCs/>
          <w:sz w:val="24"/>
        </w:rPr>
        <w:t>3</w:t>
      </w:r>
      <w:r>
        <w:rPr>
          <w:rFonts w:eastAsiaTheme="minorEastAsia"/>
          <w:bCs/>
          <w:sz w:val="24"/>
        </w:rPr>
        <w:t>.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29094764"/>
    </w:sdtPr>
    <w:sdtContent>
      <w:p w14:paraId="2A80EB5E">
        <w:pPr>
          <w:pStyle w:val="2"/>
          <w:jc w:val="center"/>
        </w:pPr>
        <w:r>
          <w:fldChar w:fldCharType="begin"/>
        </w:r>
        <w:r>
          <w:instrText xml:space="preserve">PAGE   \* MERGEFORMAT</w:instrText>
        </w:r>
        <w:r>
          <w:fldChar w:fldCharType="separate"/>
        </w:r>
        <w:r>
          <w:rPr>
            <w:lang w:val="zh-CN"/>
          </w:rPr>
          <w:t>5</w:t>
        </w:r>
        <w:r>
          <w:fldChar w:fldCharType="end"/>
        </w:r>
      </w:p>
    </w:sdtContent>
  </w:sdt>
  <w:p w14:paraId="418FE6B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BB8"/>
    <w:rsid w:val="000B4D89"/>
    <w:rsid w:val="00115DF3"/>
    <w:rsid w:val="0014155C"/>
    <w:rsid w:val="001809F6"/>
    <w:rsid w:val="001C35FF"/>
    <w:rsid w:val="001D7194"/>
    <w:rsid w:val="00211A27"/>
    <w:rsid w:val="00243463"/>
    <w:rsid w:val="00262D86"/>
    <w:rsid w:val="00283E3E"/>
    <w:rsid w:val="00361CF5"/>
    <w:rsid w:val="00367E9D"/>
    <w:rsid w:val="00380D4C"/>
    <w:rsid w:val="00392BB8"/>
    <w:rsid w:val="00397FA6"/>
    <w:rsid w:val="00402C4E"/>
    <w:rsid w:val="00447A8D"/>
    <w:rsid w:val="004A1AC5"/>
    <w:rsid w:val="004B61E0"/>
    <w:rsid w:val="004C18D4"/>
    <w:rsid w:val="0054317C"/>
    <w:rsid w:val="00580523"/>
    <w:rsid w:val="00583396"/>
    <w:rsid w:val="00676327"/>
    <w:rsid w:val="006B1EEA"/>
    <w:rsid w:val="006F7DB1"/>
    <w:rsid w:val="00765FBC"/>
    <w:rsid w:val="007874FC"/>
    <w:rsid w:val="007D411F"/>
    <w:rsid w:val="008260CD"/>
    <w:rsid w:val="008A4949"/>
    <w:rsid w:val="008B49B7"/>
    <w:rsid w:val="008C09CC"/>
    <w:rsid w:val="008C462C"/>
    <w:rsid w:val="008E6542"/>
    <w:rsid w:val="008E7CAD"/>
    <w:rsid w:val="008F12BD"/>
    <w:rsid w:val="009204E9"/>
    <w:rsid w:val="009369D0"/>
    <w:rsid w:val="00975458"/>
    <w:rsid w:val="00997007"/>
    <w:rsid w:val="009D4A93"/>
    <w:rsid w:val="009E5B92"/>
    <w:rsid w:val="00A938E7"/>
    <w:rsid w:val="00AB043E"/>
    <w:rsid w:val="00AD7876"/>
    <w:rsid w:val="00AF04AE"/>
    <w:rsid w:val="00B336A3"/>
    <w:rsid w:val="00B75A98"/>
    <w:rsid w:val="00BB6AC7"/>
    <w:rsid w:val="00BE492D"/>
    <w:rsid w:val="00C41F35"/>
    <w:rsid w:val="00C424CD"/>
    <w:rsid w:val="00C733EC"/>
    <w:rsid w:val="00D24236"/>
    <w:rsid w:val="00D416F7"/>
    <w:rsid w:val="00DA0259"/>
    <w:rsid w:val="00DB0B5A"/>
    <w:rsid w:val="00DB45BA"/>
    <w:rsid w:val="00DB7992"/>
    <w:rsid w:val="00E01E26"/>
    <w:rsid w:val="00E073A7"/>
    <w:rsid w:val="00E3709E"/>
    <w:rsid w:val="00E447D8"/>
    <w:rsid w:val="00F8058D"/>
    <w:rsid w:val="00FA578D"/>
    <w:rsid w:val="025153F8"/>
    <w:rsid w:val="026003DA"/>
    <w:rsid w:val="040A2CF3"/>
    <w:rsid w:val="085F37E6"/>
    <w:rsid w:val="0C140DB6"/>
    <w:rsid w:val="0E8004E8"/>
    <w:rsid w:val="15A80551"/>
    <w:rsid w:val="1F884DA0"/>
    <w:rsid w:val="2AF72431"/>
    <w:rsid w:val="2C0B1233"/>
    <w:rsid w:val="2C7B1B7F"/>
    <w:rsid w:val="407E705F"/>
    <w:rsid w:val="4AD14F9E"/>
    <w:rsid w:val="4C804D7B"/>
    <w:rsid w:val="52630101"/>
    <w:rsid w:val="5DA84284"/>
    <w:rsid w:val="601B4AB2"/>
    <w:rsid w:val="66650F64"/>
    <w:rsid w:val="779E2F73"/>
    <w:rsid w:val="7C2A2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3358</Words>
  <Characters>3562</Characters>
  <Lines>27</Lines>
  <Paragraphs>7</Paragraphs>
  <TotalTime>12</TotalTime>
  <ScaleCrop>false</ScaleCrop>
  <LinksUpToDate>false</LinksUpToDate>
  <CharactersWithSpaces>3582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2025-04-30T07:23:00Z</dcterms:created>
  <dc:creator>zhao</dc:creator>
  <cp:lastModifiedBy>A宋宋</cp:lastModifiedBy>
  <dcterms:modified xsi:type="dcterms:W3CDTF">2025-06-16T08:13:12Z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eyJoZGlkIjoiNTRlMmI4MzVlYjZjZDdhYmNmOTUwMTcwODNhY2JlYzciLCJ1c2VySWQiOiIxMDI1OTcxODgyIn0=</vt:lpwstr>
  </property>
  <property fmtid="{D5CDD505-2E9C-101B-9397-08002B2CF9AE}" pid="3" name="KSOProductBuildVer">
    <vt:lpwstr>2052-12.1.0.21171</vt:lpwstr>
  </property>
  <property fmtid="{D5CDD505-2E9C-101B-9397-08002B2CF9AE}" pid="4" name="ICV">
    <vt:lpwstr>7D0294C2796B4083A45E79B705F71AB4_12</vt:lpwstr>
  </property>
</Properties>
</file>