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8288EA">
      <w:pPr>
        <w:ind w:left="321" w:leftChars="153" w:right="227"/>
        <w:jc w:val="center"/>
        <w:rPr>
          <w:rFonts w:eastAsia="黑体"/>
          <w:b/>
          <w:bCs/>
          <w:sz w:val="36"/>
          <w:szCs w:val="36"/>
        </w:rPr>
      </w:pPr>
      <w:r>
        <w:rPr>
          <w:rFonts w:hint="eastAsia" w:eastAsia="黑体"/>
          <w:b/>
          <w:bCs/>
          <w:sz w:val="36"/>
          <w:szCs w:val="36"/>
          <w:u w:val="single"/>
        </w:rPr>
        <w:t>逻辑</w:t>
      </w:r>
      <w:r>
        <w:rPr>
          <w:rFonts w:eastAsia="黑体"/>
          <w:b/>
          <w:bCs/>
          <w:sz w:val="36"/>
          <w:szCs w:val="36"/>
          <w:u w:val="single"/>
        </w:rPr>
        <w:t>学</w:t>
      </w:r>
      <w:r>
        <w:rPr>
          <w:rFonts w:eastAsia="黑体"/>
          <w:b/>
          <w:bCs/>
          <w:sz w:val="36"/>
          <w:szCs w:val="36"/>
        </w:rPr>
        <w:t>专业学术学位硕士研究生培养方案</w:t>
      </w:r>
    </w:p>
    <w:p w14:paraId="16CB6E20">
      <w:pPr>
        <w:ind w:left="321" w:leftChars="153" w:right="227"/>
        <w:jc w:val="center"/>
        <w:rPr>
          <w:rFonts w:eastAsia="黑体"/>
          <w:b/>
          <w:bCs/>
          <w:sz w:val="28"/>
          <w:szCs w:val="28"/>
        </w:rPr>
      </w:pPr>
      <w:r>
        <w:rPr>
          <w:rFonts w:eastAsia="黑体"/>
          <w:b/>
          <w:bCs/>
          <w:sz w:val="28"/>
          <w:szCs w:val="28"/>
        </w:rPr>
        <w:t>（哲学与社会学学院)</w:t>
      </w:r>
    </w:p>
    <w:p w14:paraId="113CA7AA">
      <w:pPr>
        <w:spacing w:line="360" w:lineRule="auto"/>
        <w:ind w:firstLine="560" w:firstLineChars="20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一、专业名称、代码</w:t>
      </w:r>
    </w:p>
    <w:p w14:paraId="5EF8D037">
      <w:pPr>
        <w:widowControl/>
        <w:spacing w:line="360" w:lineRule="auto"/>
        <w:ind w:firstLine="960" w:firstLineChars="400"/>
        <w:jc w:val="left"/>
        <w:rPr>
          <w:color w:val="222222"/>
          <w:kern w:val="0"/>
          <w:sz w:val="18"/>
          <w:szCs w:val="18"/>
        </w:rPr>
      </w:pPr>
      <w:r>
        <w:rPr>
          <w:color w:val="222222"/>
          <w:kern w:val="0"/>
          <w:sz w:val="24"/>
        </w:rPr>
        <w:t>专业名称：</w:t>
      </w:r>
      <w:r>
        <w:rPr>
          <w:rFonts w:hint="eastAsia"/>
          <w:color w:val="222222"/>
          <w:kern w:val="0"/>
          <w:sz w:val="24"/>
        </w:rPr>
        <w:t>逻辑学</w:t>
      </w:r>
    </w:p>
    <w:p w14:paraId="0A58B54F">
      <w:pPr>
        <w:widowControl/>
        <w:spacing w:line="360" w:lineRule="auto"/>
        <w:ind w:firstLine="960" w:firstLineChars="400"/>
        <w:jc w:val="left"/>
        <w:rPr>
          <w:color w:val="222222"/>
          <w:kern w:val="0"/>
          <w:sz w:val="18"/>
          <w:szCs w:val="18"/>
        </w:rPr>
      </w:pPr>
      <w:r>
        <w:rPr>
          <w:color w:val="222222"/>
          <w:kern w:val="0"/>
          <w:sz w:val="24"/>
        </w:rPr>
        <w:t>专业代码：0101</w:t>
      </w:r>
      <w:r>
        <w:rPr>
          <w:rFonts w:hint="eastAsia"/>
          <w:color w:val="222222"/>
          <w:kern w:val="0"/>
          <w:sz w:val="24"/>
        </w:rPr>
        <w:t>04</w:t>
      </w:r>
    </w:p>
    <w:p w14:paraId="08305DB0">
      <w:pPr>
        <w:spacing w:line="360" w:lineRule="auto"/>
        <w:ind w:firstLine="560" w:firstLineChars="200"/>
        <w:rPr>
          <w:rFonts w:eastAsia="黑体"/>
          <w:bCs/>
          <w:i/>
          <w:color w:val="FF0000"/>
          <w:sz w:val="28"/>
          <w:szCs w:val="28"/>
        </w:rPr>
      </w:pPr>
      <w:r>
        <w:rPr>
          <w:rFonts w:eastAsia="黑体"/>
          <w:bCs/>
          <w:sz w:val="28"/>
          <w:szCs w:val="28"/>
        </w:rPr>
        <w:t>二、</w:t>
      </w:r>
      <w:r>
        <w:rPr>
          <w:rFonts w:eastAsia="黑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专业简介</w:t>
      </w:r>
    </w:p>
    <w:p w14:paraId="2E5B9C6B">
      <w:pPr>
        <w:spacing w:line="360" w:lineRule="auto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河北大学哲学学科是河北省唯一学科层次齐全的学科，是河北省哲学学科人才培养基地、人才聚集高地、科学研究基地。1955年设立哲学本科专业。逻辑学学科是河北大学哲学学科的重要分支，在河北大学哲学学科中居于重要地位。2005年经国务院学位委员会批准，设立逻辑学硕士学位授权点。2011年获批一级学科博士点、一级学科硕士点，2012年获批博士后流动站，逻辑学都是起主要支撑作用的二级学科。逻辑学学科拥有实力比较雄厚的师资队伍，学科团队6位成员全部具有重点大学博士学位，目前有2位教授，4位副教授。其中，1人兼任中国逻辑学会（国家一级学会）副会长，2人兼任常务理事，4人兼任理事；1人兼任河北省哲学学会副会长，1人兼任河北省自然辩证法学会副会长。在现代逻辑、逻辑哲学、哲学逻辑等研究领域，在河北省处于领先地位，在国内具有较大影响。</w:t>
      </w:r>
    </w:p>
    <w:p w14:paraId="48C2F733">
      <w:pPr>
        <w:spacing w:line="360" w:lineRule="auto"/>
        <w:ind w:firstLine="560" w:firstLineChars="20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三、研究方向</w:t>
      </w:r>
    </w:p>
    <w:p w14:paraId="18F3C893">
      <w:pPr>
        <w:widowControl/>
        <w:spacing w:line="360" w:lineRule="auto"/>
        <w:ind w:firstLine="480" w:firstLineChars="200"/>
        <w:jc w:val="left"/>
        <w:rPr>
          <w:rFonts w:eastAsiaTheme="minorEastAsia"/>
          <w:color w:val="FF0000"/>
          <w:sz w:val="24"/>
        </w:rPr>
      </w:pPr>
      <w:r>
        <w:rPr>
          <w:rFonts w:hint="eastAsia" w:eastAsiaTheme="minorEastAsia"/>
          <w:sz w:val="24"/>
        </w:rPr>
        <w:t>逻辑学专业下设三个主要研究方向。</w:t>
      </w:r>
    </w:p>
    <w:p w14:paraId="5B628006">
      <w:pPr>
        <w:widowControl/>
        <w:spacing w:line="360" w:lineRule="auto"/>
        <w:ind w:firstLine="480" w:firstLineChars="200"/>
        <w:jc w:val="left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第一，现代逻辑与逻辑哲学研究。以现代逻辑为理论基础，以一阶逻辑为主要研究方法，以当代逻辑哲学前沿问题为重点，深入探讨以意义理论为核心的现代逻辑中的哲学问题。深入研究意义理论的各种形态、历史及其发展趋势，意义理论与真理理论的关系；深入研究逻辑本体论、逻辑认识论和逻辑方法论；注重研究现当代著名逻辑学家尤其是弗雷格、罗素、达米特等人的逻辑哲学思想，探讨逻辑哲学与现代逻辑发展的内在关联。</w:t>
      </w:r>
    </w:p>
    <w:p w14:paraId="6CD6511A">
      <w:pPr>
        <w:widowControl/>
        <w:spacing w:line="360" w:lineRule="auto"/>
        <w:ind w:firstLine="480" w:firstLineChars="200"/>
        <w:jc w:val="left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第二，哲学逻辑与逻辑应用研究。关注逻辑系统与哲学问题的互动研究，哲学逻辑中各种非经典逻辑系统及其哲学问题，传统模态逻辑的哲学问题，如经典一阶逻辑原则失效问题、本质主义哲学纷争问题、可能世界的哲学纷争问题等。关注逻辑应用中的各种应用逻辑系统，特别是现代逻辑在计算与人工智能、语言与认知科学等领域的应用研究，以及模态哲学、模态认识论中的相关问题。</w:t>
      </w:r>
    </w:p>
    <w:p w14:paraId="0AC1D106">
      <w:pPr>
        <w:spacing w:line="360" w:lineRule="auto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第三，归纳逻辑和人工智能逻辑研究。关注归纳逻辑发展史，尤其是归纳逻辑代表性人物思想研究，关注当代归纳逻辑领域的前沿问题研究。关注人工智能逻辑的前沿问题，运用形式化方法，研究智能系统的知识表示与推理，为人工智能核心问题提供逻辑基础与哲学反思。深入探讨非单调逻辑、不确定性推理、贝叶斯与因果推理等议题，旨在运用逻辑工具研究动态知识修正、不确定性信息表征、因果学习的归纳机制等问题。</w:t>
      </w:r>
    </w:p>
    <w:p w14:paraId="044F797D">
      <w:pPr>
        <w:spacing w:line="360" w:lineRule="auto"/>
        <w:ind w:firstLine="560" w:firstLineChars="20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四、学制及学习年限</w:t>
      </w:r>
    </w:p>
    <w:p w14:paraId="77F45918">
      <w:pPr>
        <w:spacing w:line="360" w:lineRule="auto"/>
        <w:ind w:firstLine="480" w:firstLineChars="200"/>
        <w:rPr>
          <w:rFonts w:eastAsiaTheme="minorEastAsia"/>
          <w:i/>
          <w:color w:val="FF0000"/>
          <w:sz w:val="24"/>
        </w:rPr>
      </w:pPr>
      <w:r>
        <w:rPr>
          <w:rFonts w:eastAsiaTheme="minorEastAsia"/>
          <w:color w:val="000000"/>
          <w:sz w:val="24"/>
        </w:rPr>
        <w:t>本专业学制为3年，在校最长学习年限（含休学）不超过6年。</w:t>
      </w:r>
    </w:p>
    <w:p w14:paraId="740ADFC2">
      <w:pPr>
        <w:spacing w:line="360" w:lineRule="auto"/>
        <w:ind w:firstLine="560" w:firstLineChars="20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五、培养目标</w:t>
      </w:r>
    </w:p>
    <w:p w14:paraId="64F4FB46">
      <w:pPr>
        <w:spacing w:line="360" w:lineRule="auto"/>
        <w:ind w:firstLine="480"/>
        <w:rPr>
          <w:rFonts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1.</w:t>
      </w:r>
      <w:r>
        <w:rPr>
          <w:rFonts w:hint="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树立正确的中国特色社会主义核心价值观，具有坚定的理想信念，高尚的道德情操，优良的学术作风，高度的社会责任感。</w:t>
      </w:r>
    </w:p>
    <w:p w14:paraId="2558958E">
      <w:pPr>
        <w:spacing w:line="360" w:lineRule="auto"/>
        <w:ind w:firstLine="480"/>
        <w:rPr>
          <w:rFonts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2.</w:t>
      </w:r>
      <w:r>
        <w:rPr>
          <w:rFonts w:hint="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掌握</w:t>
      </w:r>
      <w:r>
        <w:rPr>
          <w:rFonts w:hint="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逻辑学学科</w:t>
      </w:r>
      <w:r>
        <w:rPr>
          <w:rFonts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坚实的基础理论和系统的专门知识，</w:t>
      </w:r>
      <w:r>
        <w:rPr>
          <w:rFonts w:hint="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熟悉逻辑学学科的主要原典和基本资料</w:t>
      </w:r>
      <w:r>
        <w:rPr>
          <w:rFonts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，熟悉本学科的前沿研究领域，具有独立从事科学研究和解决实际问题的能力。</w:t>
      </w:r>
    </w:p>
    <w:p w14:paraId="526E3C5B">
      <w:pPr>
        <w:spacing w:line="360" w:lineRule="auto"/>
        <w:ind w:firstLine="480"/>
        <w:rPr>
          <w:rFonts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3.</w:t>
      </w:r>
      <w:r>
        <w:rPr>
          <w:rFonts w:hint="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至少掌握一门外国语，能熟练阅读本专业的外文资料，具有撰写学术论文和进行国际学术交流的能力。</w:t>
      </w:r>
    </w:p>
    <w:p w14:paraId="6A0E4BBE">
      <w:pPr>
        <w:spacing w:line="360" w:lineRule="auto"/>
        <w:ind w:firstLine="480" w:firstLineChars="200"/>
        <w:rPr>
          <w:rFonts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4.</w:t>
      </w:r>
      <w:r>
        <w:rPr>
          <w:rFonts w:hint="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具有良好的团队意识和团队合作精神。</w:t>
      </w:r>
    </w:p>
    <w:p w14:paraId="417CAC50">
      <w:pPr>
        <w:spacing w:line="360" w:lineRule="auto"/>
        <w:ind w:firstLine="480" w:firstLineChars="200"/>
        <w:rPr>
          <w:rFonts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5.</w:t>
      </w:r>
      <w:r>
        <w:rPr>
          <w:rFonts w:hint="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具有健康的身体和良好的心理素质。</w:t>
      </w:r>
    </w:p>
    <w:p w14:paraId="7DDB666A">
      <w:pPr>
        <w:spacing w:line="360" w:lineRule="auto"/>
        <w:ind w:firstLine="480" w:firstLineChars="200"/>
        <w:rPr>
          <w:rFonts w:eastAsiaTheme="minorEastAsia"/>
          <w:i/>
          <w:color w:val="FF0000"/>
          <w:sz w:val="24"/>
        </w:rPr>
      </w:pPr>
      <w:r>
        <w:rPr>
          <w:rFonts w:hint="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6. 培养德智体美劳全面发展的社会主义事业接班人。</w:t>
      </w:r>
    </w:p>
    <w:p w14:paraId="0153F810">
      <w:pPr>
        <w:spacing w:line="360" w:lineRule="auto"/>
        <w:ind w:firstLine="560" w:firstLineChars="20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六、培养方式</w:t>
      </w:r>
    </w:p>
    <w:p w14:paraId="281FE054">
      <w:pPr>
        <w:spacing w:line="360" w:lineRule="auto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全日制。以培养学生的学术研究能力和创新能力为核心，主要采取以下方式：</w:t>
      </w:r>
    </w:p>
    <w:p w14:paraId="69EDB78D">
      <w:pPr>
        <w:spacing w:line="360" w:lineRule="auto"/>
        <w:ind w:firstLine="480" w:firstLineChars="200"/>
        <w:rPr>
          <w:rFonts w:eastAsiaTheme="minorEastAsia"/>
          <w:sz w:val="24"/>
        </w:rPr>
      </w:pPr>
      <w:r>
        <w:rPr>
          <w:rFonts w:eastAsiaTheme="minorEastAsia"/>
          <w:sz w:val="24"/>
        </w:rPr>
        <w:t>1.</w:t>
      </w:r>
      <w:r>
        <w:rPr>
          <w:rFonts w:hint="eastAsia" w:eastAsiaTheme="minorEastAsia"/>
          <w:sz w:val="24"/>
        </w:rPr>
        <w:t>课程学习和经典研读相结合。通过课程学习构建学生系统的学科知识体系，通过经典研读培养学生对哲学传统的深入理解。教学方式强调文本细读与批判性讨论，其核心目标是夯实理论基础，塑造哲学思维范式。</w:t>
      </w:r>
    </w:p>
    <w:p w14:paraId="5FA78F89">
      <w:pPr>
        <w:spacing w:line="360" w:lineRule="auto"/>
        <w:ind w:firstLine="480" w:firstLineChars="200"/>
        <w:rPr>
          <w:rFonts w:eastAsiaTheme="minorEastAsia"/>
          <w:sz w:val="24"/>
        </w:rPr>
      </w:pPr>
      <w:r>
        <w:rPr>
          <w:rFonts w:eastAsiaTheme="minorEastAsia"/>
          <w:sz w:val="24"/>
        </w:rPr>
        <w:t>2.</w:t>
      </w:r>
      <w:r>
        <w:rPr>
          <w:rFonts w:hint="eastAsia" w:eastAsiaTheme="minorEastAsia"/>
          <w:sz w:val="24"/>
        </w:rPr>
        <w:t>导师负责制与科研训练相结合。导师制作为学术能力孵化的核心机制，贯穿培养全程。通过科研训练不断培养学生的科研能力，其核心目标是实现学生科研能力的内化，推动学生从知识接受者向独立研究者过渡。</w:t>
      </w:r>
    </w:p>
    <w:p w14:paraId="3C41AD39">
      <w:pPr>
        <w:spacing w:line="360" w:lineRule="auto"/>
        <w:ind w:firstLine="560" w:firstLineChars="20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七、中期筛选</w:t>
      </w:r>
    </w:p>
    <w:p w14:paraId="3E9F3B7C">
      <w:pPr>
        <w:spacing w:line="360" w:lineRule="auto"/>
        <w:ind w:firstLine="480" w:firstLineChars="200"/>
        <w:rPr>
          <w:rFonts w:eastAsiaTheme="minorEastAsia"/>
          <w:bCs/>
          <w:sz w:val="24"/>
        </w:rPr>
      </w:pPr>
      <w:bookmarkStart w:id="0" w:name="_Toc59002625"/>
      <w:r>
        <w:rPr>
          <w:rFonts w:eastAsiaTheme="minorEastAsia"/>
          <w:bCs/>
          <w:sz w:val="24"/>
        </w:rPr>
        <w:t>在完成培养方案规定的课程学习、考核成绩合格、获得规定的学分后，</w:t>
      </w:r>
      <w:bookmarkEnd w:id="0"/>
      <w:r>
        <w:rPr>
          <w:rFonts w:eastAsiaTheme="minorEastAsia"/>
          <w:bCs/>
          <w:sz w:val="24"/>
        </w:rPr>
        <w:t>按照《河北大学研究生中期筛选管理办法》（校政字〔2021〕15号）的相关规定，组织开展中期筛选工作。</w:t>
      </w:r>
    </w:p>
    <w:p w14:paraId="7DB9E90C">
      <w:pPr>
        <w:spacing w:line="360" w:lineRule="auto"/>
        <w:ind w:firstLine="560" w:firstLineChars="200"/>
        <w:rPr>
          <w:rFonts w:eastAsia="黑体"/>
          <w:bCs/>
          <w:sz w:val="28"/>
          <w:szCs w:val="28"/>
        </w:rPr>
      </w:pPr>
      <w:r>
        <w:rPr>
          <w:rFonts w:hint="eastAsia" w:eastAsia="黑体"/>
          <w:bCs/>
          <w:sz w:val="28"/>
          <w:szCs w:val="28"/>
        </w:rPr>
        <w:t>八</w:t>
      </w:r>
      <w:r>
        <w:rPr>
          <w:rFonts w:eastAsia="黑体"/>
          <w:bCs/>
          <w:sz w:val="28"/>
          <w:szCs w:val="28"/>
        </w:rPr>
        <w:t>、学位（毕业）论文</w:t>
      </w:r>
    </w:p>
    <w:p w14:paraId="602E6BDE">
      <w:pPr>
        <w:widowControl/>
        <w:spacing w:line="360" w:lineRule="auto"/>
        <w:ind w:firstLine="480" w:firstLineChars="200"/>
        <w:jc w:val="left"/>
        <w:rPr>
          <w:color w:val="222222"/>
          <w:kern w:val="0"/>
          <w:sz w:val="24"/>
        </w:rPr>
      </w:pPr>
      <w:r>
        <w:rPr>
          <w:color w:val="222222"/>
          <w:kern w:val="0"/>
          <w:sz w:val="24"/>
        </w:rPr>
        <w:t>1.</w:t>
      </w:r>
      <w:r>
        <w:rPr>
          <w:rFonts w:hint="eastAsia"/>
          <w:color w:val="222222"/>
          <w:kern w:val="0"/>
          <w:sz w:val="24"/>
        </w:rPr>
        <w:t xml:space="preserve"> </w:t>
      </w:r>
      <w:r>
        <w:rPr>
          <w:color w:val="222222"/>
          <w:kern w:val="0"/>
          <w:sz w:val="24"/>
        </w:rPr>
        <w:t>总体要求：按照《河北大学关于开展2025版研究生培养方案修订工作的指导意见》（校政字〔2025〕9号）规定，硕士研究生论文开题与答辩时间间隔原则上不少于12个月。学位（毕业）论文应当表明作者具有独立从事学术研究工作的能力，鼓励硕士研究生参与科学研究，取得创新性成果。</w:t>
      </w:r>
    </w:p>
    <w:p w14:paraId="6FECFCE3">
      <w:pPr>
        <w:widowControl/>
        <w:spacing w:line="360" w:lineRule="auto"/>
        <w:ind w:firstLine="480" w:firstLineChars="200"/>
        <w:jc w:val="left"/>
        <w:rPr>
          <w:color w:val="222222"/>
          <w:kern w:val="0"/>
          <w:sz w:val="24"/>
        </w:rPr>
      </w:pPr>
      <w:r>
        <w:rPr>
          <w:color w:val="222222"/>
          <w:kern w:val="0"/>
          <w:sz w:val="24"/>
        </w:rPr>
        <w:t>2.</w:t>
      </w:r>
      <w:r>
        <w:rPr>
          <w:rFonts w:hint="eastAsia"/>
          <w:color w:val="222222"/>
          <w:kern w:val="0"/>
          <w:sz w:val="24"/>
        </w:rPr>
        <w:t xml:space="preserve"> </w:t>
      </w:r>
      <w:r>
        <w:rPr>
          <w:color w:val="222222"/>
          <w:kern w:val="0"/>
          <w:sz w:val="24"/>
        </w:rPr>
        <w:t>开题：开题是研究生培养过程中开展学位（毕业）论文工作的首要环节，要求研究生充分阅读国内外相关文献，撰写开题报告。开题报告应包含文献综述、论文选题依据、研究方案、预期目标与成果、工作计划等关键问题。</w:t>
      </w:r>
    </w:p>
    <w:p w14:paraId="71AE771D">
      <w:pPr>
        <w:widowControl/>
        <w:spacing w:line="360" w:lineRule="auto"/>
        <w:ind w:firstLine="480" w:firstLineChars="200"/>
        <w:jc w:val="left"/>
        <w:rPr>
          <w:color w:val="222222"/>
          <w:kern w:val="0"/>
          <w:sz w:val="24"/>
        </w:rPr>
      </w:pPr>
      <w:r>
        <w:rPr>
          <w:color w:val="222222"/>
          <w:kern w:val="0"/>
          <w:sz w:val="24"/>
        </w:rPr>
        <w:t>原则上在入学后第3学期（最迟不超过第4学期）完成开题。开题由3-5名具有高级专业技术职务人员参加，以学术报告的方式进行。</w:t>
      </w:r>
    </w:p>
    <w:p w14:paraId="4D1C8E0B">
      <w:pPr>
        <w:widowControl/>
        <w:spacing w:line="360" w:lineRule="auto"/>
        <w:ind w:firstLine="480" w:firstLineChars="200"/>
        <w:jc w:val="left"/>
        <w:rPr>
          <w:color w:val="222222"/>
          <w:kern w:val="0"/>
          <w:sz w:val="24"/>
        </w:rPr>
      </w:pPr>
      <w:r>
        <w:rPr>
          <w:color w:val="222222"/>
          <w:kern w:val="0"/>
          <w:sz w:val="24"/>
        </w:rPr>
        <w:t>3.</w:t>
      </w:r>
      <w:r>
        <w:rPr>
          <w:rFonts w:hint="eastAsia"/>
          <w:color w:val="222222"/>
          <w:kern w:val="0"/>
          <w:sz w:val="24"/>
        </w:rPr>
        <w:t xml:space="preserve"> </w:t>
      </w:r>
      <w:r>
        <w:rPr>
          <w:color w:val="222222"/>
          <w:kern w:val="0"/>
          <w:sz w:val="24"/>
        </w:rPr>
        <w:t>中期进展报告：中期进展报告是检查研究生个人综合能力及学位论文进展、指导研究生把握学位（毕业）论文方向、提高学位（毕业）论文质量的必要环节。中期进展报告原则上应在入学后第5学期进行；各导师组自行制定中期考核办法并组织考核。</w:t>
      </w:r>
    </w:p>
    <w:p w14:paraId="5B82153C">
      <w:pPr>
        <w:widowControl/>
        <w:spacing w:line="360" w:lineRule="auto"/>
        <w:ind w:firstLine="480" w:firstLineChars="200"/>
        <w:jc w:val="left"/>
        <w:rPr>
          <w:color w:val="222222"/>
          <w:kern w:val="0"/>
          <w:sz w:val="24"/>
        </w:rPr>
      </w:pPr>
      <w:r>
        <w:rPr>
          <w:color w:val="222222"/>
          <w:kern w:val="0"/>
          <w:sz w:val="24"/>
        </w:rPr>
        <w:t>4.</w:t>
      </w:r>
      <w:r>
        <w:rPr>
          <w:rFonts w:hint="eastAsia"/>
          <w:color w:val="222222"/>
          <w:kern w:val="0"/>
          <w:sz w:val="24"/>
        </w:rPr>
        <w:t xml:space="preserve"> </w:t>
      </w:r>
      <w:r>
        <w:rPr>
          <w:color w:val="222222"/>
          <w:kern w:val="0"/>
          <w:sz w:val="24"/>
        </w:rPr>
        <w:t>学位申请：达到学位授予条件的申请人，经导师同意后，应于答辩前三个月，向所属学位评定分委员会提出学位申请，提交学位申请材料。</w:t>
      </w:r>
    </w:p>
    <w:p w14:paraId="28758573">
      <w:pPr>
        <w:widowControl/>
        <w:spacing w:line="360" w:lineRule="auto"/>
        <w:ind w:firstLine="480" w:firstLineChars="200"/>
        <w:jc w:val="left"/>
        <w:rPr>
          <w:color w:val="222222"/>
          <w:kern w:val="0"/>
          <w:sz w:val="24"/>
        </w:rPr>
      </w:pPr>
      <w:r>
        <w:rPr>
          <w:color w:val="222222"/>
          <w:kern w:val="0"/>
          <w:sz w:val="24"/>
        </w:rPr>
        <w:t>5.</w:t>
      </w:r>
      <w:r>
        <w:rPr>
          <w:rFonts w:hint="eastAsia"/>
          <w:color w:val="222222"/>
          <w:kern w:val="0"/>
          <w:sz w:val="24"/>
        </w:rPr>
        <w:t xml:space="preserve"> </w:t>
      </w:r>
      <w:r>
        <w:rPr>
          <w:color w:val="222222"/>
          <w:kern w:val="0"/>
          <w:sz w:val="24"/>
        </w:rPr>
        <w:t>预答辩：学位申请人须进行学位论文预答辩。预答辩通过者，方可进入学位论文评阅、学位论文答辩等环节。学位（毕业）论文预答辩在正式答辩前3个月进行。</w:t>
      </w:r>
    </w:p>
    <w:p w14:paraId="3F8D60C6">
      <w:pPr>
        <w:widowControl/>
        <w:spacing w:line="360" w:lineRule="auto"/>
        <w:ind w:firstLine="480" w:firstLineChars="200"/>
        <w:jc w:val="left"/>
        <w:rPr>
          <w:color w:val="222222"/>
          <w:kern w:val="0"/>
          <w:sz w:val="24"/>
        </w:rPr>
      </w:pPr>
      <w:r>
        <w:rPr>
          <w:color w:val="222222"/>
          <w:kern w:val="0"/>
          <w:sz w:val="24"/>
        </w:rPr>
        <w:t>6.</w:t>
      </w:r>
      <w:r>
        <w:rPr>
          <w:rFonts w:hint="eastAsia"/>
          <w:color w:val="222222"/>
          <w:kern w:val="0"/>
          <w:sz w:val="24"/>
        </w:rPr>
        <w:t xml:space="preserve"> </w:t>
      </w:r>
      <w:r>
        <w:rPr>
          <w:color w:val="222222"/>
          <w:kern w:val="0"/>
          <w:sz w:val="24"/>
        </w:rPr>
        <w:t>论文评阅：学位（毕业）论文在获得导师组认可，经培养单位形式审查合格，并通过预答辩，方可提出进入评阅程序的申请。论文评阅在正式答辩前40天由研究生提出，由培养单位依据相关规定进行匿名评审。评阅结果及异议处理按照《河北大学研究生学位论文或者实践成果评审管理办法》（校政字〔2025〕8号）执行。</w:t>
      </w:r>
    </w:p>
    <w:p w14:paraId="2DC65729">
      <w:pPr>
        <w:widowControl/>
        <w:spacing w:line="360" w:lineRule="auto"/>
        <w:ind w:firstLine="480" w:firstLineChars="200"/>
        <w:jc w:val="left"/>
        <w:rPr>
          <w:rFonts w:eastAsiaTheme="minorEastAsia"/>
          <w:i/>
          <w:color w:val="FF0000"/>
          <w:sz w:val="24"/>
        </w:rPr>
      </w:pPr>
      <w:r>
        <w:rPr>
          <w:bCs/>
          <w:color w:val="222222"/>
          <w:kern w:val="0"/>
          <w:sz w:val="24"/>
        </w:rPr>
        <w:t>7.</w:t>
      </w:r>
      <w:r>
        <w:rPr>
          <w:rFonts w:hint="eastAsia"/>
          <w:bCs/>
          <w:color w:val="222222"/>
          <w:kern w:val="0"/>
          <w:sz w:val="24"/>
        </w:rPr>
        <w:t xml:space="preserve"> </w:t>
      </w:r>
      <w:r>
        <w:rPr>
          <w:bCs/>
          <w:color w:val="222222"/>
          <w:kern w:val="0"/>
          <w:sz w:val="24"/>
        </w:rPr>
        <w:t>答辩：学位（毕业）论文答辩按照</w:t>
      </w:r>
      <w:r>
        <w:rPr>
          <w:color w:val="222222"/>
          <w:kern w:val="0"/>
          <w:sz w:val="24"/>
        </w:rPr>
        <w:t>《河北大学博士、硕士学位授予工作实施细则》（校政字〔2025〕7号）执行。</w:t>
      </w:r>
    </w:p>
    <w:p w14:paraId="2D0A8175">
      <w:pPr>
        <w:spacing w:line="360" w:lineRule="auto"/>
        <w:ind w:firstLine="560" w:firstLineChars="200"/>
        <w:rPr>
          <w:rFonts w:eastAsia="黑体"/>
          <w:bCs/>
          <w:sz w:val="28"/>
          <w:szCs w:val="28"/>
        </w:rPr>
      </w:pPr>
      <w:r>
        <w:rPr>
          <w:rFonts w:hint="eastAsia" w:eastAsia="黑体"/>
          <w:bCs/>
          <w:sz w:val="28"/>
          <w:szCs w:val="28"/>
        </w:rPr>
        <w:t>九</w:t>
      </w:r>
      <w:r>
        <w:rPr>
          <w:rFonts w:eastAsia="黑体"/>
          <w:bCs/>
          <w:sz w:val="28"/>
          <w:szCs w:val="28"/>
        </w:rPr>
        <w:t>、毕业条件</w:t>
      </w:r>
    </w:p>
    <w:p w14:paraId="07153CE0">
      <w:pPr>
        <w:spacing w:line="360" w:lineRule="auto"/>
        <w:ind w:firstLine="480" w:firstLineChars="200"/>
        <w:rPr>
          <w:rFonts w:eastAsiaTheme="minorEastAsia"/>
          <w:bCs/>
          <w:sz w:val="24"/>
        </w:rPr>
      </w:pPr>
      <w:r>
        <w:rPr>
          <w:rFonts w:eastAsiaTheme="minorEastAsia"/>
          <w:bCs/>
          <w:sz w:val="24"/>
        </w:rPr>
        <w:t>1. 课程学习。研究生在规定修业年限内完成培养方案规定的课程学习，考核成绩合格，获得规定的学分。</w:t>
      </w:r>
    </w:p>
    <w:p w14:paraId="54CD08E8">
      <w:pPr>
        <w:spacing w:line="360" w:lineRule="auto"/>
        <w:ind w:firstLine="480" w:firstLineChars="200"/>
        <w:rPr>
          <w:rFonts w:eastAsiaTheme="minorEastAsia"/>
          <w:color w:val="000000"/>
          <w:sz w:val="24"/>
        </w:rPr>
      </w:pPr>
      <w:r>
        <w:rPr>
          <w:rFonts w:eastAsiaTheme="minorEastAsia"/>
          <w:bCs/>
          <w:sz w:val="24"/>
        </w:rPr>
        <w:t>2. 学术活动。研究生</w:t>
      </w:r>
      <w:r>
        <w:rPr>
          <w:rFonts w:eastAsiaTheme="minorEastAsia"/>
          <w:color w:val="000000"/>
          <w:sz w:val="24"/>
        </w:rPr>
        <w:t>在读期间参加不少</w:t>
      </w:r>
      <w:r>
        <w:rPr>
          <w:rFonts w:eastAsiaTheme="minorEastAsia"/>
          <w:bCs/>
          <w:sz w:val="24"/>
        </w:rPr>
        <w:t>于10次</w:t>
      </w:r>
      <w:r>
        <w:rPr>
          <w:rFonts w:eastAsiaTheme="minorEastAsia"/>
          <w:color w:val="000000"/>
          <w:sz w:val="24"/>
        </w:rPr>
        <w:t>学术活动，并撰写学术报告小结；以主讲人或宣讲人身份，参加在校内外举行的学术报告或学术讲座不少于</w:t>
      </w:r>
      <w:r>
        <w:rPr>
          <w:rFonts w:eastAsiaTheme="minorEastAsia"/>
          <w:sz w:val="24"/>
        </w:rPr>
        <w:t>1</w:t>
      </w:r>
      <w:r>
        <w:rPr>
          <w:rFonts w:eastAsiaTheme="minorEastAsia"/>
          <w:color w:val="000000"/>
          <w:sz w:val="24"/>
        </w:rPr>
        <w:t>次。</w:t>
      </w:r>
    </w:p>
    <w:p w14:paraId="7BC5E1A0">
      <w:pPr>
        <w:spacing w:line="360" w:lineRule="auto"/>
        <w:ind w:firstLine="480" w:firstLineChars="200"/>
        <w:rPr>
          <w:rFonts w:eastAsiaTheme="minorEastAsia"/>
          <w:bCs/>
          <w:sz w:val="24"/>
        </w:rPr>
      </w:pPr>
      <w:r>
        <w:rPr>
          <w:rFonts w:eastAsiaTheme="minorEastAsia"/>
          <w:color w:val="000000"/>
          <w:sz w:val="24"/>
        </w:rPr>
        <w:t>3. 符合提前毕业条件的研究生，可按照学校相关规定</w:t>
      </w:r>
      <w:r>
        <w:rPr>
          <w:rFonts w:eastAsiaTheme="minorEastAsia"/>
          <w:bCs/>
          <w:sz w:val="24"/>
        </w:rPr>
        <w:t>申请</w:t>
      </w:r>
      <w:r>
        <w:rPr>
          <w:rFonts w:eastAsiaTheme="minorEastAsia"/>
          <w:color w:val="000000"/>
          <w:sz w:val="24"/>
        </w:rPr>
        <w:t>提前毕业。</w:t>
      </w:r>
    </w:p>
    <w:p w14:paraId="716DAA5D">
      <w:pPr>
        <w:spacing w:line="360" w:lineRule="auto"/>
        <w:ind w:firstLine="480" w:firstLineChars="200"/>
        <w:rPr>
          <w:rFonts w:eastAsiaTheme="minorEastAsia"/>
          <w:bCs/>
          <w:sz w:val="24"/>
        </w:rPr>
      </w:pPr>
      <w:r>
        <w:rPr>
          <w:rFonts w:eastAsiaTheme="minorEastAsia"/>
          <w:bCs/>
          <w:sz w:val="24"/>
        </w:rPr>
        <w:t>4. 论文答辩。学位（毕业）论文经专家评审合格、通过学位（毕业）答辩，符合毕业资格审查后，准予毕业。</w:t>
      </w:r>
    </w:p>
    <w:p w14:paraId="172D99B7">
      <w:pPr>
        <w:spacing w:line="360" w:lineRule="auto"/>
        <w:ind w:firstLine="560" w:firstLineChars="200"/>
        <w:rPr>
          <w:rFonts w:eastAsia="黑体"/>
          <w:bCs/>
          <w:sz w:val="28"/>
          <w:szCs w:val="28"/>
        </w:rPr>
      </w:pPr>
      <w:r>
        <w:rPr>
          <w:rFonts w:hint="eastAsia" w:eastAsia="黑体"/>
          <w:bCs/>
          <w:sz w:val="28"/>
          <w:szCs w:val="28"/>
        </w:rPr>
        <w:t>十</w:t>
      </w:r>
      <w:r>
        <w:rPr>
          <w:rFonts w:eastAsia="黑体"/>
          <w:bCs/>
          <w:sz w:val="28"/>
          <w:szCs w:val="28"/>
        </w:rPr>
        <w:t>、创新性成果</w:t>
      </w:r>
    </w:p>
    <w:p w14:paraId="55214A10">
      <w:pPr>
        <w:spacing w:line="360" w:lineRule="auto"/>
        <w:ind w:firstLine="480" w:firstLineChars="200"/>
        <w:rPr>
          <w:rFonts w:eastAsiaTheme="minorEastAsia"/>
          <w:color w:val="000000"/>
          <w:sz w:val="24"/>
        </w:rPr>
      </w:pPr>
      <w:r>
        <w:rPr>
          <w:rFonts w:eastAsiaTheme="minorEastAsia"/>
          <w:color w:val="000000"/>
          <w:sz w:val="24"/>
        </w:rPr>
        <w:t>研究生申请学位取得的创新性成果需满足《哲学与社会学学院关于研究生申请学位取得创新性成果的规定》的有关要求。</w:t>
      </w:r>
    </w:p>
    <w:p w14:paraId="70C4F0D0">
      <w:pPr>
        <w:spacing w:line="360" w:lineRule="auto"/>
        <w:ind w:firstLine="560" w:firstLineChars="20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十一、学位授予</w:t>
      </w:r>
    </w:p>
    <w:p w14:paraId="4E5745BC">
      <w:pPr>
        <w:spacing w:line="360" w:lineRule="auto"/>
        <w:ind w:firstLine="480" w:firstLineChars="200"/>
        <w:rPr>
          <w:rFonts w:eastAsiaTheme="minorEastAsia"/>
          <w:bCs/>
          <w:sz w:val="24"/>
        </w:rPr>
      </w:pPr>
      <w:r>
        <w:rPr>
          <w:rFonts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研究生通过毕业资格审查，</w:t>
      </w:r>
      <w:r>
        <w:rPr>
          <w:color w:val="222222"/>
          <w:kern w:val="0"/>
          <w:sz w:val="24"/>
        </w:rPr>
        <w:t>满足本</w:t>
      </w:r>
      <w:r>
        <w:rPr>
          <w:rFonts w:eastAsiaTheme="minorEastAsia"/>
          <w:bCs/>
          <w:sz w:val="24"/>
        </w:rPr>
        <w:t>学院</w:t>
      </w:r>
      <w:r>
        <w:rPr>
          <w:color w:val="222222"/>
          <w:kern w:val="0"/>
          <w:sz w:val="24"/>
        </w:rPr>
        <w:t>制定的创新性成果要求，</w:t>
      </w:r>
      <w:r>
        <w:rPr>
          <w:rFonts w:eastAsiaTheme="minorEastAsia"/>
          <w:bCs/>
          <w:sz w:val="24"/>
        </w:rPr>
        <w:t>符合《河北大学博士、硕士学位授予工作实施细则》</w:t>
      </w:r>
      <w:r>
        <w:rPr>
          <w:color w:val="222222"/>
          <w:kern w:val="0"/>
          <w:sz w:val="24"/>
        </w:rPr>
        <w:t>（校政字〔2025〕7号）</w:t>
      </w:r>
      <w:r>
        <w:rPr>
          <w:rFonts w:eastAsiaTheme="minorEastAsia"/>
          <w:bCs/>
          <w:sz w:val="24"/>
        </w:rPr>
        <w:t>的有关规定，达到学校学位授予标准，经学校学位评定委员会审议，授予硕士学位。</w:t>
      </w:r>
    </w:p>
    <w:p w14:paraId="051B25FA">
      <w:pPr>
        <w:spacing w:line="360" w:lineRule="auto"/>
        <w:ind w:firstLine="560" w:firstLineChars="20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十</w:t>
      </w:r>
      <w:r>
        <w:rPr>
          <w:rFonts w:hint="eastAsia" w:eastAsia="黑体"/>
          <w:bCs/>
          <w:sz w:val="28"/>
          <w:szCs w:val="28"/>
        </w:rPr>
        <w:t>二</w:t>
      </w:r>
      <w:r>
        <w:rPr>
          <w:rFonts w:eastAsia="黑体"/>
          <w:bCs/>
          <w:sz w:val="28"/>
          <w:szCs w:val="28"/>
        </w:rPr>
        <w:t>、学分及课程设置</w:t>
      </w:r>
    </w:p>
    <w:p w14:paraId="755E96DA">
      <w:pPr>
        <w:spacing w:line="360" w:lineRule="auto"/>
        <w:ind w:firstLine="480" w:firstLineChars="200"/>
        <w:rPr>
          <w:color w:val="000000"/>
          <w:sz w:val="24"/>
        </w:rPr>
      </w:pPr>
      <w:r>
        <w:rPr>
          <w:rFonts w:eastAsiaTheme="minorEastAsia"/>
          <w:color w:val="000000"/>
          <w:sz w:val="24"/>
        </w:rPr>
        <w:t>本专业最</w:t>
      </w:r>
      <w:r>
        <w:rPr>
          <w:rFonts w:eastAsiaTheme="minorEastAsia"/>
          <w:sz w:val="24"/>
        </w:rPr>
        <w:t>低毕业学分为</w:t>
      </w:r>
      <w:r>
        <w:rPr>
          <w:rFonts w:hint="eastAsia" w:eastAsiaTheme="minorEastAsia"/>
          <w:sz w:val="24"/>
        </w:rPr>
        <w:t>2</w:t>
      </w:r>
      <w:r>
        <w:rPr>
          <w:rFonts w:eastAsiaTheme="minorEastAsia"/>
          <w:sz w:val="24"/>
        </w:rPr>
        <w:t>8分，其中学位课</w:t>
      </w:r>
      <w:r>
        <w:rPr>
          <w:rFonts w:hint="eastAsia" w:eastAsiaTheme="minorEastAsia"/>
          <w:sz w:val="24"/>
        </w:rPr>
        <w:t>1</w:t>
      </w:r>
      <w:r>
        <w:rPr>
          <w:rFonts w:eastAsiaTheme="minorEastAsia"/>
          <w:sz w:val="24"/>
        </w:rPr>
        <w:t>5学分，非学位课</w:t>
      </w:r>
      <w:r>
        <w:rPr>
          <w:rFonts w:hint="eastAsia" w:eastAsiaTheme="minorEastAsia"/>
          <w:sz w:val="24"/>
        </w:rPr>
        <w:t>12</w:t>
      </w:r>
      <w:r>
        <w:rPr>
          <w:rFonts w:eastAsiaTheme="minorEastAsia"/>
          <w:sz w:val="24"/>
        </w:rPr>
        <w:t>学分，必修环节</w:t>
      </w:r>
      <w:r>
        <w:rPr>
          <w:rFonts w:hint="eastAsia" w:eastAsiaTheme="minorEastAsia"/>
          <w:sz w:val="24"/>
        </w:rPr>
        <w:t>1</w:t>
      </w:r>
      <w:r>
        <w:rPr>
          <w:rFonts w:eastAsiaTheme="minorEastAsia"/>
          <w:sz w:val="24"/>
        </w:rPr>
        <w:t>分。课程考试不设补考环节，</w:t>
      </w:r>
      <w:r>
        <w:rPr>
          <w:sz w:val="24"/>
        </w:rPr>
        <w:t>考试成绩低于60分的</w:t>
      </w:r>
      <w:r>
        <w:rPr>
          <w:color w:val="000000"/>
          <w:sz w:val="24"/>
        </w:rPr>
        <w:t>需重修。</w:t>
      </w:r>
    </w:p>
    <w:p w14:paraId="088E7BEE">
      <w:pPr>
        <w:spacing w:line="360" w:lineRule="auto"/>
        <w:ind w:firstLine="480" w:firstLineChars="200"/>
        <w:rPr>
          <w:color w:val="000000"/>
          <w:sz w:val="24"/>
        </w:rPr>
      </w:pPr>
    </w:p>
    <w:p w14:paraId="100ABA35">
      <w:pPr>
        <w:spacing w:after="156" w:afterLines="50" w:line="360" w:lineRule="auto"/>
        <w:ind w:firstLine="482" w:firstLineChars="200"/>
        <w:jc w:val="center"/>
        <w:rPr>
          <w:rFonts w:eastAsiaTheme="minorEastAsia"/>
          <w:b/>
          <w:bCs/>
          <w:sz w:val="24"/>
        </w:rPr>
      </w:pPr>
      <w:r>
        <w:rPr>
          <w:rFonts w:hint="eastAsia" w:eastAsiaTheme="minorEastAsia"/>
          <w:b/>
          <w:bCs/>
          <w:sz w:val="24"/>
        </w:rPr>
        <w:t>逻辑学</w:t>
      </w:r>
      <w:r>
        <w:rPr>
          <w:rFonts w:eastAsiaTheme="minorEastAsia"/>
          <w:b/>
          <w:bCs/>
          <w:sz w:val="24"/>
        </w:rPr>
        <w:t>专业学术学位硕士研究生课程及培养环节设置一览表</w:t>
      </w:r>
    </w:p>
    <w:tbl>
      <w:tblPr>
        <w:tblStyle w:val="4"/>
        <w:tblW w:w="885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1"/>
        <w:gridCol w:w="1226"/>
        <w:gridCol w:w="3516"/>
        <w:gridCol w:w="1081"/>
        <w:gridCol w:w="709"/>
        <w:gridCol w:w="709"/>
        <w:gridCol w:w="1045"/>
      </w:tblGrid>
      <w:tr w14:paraId="01BBDF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97" w:type="dxa"/>
            <w:gridSpan w:val="2"/>
            <w:vAlign w:val="center"/>
          </w:tcPr>
          <w:p w14:paraId="06963DC7">
            <w:pPr>
              <w:jc w:val="center"/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课程类别</w:t>
            </w:r>
          </w:p>
        </w:tc>
        <w:tc>
          <w:tcPr>
            <w:tcW w:w="3516" w:type="dxa"/>
            <w:vAlign w:val="center"/>
          </w:tcPr>
          <w:p w14:paraId="4CCCA973">
            <w:pPr>
              <w:jc w:val="center"/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课程说明</w:t>
            </w:r>
          </w:p>
        </w:tc>
        <w:tc>
          <w:tcPr>
            <w:tcW w:w="1081" w:type="dxa"/>
            <w:vAlign w:val="center"/>
          </w:tcPr>
          <w:p w14:paraId="628D766B">
            <w:pPr>
              <w:jc w:val="center"/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课程编号</w:t>
            </w:r>
          </w:p>
        </w:tc>
        <w:tc>
          <w:tcPr>
            <w:tcW w:w="709" w:type="dxa"/>
            <w:vAlign w:val="center"/>
          </w:tcPr>
          <w:p w14:paraId="6804D84F">
            <w:pPr>
              <w:jc w:val="center"/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学分</w:t>
            </w:r>
          </w:p>
        </w:tc>
        <w:tc>
          <w:tcPr>
            <w:tcW w:w="709" w:type="dxa"/>
            <w:vAlign w:val="center"/>
          </w:tcPr>
          <w:p w14:paraId="1CEB4F0E">
            <w:pPr>
              <w:jc w:val="center"/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学期</w:t>
            </w:r>
          </w:p>
        </w:tc>
        <w:tc>
          <w:tcPr>
            <w:tcW w:w="1045" w:type="dxa"/>
            <w:vAlign w:val="center"/>
          </w:tcPr>
          <w:p w14:paraId="0A448556">
            <w:pPr>
              <w:jc w:val="center"/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720BC4B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571" w:type="dxa"/>
            <w:vMerge w:val="restart"/>
            <w:vAlign w:val="center"/>
          </w:tcPr>
          <w:p w14:paraId="1F67DE85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学位课</w:t>
            </w:r>
          </w:p>
        </w:tc>
        <w:tc>
          <w:tcPr>
            <w:tcW w:w="1226" w:type="dxa"/>
            <w:vMerge w:val="restart"/>
            <w:vAlign w:val="center"/>
          </w:tcPr>
          <w:p w14:paraId="6ED05907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公共必修课</w:t>
            </w:r>
          </w:p>
          <w:p w14:paraId="49F441AD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学分）</w:t>
            </w:r>
          </w:p>
        </w:tc>
        <w:tc>
          <w:tcPr>
            <w:tcW w:w="3516" w:type="dxa"/>
            <w:vAlign w:val="center"/>
          </w:tcPr>
          <w:p w14:paraId="3A88657C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新时代中国特色社会主义理论与实践</w:t>
            </w:r>
          </w:p>
        </w:tc>
        <w:tc>
          <w:tcPr>
            <w:tcW w:w="1081" w:type="dxa"/>
            <w:vAlign w:val="center"/>
          </w:tcPr>
          <w:p w14:paraId="1DAA2582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TS0000001</w:t>
            </w:r>
          </w:p>
        </w:tc>
        <w:tc>
          <w:tcPr>
            <w:tcW w:w="709" w:type="dxa"/>
            <w:vAlign w:val="center"/>
          </w:tcPr>
          <w:p w14:paraId="236DAF70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9" w:type="dxa"/>
            <w:vAlign w:val="center"/>
          </w:tcPr>
          <w:p w14:paraId="41F032E7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45" w:type="dxa"/>
            <w:vAlign w:val="center"/>
          </w:tcPr>
          <w:p w14:paraId="36DDB23E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</w:tr>
      <w:tr w14:paraId="532FF92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571" w:type="dxa"/>
            <w:vMerge w:val="continue"/>
            <w:vAlign w:val="center"/>
          </w:tcPr>
          <w:p w14:paraId="4885C824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4F5BE112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6" w:type="dxa"/>
            <w:vAlign w:val="center"/>
          </w:tcPr>
          <w:p w14:paraId="12D661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通用学术英语</w:t>
            </w:r>
          </w:p>
        </w:tc>
        <w:tc>
          <w:tcPr>
            <w:tcW w:w="1081" w:type="dxa"/>
            <w:vAlign w:val="center"/>
          </w:tcPr>
          <w:p w14:paraId="455916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TS0000002</w:t>
            </w:r>
          </w:p>
        </w:tc>
        <w:tc>
          <w:tcPr>
            <w:tcW w:w="709" w:type="dxa"/>
            <w:vAlign w:val="center"/>
          </w:tcPr>
          <w:p w14:paraId="05D0E6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14:paraId="3A22C2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045" w:type="dxa"/>
            <w:vAlign w:val="center"/>
          </w:tcPr>
          <w:p w14:paraId="6296EDD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考查</w:t>
            </w:r>
          </w:p>
        </w:tc>
      </w:tr>
      <w:tr w14:paraId="2C12C85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  <w:vAlign w:val="center"/>
          </w:tcPr>
          <w:p w14:paraId="7275F3AE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restart"/>
            <w:vAlign w:val="center"/>
          </w:tcPr>
          <w:p w14:paraId="321241FD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学科基础课</w:t>
            </w:r>
          </w:p>
          <w:p w14:paraId="017A506B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（8学分）</w:t>
            </w:r>
          </w:p>
        </w:tc>
        <w:tc>
          <w:tcPr>
            <w:tcW w:w="3516" w:type="dxa"/>
            <w:vAlign w:val="center"/>
          </w:tcPr>
          <w:p w14:paraId="4C6BD39D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学术道德与论文写作</w:t>
            </w:r>
          </w:p>
        </w:tc>
        <w:tc>
          <w:tcPr>
            <w:tcW w:w="1081" w:type="dxa"/>
            <w:vAlign w:val="center"/>
          </w:tcPr>
          <w:p w14:paraId="5FA21775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18"/>
                <w:szCs w:val="18"/>
              </w:rPr>
              <w:t>XS2900001</w:t>
            </w:r>
          </w:p>
        </w:tc>
        <w:tc>
          <w:tcPr>
            <w:tcW w:w="709" w:type="dxa"/>
            <w:vAlign w:val="center"/>
          </w:tcPr>
          <w:p w14:paraId="686ADE9C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09" w:type="dxa"/>
            <w:vAlign w:val="center"/>
          </w:tcPr>
          <w:p w14:paraId="66EAF138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45" w:type="dxa"/>
          </w:tcPr>
          <w:p w14:paraId="5E34D66C">
            <w:pPr>
              <w:jc w:val="center"/>
            </w:pPr>
            <w:r>
              <w:rPr>
                <w:rFonts w:hint="eastAsia"/>
                <w:sz w:val="18"/>
                <w:szCs w:val="18"/>
              </w:rPr>
              <w:t>考查</w:t>
            </w:r>
          </w:p>
        </w:tc>
      </w:tr>
      <w:tr w14:paraId="1E98420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  <w:vAlign w:val="center"/>
          </w:tcPr>
          <w:p w14:paraId="679CD360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0665E9F0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6" w:type="dxa"/>
            <w:vAlign w:val="center"/>
          </w:tcPr>
          <w:p w14:paraId="0ECC4A6C">
            <w:pPr>
              <w:adjustRightInd w:val="0"/>
              <w:snapToGrid w:val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哲学</w:t>
            </w: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经典研读</w:t>
            </w:r>
          </w:p>
        </w:tc>
        <w:tc>
          <w:tcPr>
            <w:tcW w:w="1081" w:type="dxa"/>
          </w:tcPr>
          <w:p w14:paraId="4E4FC77B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18"/>
                <w:szCs w:val="18"/>
              </w:rPr>
              <w:t>XS2900002</w:t>
            </w:r>
          </w:p>
        </w:tc>
        <w:tc>
          <w:tcPr>
            <w:tcW w:w="709" w:type="dxa"/>
            <w:vAlign w:val="center"/>
          </w:tcPr>
          <w:p w14:paraId="65A4A701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09" w:type="dxa"/>
            <w:vAlign w:val="center"/>
          </w:tcPr>
          <w:p w14:paraId="78A7ABB9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45" w:type="dxa"/>
          </w:tcPr>
          <w:p w14:paraId="5373DAA8">
            <w:pPr>
              <w:jc w:val="center"/>
            </w:pPr>
            <w:r>
              <w:rPr>
                <w:rFonts w:hint="eastAsia"/>
                <w:sz w:val="18"/>
                <w:szCs w:val="18"/>
              </w:rPr>
              <w:t>考查</w:t>
            </w:r>
          </w:p>
        </w:tc>
      </w:tr>
      <w:tr w14:paraId="7E8F340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  <w:vAlign w:val="center"/>
          </w:tcPr>
          <w:p w14:paraId="522944E8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14454DA1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6" w:type="dxa"/>
            <w:vAlign w:val="center"/>
          </w:tcPr>
          <w:p w14:paraId="41BFC8B1">
            <w:pPr>
              <w:adjustRightInd w:val="0"/>
              <w:snapToGrid w:val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哲学基本问题与方法</w:t>
            </w:r>
          </w:p>
        </w:tc>
        <w:tc>
          <w:tcPr>
            <w:tcW w:w="1081" w:type="dxa"/>
          </w:tcPr>
          <w:p w14:paraId="758318C5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18"/>
                <w:szCs w:val="18"/>
              </w:rPr>
              <w:t>XS2900003</w:t>
            </w:r>
          </w:p>
        </w:tc>
        <w:tc>
          <w:tcPr>
            <w:tcW w:w="709" w:type="dxa"/>
            <w:vAlign w:val="center"/>
          </w:tcPr>
          <w:p w14:paraId="415A420A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9" w:type="dxa"/>
            <w:vAlign w:val="center"/>
          </w:tcPr>
          <w:p w14:paraId="3EA458DE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45" w:type="dxa"/>
          </w:tcPr>
          <w:p w14:paraId="41F21151">
            <w:pPr>
              <w:jc w:val="center"/>
            </w:pPr>
            <w:r>
              <w:rPr>
                <w:rFonts w:hint="eastAsia"/>
                <w:sz w:val="18"/>
                <w:szCs w:val="18"/>
              </w:rPr>
              <w:t>考查</w:t>
            </w:r>
          </w:p>
        </w:tc>
      </w:tr>
      <w:tr w14:paraId="1E914AC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  <w:vAlign w:val="center"/>
          </w:tcPr>
          <w:p w14:paraId="56CAF390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42EEB60D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6" w:type="dxa"/>
            <w:vAlign w:val="center"/>
          </w:tcPr>
          <w:p w14:paraId="5ACAE949">
            <w:pPr>
              <w:adjustRightInd w:val="0"/>
              <w:snapToGrid w:val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哲学学科前沿问题</w:t>
            </w:r>
          </w:p>
        </w:tc>
        <w:tc>
          <w:tcPr>
            <w:tcW w:w="1081" w:type="dxa"/>
          </w:tcPr>
          <w:p w14:paraId="35648A2F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18"/>
                <w:szCs w:val="18"/>
              </w:rPr>
              <w:t>XS2900004</w:t>
            </w:r>
          </w:p>
        </w:tc>
        <w:tc>
          <w:tcPr>
            <w:tcW w:w="709" w:type="dxa"/>
            <w:vAlign w:val="center"/>
          </w:tcPr>
          <w:p w14:paraId="6D15FFCB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9" w:type="dxa"/>
            <w:vAlign w:val="center"/>
          </w:tcPr>
          <w:p w14:paraId="0002FCF8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45" w:type="dxa"/>
            <w:vAlign w:val="center"/>
          </w:tcPr>
          <w:p w14:paraId="0DAF7111">
            <w:pPr>
              <w:jc w:val="center"/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考查</w:t>
            </w:r>
          </w:p>
        </w:tc>
      </w:tr>
      <w:tr w14:paraId="2407F01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  <w:vAlign w:val="center"/>
          </w:tcPr>
          <w:p w14:paraId="46EEA566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restart"/>
            <w:vAlign w:val="center"/>
          </w:tcPr>
          <w:p w14:paraId="4C4C07DE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专业必修课</w:t>
            </w:r>
          </w:p>
          <w:p w14:paraId="1BD6AEA9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（3学分）</w:t>
            </w:r>
          </w:p>
        </w:tc>
        <w:tc>
          <w:tcPr>
            <w:tcW w:w="3516" w:type="dxa"/>
          </w:tcPr>
          <w:p w14:paraId="15F74929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逻辑</w:t>
            </w: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思维与训练</w:t>
            </w:r>
          </w:p>
        </w:tc>
        <w:tc>
          <w:tcPr>
            <w:tcW w:w="1081" w:type="dxa"/>
          </w:tcPr>
          <w:p w14:paraId="4ABE7379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XS2900005</w:t>
            </w:r>
          </w:p>
        </w:tc>
        <w:tc>
          <w:tcPr>
            <w:tcW w:w="709" w:type="dxa"/>
            <w:vAlign w:val="center"/>
          </w:tcPr>
          <w:p w14:paraId="0760D10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14:paraId="28400536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45" w:type="dxa"/>
            <w:vAlign w:val="center"/>
          </w:tcPr>
          <w:p w14:paraId="3B14B2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考试</w:t>
            </w:r>
          </w:p>
        </w:tc>
      </w:tr>
      <w:tr w14:paraId="5909391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  <w:vAlign w:val="center"/>
          </w:tcPr>
          <w:p w14:paraId="5F93435A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2F8BC417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6" w:type="dxa"/>
          </w:tcPr>
          <w:p w14:paraId="1FEE6B84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哲学专业外语</w:t>
            </w:r>
          </w:p>
        </w:tc>
        <w:tc>
          <w:tcPr>
            <w:tcW w:w="1081" w:type="dxa"/>
          </w:tcPr>
          <w:p w14:paraId="189F7388">
            <w:pPr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XS2900006</w:t>
            </w:r>
          </w:p>
        </w:tc>
        <w:tc>
          <w:tcPr>
            <w:tcW w:w="709" w:type="dxa"/>
            <w:vAlign w:val="center"/>
          </w:tcPr>
          <w:p w14:paraId="381FF44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14:paraId="3CEC549D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45" w:type="dxa"/>
            <w:vAlign w:val="center"/>
          </w:tcPr>
          <w:p w14:paraId="5176E3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考试</w:t>
            </w:r>
          </w:p>
        </w:tc>
      </w:tr>
      <w:tr w14:paraId="6029A0F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571" w:type="dxa"/>
            <w:vMerge w:val="restart"/>
            <w:vAlign w:val="center"/>
          </w:tcPr>
          <w:p w14:paraId="51E1027F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非学位课</w:t>
            </w:r>
          </w:p>
        </w:tc>
        <w:tc>
          <w:tcPr>
            <w:tcW w:w="1226" w:type="dxa"/>
            <w:vMerge w:val="restart"/>
            <w:vAlign w:val="center"/>
          </w:tcPr>
          <w:p w14:paraId="4029B0BB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公共通识课</w:t>
            </w:r>
          </w:p>
          <w:p w14:paraId="1A6DD3AC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（2学分）</w:t>
            </w:r>
          </w:p>
        </w:tc>
        <w:tc>
          <w:tcPr>
            <w:tcW w:w="3516" w:type="dxa"/>
            <w:vAlign w:val="center"/>
          </w:tcPr>
          <w:p w14:paraId="025E29E1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《习近平谈治国理政》研读</w:t>
            </w:r>
          </w:p>
        </w:tc>
        <w:tc>
          <w:tcPr>
            <w:tcW w:w="1081" w:type="dxa"/>
            <w:vAlign w:val="center"/>
          </w:tcPr>
          <w:p w14:paraId="71795FA6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TT0000101</w:t>
            </w:r>
          </w:p>
        </w:tc>
        <w:tc>
          <w:tcPr>
            <w:tcW w:w="709" w:type="dxa"/>
            <w:vAlign w:val="center"/>
          </w:tcPr>
          <w:p w14:paraId="58574503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09" w:type="dxa"/>
            <w:vAlign w:val="center"/>
          </w:tcPr>
          <w:p w14:paraId="26FF6F9D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45" w:type="dxa"/>
            <w:vAlign w:val="center"/>
          </w:tcPr>
          <w:p w14:paraId="3069A69D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</w:tr>
      <w:tr w14:paraId="4C2FC8E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571" w:type="dxa"/>
            <w:vMerge w:val="continue"/>
            <w:vAlign w:val="center"/>
          </w:tcPr>
          <w:p w14:paraId="380FF11A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56A14B16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6" w:type="dxa"/>
            <w:vAlign w:val="center"/>
          </w:tcPr>
          <w:p w14:paraId="04CA6044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马克思主义与社会科学方法论</w:t>
            </w:r>
          </w:p>
        </w:tc>
        <w:tc>
          <w:tcPr>
            <w:tcW w:w="1081" w:type="dxa"/>
            <w:vAlign w:val="center"/>
          </w:tcPr>
          <w:p w14:paraId="62DBB8F0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TS0000101</w:t>
            </w:r>
          </w:p>
        </w:tc>
        <w:tc>
          <w:tcPr>
            <w:tcW w:w="709" w:type="dxa"/>
            <w:vAlign w:val="center"/>
          </w:tcPr>
          <w:p w14:paraId="2252BDC9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09" w:type="dxa"/>
            <w:vAlign w:val="center"/>
          </w:tcPr>
          <w:p w14:paraId="5B477F64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45" w:type="dxa"/>
            <w:vAlign w:val="center"/>
          </w:tcPr>
          <w:p w14:paraId="60EF0215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</w:tr>
      <w:tr w14:paraId="1ED9847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3CB4DA08">
            <w:pP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restart"/>
            <w:vAlign w:val="center"/>
          </w:tcPr>
          <w:p w14:paraId="011D3A8E">
            <w:pPr>
              <w:adjustRightInd w:val="0"/>
              <w:snapToGrid w:val="0"/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专业</w:t>
            </w:r>
          </w:p>
          <w:p w14:paraId="595BFE4D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18"/>
                <w:szCs w:val="18"/>
              </w:rPr>
              <w:t>选修课</w:t>
            </w:r>
          </w:p>
        </w:tc>
        <w:tc>
          <w:tcPr>
            <w:tcW w:w="3516" w:type="dxa"/>
            <w:vAlign w:val="center"/>
          </w:tcPr>
          <w:p w14:paraId="3937A9F7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>数理逻辑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27802D71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XS29042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14:paraId="7B5C112D">
            <w:pPr>
              <w:jc w:val="center"/>
              <w:rPr>
                <w:iCs/>
                <w:color w:val="FF0000"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14:paraId="160BF658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1</w:t>
            </w:r>
          </w:p>
        </w:tc>
        <w:tc>
          <w:tcPr>
            <w:tcW w:w="1045" w:type="dxa"/>
            <w:vMerge w:val="restart"/>
            <w:vAlign w:val="center"/>
          </w:tcPr>
          <w:p w14:paraId="63F63F58">
            <w:pPr>
              <w:adjustRightInd w:val="0"/>
              <w:snapToGrid w:val="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至少选修</w:t>
            </w:r>
          </w:p>
          <w:p w14:paraId="78E907B4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18"/>
                <w:szCs w:val="18"/>
              </w:rPr>
              <w:t>10</w:t>
            </w: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学分</w:t>
            </w:r>
          </w:p>
        </w:tc>
      </w:tr>
      <w:tr w14:paraId="37A2BC7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468E35FC">
            <w:pP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</w:tcPr>
          <w:p w14:paraId="58B9DCBC">
            <w:pPr>
              <w:adjustRightInd w:val="0"/>
              <w:snapToGri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14:paraId="6D5610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西方逻辑史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19C32603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XS29042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709" w:type="dxa"/>
          </w:tcPr>
          <w:p w14:paraId="6E960725">
            <w:pPr>
              <w:jc w:val="center"/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14:paraId="0C9D104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1</w:t>
            </w:r>
          </w:p>
        </w:tc>
        <w:tc>
          <w:tcPr>
            <w:tcW w:w="1045" w:type="dxa"/>
            <w:vMerge w:val="continue"/>
            <w:vAlign w:val="center"/>
          </w:tcPr>
          <w:p w14:paraId="008634C3">
            <w:pPr>
              <w:adjustRightInd w:val="0"/>
              <w:snapToGrid w:val="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E76CD1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792C0F9C">
            <w:pP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</w:tcPr>
          <w:p w14:paraId="2A5FBD19">
            <w:pPr>
              <w:adjustRightInd w:val="0"/>
              <w:snapToGri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14:paraId="35E63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模态逻辑</w:t>
            </w:r>
          </w:p>
        </w:tc>
        <w:tc>
          <w:tcPr>
            <w:tcW w:w="1081" w:type="dxa"/>
            <w:shd w:val="clear" w:color="auto" w:fill="auto"/>
          </w:tcPr>
          <w:p w14:paraId="5B0368DB">
            <w:r>
              <w:rPr>
                <w:rFonts w:hint="eastAsia"/>
                <w:sz w:val="18"/>
                <w:szCs w:val="18"/>
              </w:rPr>
              <w:t>XS29042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709" w:type="dxa"/>
          </w:tcPr>
          <w:p w14:paraId="2CDA8B3A">
            <w:pPr>
              <w:jc w:val="center"/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14:paraId="571BF89A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2</w:t>
            </w:r>
          </w:p>
        </w:tc>
        <w:tc>
          <w:tcPr>
            <w:tcW w:w="1045" w:type="dxa"/>
            <w:vMerge w:val="continue"/>
            <w:vAlign w:val="center"/>
          </w:tcPr>
          <w:p w14:paraId="671CFF30">
            <w:pPr>
              <w:adjustRightInd w:val="0"/>
              <w:snapToGrid w:val="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5B3246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3BA3DAF9">
            <w:pP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</w:tcPr>
          <w:p w14:paraId="18144944">
            <w:pPr>
              <w:adjustRightInd w:val="0"/>
              <w:snapToGri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14:paraId="5D4B82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逻辑哲学</w:t>
            </w:r>
          </w:p>
        </w:tc>
        <w:tc>
          <w:tcPr>
            <w:tcW w:w="1081" w:type="dxa"/>
            <w:shd w:val="clear" w:color="auto" w:fill="auto"/>
          </w:tcPr>
          <w:p w14:paraId="34CC1051">
            <w:r>
              <w:rPr>
                <w:rFonts w:hint="eastAsia"/>
                <w:sz w:val="18"/>
                <w:szCs w:val="18"/>
              </w:rPr>
              <w:t>XS29042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709" w:type="dxa"/>
          </w:tcPr>
          <w:p w14:paraId="139AD596">
            <w:pPr>
              <w:jc w:val="center"/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14:paraId="36008D05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2</w:t>
            </w:r>
          </w:p>
        </w:tc>
        <w:tc>
          <w:tcPr>
            <w:tcW w:w="1045" w:type="dxa"/>
            <w:vMerge w:val="continue"/>
            <w:vAlign w:val="center"/>
          </w:tcPr>
          <w:p w14:paraId="4E2ED521">
            <w:pPr>
              <w:adjustRightInd w:val="0"/>
              <w:snapToGrid w:val="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25F8E3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05CD45E2">
            <w:pP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</w:tcPr>
          <w:p w14:paraId="2EFEB4C9">
            <w:pPr>
              <w:adjustRightInd w:val="0"/>
              <w:snapToGri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14:paraId="7C6A5A0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中国逻辑史</w:t>
            </w:r>
          </w:p>
        </w:tc>
        <w:tc>
          <w:tcPr>
            <w:tcW w:w="1081" w:type="dxa"/>
            <w:shd w:val="clear" w:color="auto" w:fill="auto"/>
          </w:tcPr>
          <w:p w14:paraId="170BFA83">
            <w:r>
              <w:rPr>
                <w:rFonts w:hint="eastAsia"/>
                <w:sz w:val="18"/>
                <w:szCs w:val="18"/>
              </w:rPr>
              <w:t>XS29042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709" w:type="dxa"/>
          </w:tcPr>
          <w:p w14:paraId="419629C3">
            <w:pPr>
              <w:jc w:val="center"/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14:paraId="38CD0431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2</w:t>
            </w:r>
          </w:p>
        </w:tc>
        <w:tc>
          <w:tcPr>
            <w:tcW w:w="1045" w:type="dxa"/>
            <w:vMerge w:val="continue"/>
            <w:vAlign w:val="center"/>
          </w:tcPr>
          <w:p w14:paraId="2C26AA49">
            <w:pPr>
              <w:adjustRightInd w:val="0"/>
              <w:snapToGrid w:val="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AADE22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6148C7B7">
            <w:pP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</w:tcPr>
          <w:p w14:paraId="402295BE">
            <w:pPr>
              <w:adjustRightInd w:val="0"/>
              <w:snapToGri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14:paraId="09D760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逻辑哲学原著选读</w:t>
            </w:r>
          </w:p>
        </w:tc>
        <w:tc>
          <w:tcPr>
            <w:tcW w:w="1081" w:type="dxa"/>
            <w:shd w:val="clear" w:color="auto" w:fill="auto"/>
          </w:tcPr>
          <w:p w14:paraId="26AA97CF">
            <w:r>
              <w:rPr>
                <w:rFonts w:hint="eastAsia"/>
                <w:sz w:val="18"/>
                <w:szCs w:val="18"/>
              </w:rPr>
              <w:t>XS29042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709" w:type="dxa"/>
          </w:tcPr>
          <w:p w14:paraId="798E9E29">
            <w:pPr>
              <w:jc w:val="center"/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14:paraId="6F569369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2</w:t>
            </w:r>
          </w:p>
        </w:tc>
        <w:tc>
          <w:tcPr>
            <w:tcW w:w="1045" w:type="dxa"/>
            <w:vMerge w:val="continue"/>
            <w:vAlign w:val="center"/>
          </w:tcPr>
          <w:p w14:paraId="6762218C">
            <w:pPr>
              <w:adjustRightInd w:val="0"/>
              <w:snapToGrid w:val="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408D17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1CF9FB1F">
            <w:pP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bookmarkStart w:id="1" w:name="_GoBack" w:colFirst="3" w:colLast="3"/>
          </w:p>
        </w:tc>
        <w:tc>
          <w:tcPr>
            <w:tcW w:w="1226" w:type="dxa"/>
            <w:vMerge w:val="continue"/>
          </w:tcPr>
          <w:p w14:paraId="3D23A2C9">
            <w:pPr>
              <w:adjustRightInd w:val="0"/>
              <w:snapToGri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14:paraId="1B28E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归纳逻辑</w:t>
            </w:r>
          </w:p>
        </w:tc>
        <w:tc>
          <w:tcPr>
            <w:tcW w:w="1081" w:type="dxa"/>
            <w:shd w:val="clear" w:color="auto" w:fill="auto"/>
          </w:tcPr>
          <w:p w14:paraId="0A3EFBCD">
            <w:r>
              <w:rPr>
                <w:rFonts w:hint="eastAsia"/>
                <w:sz w:val="18"/>
                <w:szCs w:val="18"/>
              </w:rPr>
              <w:t>XS29042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709" w:type="dxa"/>
          </w:tcPr>
          <w:p w14:paraId="2D4EA37E">
            <w:pPr>
              <w:jc w:val="center"/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14:paraId="3CE2DF35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3</w:t>
            </w:r>
          </w:p>
        </w:tc>
        <w:tc>
          <w:tcPr>
            <w:tcW w:w="1045" w:type="dxa"/>
            <w:vMerge w:val="continue"/>
            <w:vAlign w:val="center"/>
          </w:tcPr>
          <w:p w14:paraId="6699C433">
            <w:pPr>
              <w:adjustRightInd w:val="0"/>
              <w:snapToGrid w:val="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bookmarkEnd w:id="1"/>
      <w:tr w14:paraId="1840DCA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0AC7E00D">
            <w:pP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</w:tcPr>
          <w:p w14:paraId="30EB0AC5">
            <w:pPr>
              <w:adjustRightInd w:val="0"/>
              <w:snapToGri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14:paraId="4408FC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哲学逻辑专题</w:t>
            </w:r>
          </w:p>
        </w:tc>
        <w:tc>
          <w:tcPr>
            <w:tcW w:w="1081" w:type="dxa"/>
            <w:vAlign w:val="center"/>
          </w:tcPr>
          <w:p w14:paraId="27C44D40">
            <w:pPr>
              <w:jc w:val="center"/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XS29042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709" w:type="dxa"/>
          </w:tcPr>
          <w:p w14:paraId="30D44EF7">
            <w:pPr>
              <w:jc w:val="center"/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14:paraId="5BE634D8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3</w:t>
            </w:r>
          </w:p>
        </w:tc>
        <w:tc>
          <w:tcPr>
            <w:tcW w:w="1045" w:type="dxa"/>
            <w:vMerge w:val="continue"/>
            <w:vAlign w:val="center"/>
          </w:tcPr>
          <w:p w14:paraId="29861784">
            <w:pPr>
              <w:adjustRightInd w:val="0"/>
              <w:snapToGrid w:val="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9D82E1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571" w:type="dxa"/>
            <w:vMerge w:val="restart"/>
            <w:vAlign w:val="center"/>
          </w:tcPr>
          <w:p w14:paraId="3EB1FD93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必修环节</w:t>
            </w:r>
          </w:p>
          <w:p w14:paraId="4D59B543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restart"/>
            <w:vAlign w:val="center"/>
          </w:tcPr>
          <w:p w14:paraId="058BA269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素质拓展</w:t>
            </w:r>
          </w:p>
        </w:tc>
        <w:tc>
          <w:tcPr>
            <w:tcW w:w="3516" w:type="dxa"/>
            <w:vAlign w:val="center"/>
          </w:tcPr>
          <w:p w14:paraId="58E24C2B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入学教育</w:t>
            </w:r>
          </w:p>
        </w:tc>
        <w:tc>
          <w:tcPr>
            <w:tcW w:w="1081" w:type="dxa"/>
            <w:vAlign w:val="center"/>
          </w:tcPr>
          <w:p w14:paraId="7C90E608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5DD5CDFF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6E4C8AAC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45" w:type="dxa"/>
            <w:vMerge w:val="restart"/>
            <w:vAlign w:val="center"/>
          </w:tcPr>
          <w:p w14:paraId="0970DCED">
            <w:pPr>
              <w:jc w:val="center"/>
              <w:rPr>
                <w:i/>
                <w:color w:val="FF0000"/>
                <w:sz w:val="18"/>
                <w:szCs w:val="18"/>
              </w:rPr>
            </w:pPr>
          </w:p>
        </w:tc>
      </w:tr>
      <w:tr w14:paraId="3AE5D7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71" w:type="dxa"/>
            <w:vMerge w:val="continue"/>
            <w:vAlign w:val="center"/>
          </w:tcPr>
          <w:p w14:paraId="056BFDF9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1AFAEAFD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6" w:type="dxa"/>
            <w:vAlign w:val="center"/>
          </w:tcPr>
          <w:p w14:paraId="2715A1DC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学术活动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03EF465F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0D6B6F00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09" w:type="dxa"/>
            <w:vAlign w:val="center"/>
          </w:tcPr>
          <w:p w14:paraId="6D8E0739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4-5</w:t>
            </w:r>
          </w:p>
        </w:tc>
        <w:tc>
          <w:tcPr>
            <w:tcW w:w="1045" w:type="dxa"/>
            <w:vMerge w:val="continue"/>
            <w:vAlign w:val="center"/>
          </w:tcPr>
          <w:p w14:paraId="7CB806B2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D5406D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1E8BCE17">
            <w:pP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restart"/>
            <w:vAlign w:val="center"/>
          </w:tcPr>
          <w:p w14:paraId="746DF7DB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学术训练</w:t>
            </w:r>
          </w:p>
        </w:tc>
        <w:tc>
          <w:tcPr>
            <w:tcW w:w="3516" w:type="dxa"/>
            <w:vAlign w:val="center"/>
          </w:tcPr>
          <w:p w14:paraId="39CA92E8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中期筛选</w:t>
            </w:r>
          </w:p>
        </w:tc>
        <w:tc>
          <w:tcPr>
            <w:tcW w:w="1081" w:type="dxa"/>
            <w:vAlign w:val="center"/>
          </w:tcPr>
          <w:p w14:paraId="2B729BFC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66D6D3E2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5A8B6DED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045" w:type="dxa"/>
            <w:vMerge w:val="restart"/>
            <w:vAlign w:val="center"/>
          </w:tcPr>
          <w:p w14:paraId="3204FB5C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过程管理</w:t>
            </w:r>
          </w:p>
          <w:p w14:paraId="042BBF3C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无学分</w:t>
            </w:r>
          </w:p>
        </w:tc>
      </w:tr>
      <w:tr w14:paraId="3CAE50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3B980A40">
            <w:pP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52CE1B68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6" w:type="dxa"/>
            <w:vAlign w:val="center"/>
          </w:tcPr>
          <w:p w14:paraId="47FE3CAC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论文开题</w:t>
            </w:r>
          </w:p>
        </w:tc>
        <w:tc>
          <w:tcPr>
            <w:tcW w:w="1081" w:type="dxa"/>
            <w:vAlign w:val="center"/>
          </w:tcPr>
          <w:p w14:paraId="7F6A6ECB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3129598F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1A5D87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045" w:type="dxa"/>
            <w:vMerge w:val="continue"/>
            <w:vAlign w:val="center"/>
          </w:tcPr>
          <w:p w14:paraId="112467C9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9D59A1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065421F7">
            <w:pP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64A7A8D1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6" w:type="dxa"/>
            <w:vAlign w:val="center"/>
          </w:tcPr>
          <w:p w14:paraId="0F043A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论文中期进展报告</w:t>
            </w:r>
          </w:p>
        </w:tc>
        <w:tc>
          <w:tcPr>
            <w:tcW w:w="1081" w:type="dxa"/>
            <w:vAlign w:val="center"/>
          </w:tcPr>
          <w:p w14:paraId="30484C1C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609C89D0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705FE0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045" w:type="dxa"/>
            <w:vMerge w:val="continue"/>
          </w:tcPr>
          <w:p w14:paraId="2942FC4B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CA801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6285642E">
            <w:pP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32613445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6" w:type="dxa"/>
            <w:vAlign w:val="center"/>
          </w:tcPr>
          <w:p w14:paraId="561F02B2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论文预答辩</w:t>
            </w:r>
          </w:p>
        </w:tc>
        <w:tc>
          <w:tcPr>
            <w:tcW w:w="1081" w:type="dxa"/>
            <w:vAlign w:val="center"/>
          </w:tcPr>
          <w:p w14:paraId="7EB75960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5AECBB99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46E5C30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045" w:type="dxa"/>
            <w:vMerge w:val="continue"/>
          </w:tcPr>
          <w:p w14:paraId="7777092D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C868E7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4446CDD9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</w:tcPr>
          <w:p w14:paraId="6B53E6BB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6" w:type="dxa"/>
            <w:vAlign w:val="center"/>
          </w:tcPr>
          <w:p w14:paraId="0CC7792A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论文评审</w:t>
            </w:r>
          </w:p>
        </w:tc>
        <w:tc>
          <w:tcPr>
            <w:tcW w:w="1081" w:type="dxa"/>
            <w:vAlign w:val="center"/>
          </w:tcPr>
          <w:p w14:paraId="5B800304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5900AA96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099D192F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045" w:type="dxa"/>
            <w:vMerge w:val="continue"/>
          </w:tcPr>
          <w:p w14:paraId="6ADBC7A2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C6B05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2113FB0B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</w:tcPr>
          <w:p w14:paraId="169294FD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6" w:type="dxa"/>
            <w:vAlign w:val="center"/>
          </w:tcPr>
          <w:p w14:paraId="106A6609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论文答辩</w:t>
            </w:r>
          </w:p>
        </w:tc>
        <w:tc>
          <w:tcPr>
            <w:tcW w:w="1081" w:type="dxa"/>
            <w:vAlign w:val="center"/>
          </w:tcPr>
          <w:p w14:paraId="5CD91C9E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102BBFD4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796AE71A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045" w:type="dxa"/>
            <w:vMerge w:val="continue"/>
          </w:tcPr>
          <w:p w14:paraId="1530CE67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00CF645D">
      <w:pPr>
        <w:spacing w:line="440" w:lineRule="exact"/>
        <w:ind w:firstLine="480" w:firstLineChars="200"/>
        <w:rPr>
          <w:rFonts w:eastAsiaTheme="minorEastAsia"/>
          <w:bCs/>
          <w:sz w:val="24"/>
        </w:rPr>
      </w:pPr>
      <w:r>
        <w:rPr>
          <w:rFonts w:eastAsiaTheme="minorEastAsia"/>
          <w:bCs/>
          <w:sz w:val="24"/>
        </w:rPr>
        <w:t>*公共外语课程按入学时的外国语考试科目修读相关语种。</w:t>
      </w:r>
    </w:p>
    <w:p w14:paraId="2F4A02A7">
      <w:pPr>
        <w:spacing w:line="440" w:lineRule="exact"/>
        <w:ind w:firstLine="560" w:firstLineChars="20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十</w:t>
      </w:r>
      <w:r>
        <w:rPr>
          <w:rFonts w:hint="eastAsia" w:eastAsia="黑体"/>
          <w:bCs/>
          <w:sz w:val="28"/>
          <w:szCs w:val="28"/>
        </w:rPr>
        <w:t>三</w:t>
      </w:r>
      <w:r>
        <w:rPr>
          <w:rFonts w:eastAsia="黑体"/>
          <w:bCs/>
          <w:sz w:val="28"/>
          <w:szCs w:val="28"/>
        </w:rPr>
        <w:t>、其他需要说明事项</w:t>
      </w:r>
    </w:p>
    <w:p w14:paraId="62C02A7C">
      <w:pPr>
        <w:spacing w:line="440" w:lineRule="exact"/>
        <w:ind w:firstLine="480" w:firstLineChars="200"/>
        <w:rPr>
          <w:rFonts w:eastAsiaTheme="minorEastAsia"/>
          <w:bCs/>
          <w:sz w:val="24"/>
        </w:rPr>
      </w:pPr>
      <w:r>
        <w:rPr>
          <w:rFonts w:eastAsiaTheme="minorEastAsia"/>
          <w:bCs/>
          <w:sz w:val="24"/>
        </w:rPr>
        <w:t>1.</w:t>
      </w:r>
      <w:r>
        <w:rPr>
          <w:rFonts w:hint="eastAsia" w:eastAsiaTheme="minorEastAsia"/>
          <w:bCs/>
          <w:sz w:val="24"/>
        </w:rPr>
        <w:t xml:space="preserve"> 学位课为一级学科下所有专业方向的必修课程。必修环节为研究生培养过程中必须完成的培养活动。</w:t>
      </w:r>
    </w:p>
    <w:p w14:paraId="012AD59B">
      <w:pPr>
        <w:spacing w:line="440" w:lineRule="exact"/>
        <w:ind w:firstLine="480" w:firstLineChars="200"/>
        <w:rPr>
          <w:rFonts w:eastAsiaTheme="minorEastAsia"/>
          <w:bCs/>
          <w:sz w:val="24"/>
        </w:rPr>
      </w:pPr>
      <w:r>
        <w:rPr>
          <w:rFonts w:hint="eastAsia" w:eastAsiaTheme="minorEastAsia"/>
          <w:bCs/>
          <w:sz w:val="24"/>
        </w:rPr>
        <w:t>2</w:t>
      </w:r>
      <w:r>
        <w:rPr>
          <w:rFonts w:eastAsiaTheme="minorEastAsia"/>
          <w:bCs/>
          <w:sz w:val="24"/>
        </w:rPr>
        <w:t>. 非学位课中的公共通识课为</w:t>
      </w:r>
      <w:r>
        <w:rPr>
          <w:rFonts w:hint="eastAsia" w:eastAsiaTheme="minorEastAsia"/>
          <w:bCs/>
          <w:sz w:val="24"/>
        </w:rPr>
        <w:t>必选课程。</w:t>
      </w:r>
    </w:p>
    <w:p w14:paraId="730D42EA">
      <w:pPr>
        <w:spacing w:line="440" w:lineRule="exact"/>
        <w:ind w:firstLine="480" w:firstLineChars="200"/>
        <w:rPr>
          <w:rFonts w:eastAsiaTheme="minorEastAsia"/>
          <w:bCs/>
          <w:sz w:val="24"/>
        </w:rPr>
      </w:pPr>
      <w:r>
        <w:rPr>
          <w:rFonts w:hint="eastAsia" w:eastAsiaTheme="minorEastAsia"/>
          <w:bCs/>
          <w:sz w:val="24"/>
        </w:rPr>
        <w:t>3</w:t>
      </w:r>
      <w:r>
        <w:rPr>
          <w:rFonts w:eastAsiaTheme="minorEastAsia"/>
          <w:bCs/>
          <w:sz w:val="24"/>
        </w:rPr>
        <w:t>. 毕业总学分：</w:t>
      </w:r>
      <w:r>
        <w:rPr>
          <w:rFonts w:hint="eastAsia" w:eastAsiaTheme="minorEastAsia"/>
          <w:bCs/>
          <w:sz w:val="24"/>
        </w:rPr>
        <w:t>学位课</w:t>
      </w:r>
      <w:r>
        <w:rPr>
          <w:rFonts w:eastAsiaTheme="minorEastAsia"/>
          <w:bCs/>
          <w:sz w:val="24"/>
        </w:rPr>
        <w:t>+</w:t>
      </w:r>
      <w:r>
        <w:rPr>
          <w:rFonts w:hint="eastAsia" w:eastAsiaTheme="minorEastAsia"/>
          <w:bCs/>
          <w:sz w:val="24"/>
        </w:rPr>
        <w:t>非学位课</w:t>
      </w:r>
      <w:r>
        <w:rPr>
          <w:rFonts w:eastAsiaTheme="minorEastAsia"/>
          <w:bCs/>
          <w:sz w:val="24"/>
        </w:rPr>
        <w:t>+必修环节。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029094764"/>
    </w:sdtPr>
    <w:sdtContent>
      <w:p w14:paraId="2A80EB5E"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5</w:t>
        </w:r>
        <w:r>
          <w:fldChar w:fldCharType="end"/>
        </w:r>
      </w:p>
    </w:sdtContent>
  </w:sdt>
  <w:p w14:paraId="418FE6BA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BB8"/>
    <w:rsid w:val="000013C4"/>
    <w:rsid w:val="000B4D89"/>
    <w:rsid w:val="00115DF3"/>
    <w:rsid w:val="001809F6"/>
    <w:rsid w:val="001C6DF7"/>
    <w:rsid w:val="001D3006"/>
    <w:rsid w:val="001D7194"/>
    <w:rsid w:val="00211A27"/>
    <w:rsid w:val="00262D86"/>
    <w:rsid w:val="00361CF5"/>
    <w:rsid w:val="0036488A"/>
    <w:rsid w:val="00380D4C"/>
    <w:rsid w:val="00392BB8"/>
    <w:rsid w:val="00397FA6"/>
    <w:rsid w:val="00402C4E"/>
    <w:rsid w:val="00447A8D"/>
    <w:rsid w:val="00491EE2"/>
    <w:rsid w:val="004B61E0"/>
    <w:rsid w:val="0054317C"/>
    <w:rsid w:val="00580523"/>
    <w:rsid w:val="00583396"/>
    <w:rsid w:val="005C21FE"/>
    <w:rsid w:val="00676327"/>
    <w:rsid w:val="006F7DB1"/>
    <w:rsid w:val="00765FBC"/>
    <w:rsid w:val="0077524D"/>
    <w:rsid w:val="007D411F"/>
    <w:rsid w:val="007E587D"/>
    <w:rsid w:val="0086256F"/>
    <w:rsid w:val="008B49B7"/>
    <w:rsid w:val="008C09CC"/>
    <w:rsid w:val="008E6542"/>
    <w:rsid w:val="008E7CAD"/>
    <w:rsid w:val="008F12BD"/>
    <w:rsid w:val="009369D0"/>
    <w:rsid w:val="00975458"/>
    <w:rsid w:val="00997007"/>
    <w:rsid w:val="009E5B92"/>
    <w:rsid w:val="00A938E7"/>
    <w:rsid w:val="00AD7876"/>
    <w:rsid w:val="00B0541A"/>
    <w:rsid w:val="00B336A3"/>
    <w:rsid w:val="00BB6AC7"/>
    <w:rsid w:val="00BE492D"/>
    <w:rsid w:val="00C41F35"/>
    <w:rsid w:val="00C424CD"/>
    <w:rsid w:val="00C733EC"/>
    <w:rsid w:val="00D416F7"/>
    <w:rsid w:val="00DA5B2F"/>
    <w:rsid w:val="00DB7992"/>
    <w:rsid w:val="00E073A7"/>
    <w:rsid w:val="00E22666"/>
    <w:rsid w:val="00E3709E"/>
    <w:rsid w:val="00FA578D"/>
    <w:rsid w:val="00FC1733"/>
    <w:rsid w:val="025153F8"/>
    <w:rsid w:val="026003DA"/>
    <w:rsid w:val="040A2CF3"/>
    <w:rsid w:val="085F37E6"/>
    <w:rsid w:val="0C140DB6"/>
    <w:rsid w:val="0E8004E8"/>
    <w:rsid w:val="15A80551"/>
    <w:rsid w:val="1F884DA0"/>
    <w:rsid w:val="2AF72431"/>
    <w:rsid w:val="2C0B1233"/>
    <w:rsid w:val="2C7B1B7F"/>
    <w:rsid w:val="407E705F"/>
    <w:rsid w:val="4AD14F9E"/>
    <w:rsid w:val="52630101"/>
    <w:rsid w:val="5B4B70E9"/>
    <w:rsid w:val="5DA84284"/>
    <w:rsid w:val="601B4AB2"/>
    <w:rsid w:val="66650F64"/>
    <w:rsid w:val="779E2F73"/>
    <w:rsid w:val="7C2A2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3227</Words>
  <Characters>3441</Characters>
  <Lines>26</Lines>
  <Paragraphs>7</Paragraphs>
  <TotalTime>4</TotalTime>
  <ScaleCrop>false</ScaleCrop>
  <LinksUpToDate>false</LinksUpToDate>
  <CharactersWithSpaces>3461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2025-04-30T07:32:00Z</dcterms:created>
  <dc:creator>zhao</dc:creator>
  <cp:lastModifiedBy>A宋宋</cp:lastModifiedBy>
  <dcterms:modified xsi:type="dcterms:W3CDTF">2025-06-16T08:15:55Z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eyJoZGlkIjoiNTRlMmI4MzVlYjZjZDdhYmNmOTUwMTcwODNhY2JlYzciLCJ1c2VySWQiOiIxMDI1OTcxODgyIn0=</vt:lpwstr>
  </property>
  <property fmtid="{D5CDD505-2E9C-101B-9397-08002B2CF9AE}" pid="3" name="KSOProductBuildVer">
    <vt:lpwstr>2052-12.1.0.21171</vt:lpwstr>
  </property>
  <property fmtid="{D5CDD505-2E9C-101B-9397-08002B2CF9AE}" pid="4" name="ICV">
    <vt:lpwstr>7D0294C2796B4083A45E79B705F71AB4_12</vt:lpwstr>
  </property>
</Properties>
</file>