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6B6457">
      <w:pPr>
        <w:keepNext w:val="0"/>
        <w:keepLines w:val="0"/>
        <w:pageBreakBefore w:val="0"/>
        <w:kinsoku/>
        <w:wordWrap/>
        <w:overflowPunct/>
        <w:topLinePunct w:val="0"/>
        <w:autoSpaceDE/>
        <w:autoSpaceDN/>
        <w:bidi w:val="0"/>
        <w:spacing w:beforeAutospacing="0" w:afterAutospacing="0" w:line="360" w:lineRule="auto"/>
        <w:ind w:left="0" w:leftChars="0" w:right="0"/>
        <w:jc w:val="center"/>
        <w:textAlignment w:val="auto"/>
        <w:rPr>
          <w:rFonts w:eastAsia="黑体"/>
          <w:b w:val="0"/>
          <w:bCs/>
          <w:sz w:val="36"/>
          <w:szCs w:val="36"/>
        </w:rPr>
      </w:pPr>
      <w:r>
        <w:rPr>
          <w:rFonts w:hint="eastAsia" w:eastAsia="黑体"/>
          <w:b w:val="0"/>
          <w:bCs/>
          <w:sz w:val="36"/>
          <w:szCs w:val="36"/>
          <w:u w:val="single"/>
          <w:lang w:eastAsia="zh-CN"/>
        </w:rPr>
        <w:t>法学理论</w:t>
      </w:r>
      <w:r>
        <w:rPr>
          <w:rFonts w:eastAsia="黑体"/>
          <w:b w:val="0"/>
          <w:bCs/>
          <w:sz w:val="36"/>
          <w:szCs w:val="36"/>
        </w:rPr>
        <w:t>专业学术学位硕士研究生培养方案</w:t>
      </w:r>
    </w:p>
    <w:p w14:paraId="20DF144F">
      <w:pPr>
        <w:keepNext w:val="0"/>
        <w:keepLines w:val="0"/>
        <w:pageBreakBefore w:val="0"/>
        <w:kinsoku/>
        <w:wordWrap/>
        <w:overflowPunct/>
        <w:topLinePunct w:val="0"/>
        <w:autoSpaceDE/>
        <w:autoSpaceDN/>
        <w:bidi w:val="0"/>
        <w:spacing w:beforeAutospacing="0" w:afterAutospacing="0" w:line="360" w:lineRule="auto"/>
        <w:ind w:left="0" w:leftChars="0" w:right="0"/>
        <w:jc w:val="center"/>
        <w:textAlignment w:val="auto"/>
        <w:rPr>
          <w:rFonts w:eastAsia="黑体"/>
          <w:b w:val="0"/>
          <w:bCs/>
          <w:sz w:val="28"/>
          <w:szCs w:val="28"/>
        </w:rPr>
      </w:pPr>
      <w:r>
        <w:rPr>
          <w:rFonts w:eastAsia="黑体"/>
          <w:b w:val="0"/>
          <w:bCs/>
          <w:sz w:val="28"/>
          <w:szCs w:val="28"/>
        </w:rPr>
        <w:t>（</w:t>
      </w:r>
      <w:r>
        <w:rPr>
          <w:rFonts w:hint="eastAsia" w:eastAsia="黑体"/>
          <w:b w:val="0"/>
          <w:bCs/>
          <w:sz w:val="28"/>
          <w:szCs w:val="28"/>
          <w:lang w:eastAsia="zh-CN"/>
        </w:rPr>
        <w:t>法</w:t>
      </w:r>
      <w:r>
        <w:rPr>
          <w:rFonts w:eastAsia="黑体"/>
          <w:b w:val="0"/>
          <w:bCs/>
          <w:sz w:val="28"/>
          <w:szCs w:val="28"/>
        </w:rPr>
        <w:t>学院)</w:t>
      </w:r>
    </w:p>
    <w:p w14:paraId="209E160F">
      <w:pPr>
        <w:keepNext w:val="0"/>
        <w:keepLines w:val="0"/>
        <w:pageBreakBefore w:val="0"/>
        <w:kinsoku/>
        <w:wordWrap/>
        <w:overflowPunct/>
        <w:topLinePunct w:val="0"/>
        <w:autoSpaceDE/>
        <w:autoSpaceDN/>
        <w:bidi w:val="0"/>
        <w:spacing w:beforeAutospacing="0" w:afterAutospacing="0" w:line="360" w:lineRule="auto"/>
        <w:ind w:right="0" w:firstLine="560" w:firstLineChars="200"/>
        <w:textAlignment w:val="auto"/>
        <w:rPr>
          <w:rFonts w:eastAsia="黑体"/>
          <w:b w:val="0"/>
          <w:bCs/>
          <w:sz w:val="28"/>
          <w:szCs w:val="28"/>
        </w:rPr>
      </w:pPr>
      <w:r>
        <w:rPr>
          <w:rFonts w:eastAsia="黑体"/>
          <w:b w:val="0"/>
          <w:bCs/>
          <w:sz w:val="28"/>
          <w:szCs w:val="28"/>
        </w:rPr>
        <w:t>一、专业名称、代码</w:t>
      </w:r>
    </w:p>
    <w:p w14:paraId="584F7EF5">
      <w:pPr>
        <w:keepNext w:val="0"/>
        <w:keepLines w:val="0"/>
        <w:pageBreakBefore w:val="0"/>
        <w:widowControl/>
        <w:kinsoku/>
        <w:wordWrap/>
        <w:overflowPunct/>
        <w:topLinePunct w:val="0"/>
        <w:autoSpaceDE/>
        <w:autoSpaceDN/>
        <w:bidi w:val="0"/>
        <w:spacing w:beforeAutospacing="0" w:afterAutospacing="0" w:line="360" w:lineRule="auto"/>
        <w:ind w:right="0" w:firstLine="960" w:firstLineChars="400"/>
        <w:jc w:val="left"/>
        <w:textAlignment w:val="auto"/>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eastAsia="zh-CN"/>
        </w:rPr>
        <w:t>法学理论</w:t>
      </w:r>
    </w:p>
    <w:p w14:paraId="7EB30C34">
      <w:pPr>
        <w:keepNext w:val="0"/>
        <w:keepLines w:val="0"/>
        <w:pageBreakBefore w:val="0"/>
        <w:widowControl/>
        <w:kinsoku/>
        <w:wordWrap/>
        <w:overflowPunct/>
        <w:topLinePunct w:val="0"/>
        <w:autoSpaceDE/>
        <w:autoSpaceDN/>
        <w:bidi w:val="0"/>
        <w:spacing w:beforeAutospacing="0" w:afterAutospacing="0" w:line="360" w:lineRule="auto"/>
        <w:ind w:right="0" w:firstLine="960" w:firstLineChars="400"/>
        <w:jc w:val="left"/>
        <w:textAlignment w:val="auto"/>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rPr>
        <w:t>030101</w:t>
      </w:r>
    </w:p>
    <w:p w14:paraId="5D9590F4">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79CCE06E">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河北大学法学学科肇始于1939年</w:t>
      </w:r>
      <w:r>
        <w:rPr>
          <w:rFonts w:hint="eastAsia" w:ascii="宋体" w:hAnsi="宋体" w:eastAsia="宋体" w:cs="宋体"/>
          <w:sz w:val="24"/>
          <w:szCs w:val="24"/>
          <w:lang w:val="en-US" w:eastAsia="zh-CN"/>
        </w:rPr>
        <w:t>，重新创建于</w:t>
      </w:r>
      <w:r>
        <w:rPr>
          <w:rFonts w:hint="eastAsia" w:ascii="宋体" w:hAnsi="宋体" w:eastAsia="宋体" w:cs="宋体"/>
          <w:sz w:val="24"/>
          <w:szCs w:val="24"/>
          <w:lang w:val="en-US"/>
        </w:rPr>
        <w:t>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w:t>
      </w:r>
      <w:r>
        <w:rPr>
          <w:rFonts w:hint="eastAsia" w:ascii="宋体" w:hAnsi="宋体" w:eastAsia="宋体" w:cs="宋体"/>
          <w:sz w:val="24"/>
          <w:szCs w:val="24"/>
          <w:lang w:val="en-US" w:eastAsia="zh-CN"/>
        </w:rPr>
        <w:t>、雄安新区建设、冬奥会等</w:t>
      </w:r>
      <w:r>
        <w:rPr>
          <w:rFonts w:hint="eastAsia" w:ascii="宋体" w:hAnsi="宋体" w:eastAsia="宋体" w:cs="宋体"/>
          <w:sz w:val="24"/>
          <w:szCs w:val="24"/>
          <w:lang w:val="en-US"/>
        </w:rPr>
        <w:t>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p w14:paraId="37A290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rPr>
      </w:pPr>
      <w:r>
        <w:rPr>
          <w:rFonts w:hint="eastAsia" w:ascii="宋体" w:hAnsi="宋体" w:eastAsia="宋体" w:cs="宋体"/>
          <w:bCs/>
          <w:sz w:val="24"/>
        </w:rPr>
        <w:t>法学理论</w:t>
      </w:r>
      <w:r>
        <w:rPr>
          <w:rFonts w:hint="eastAsia" w:ascii="宋体" w:hAnsi="宋体" w:cs="宋体"/>
          <w:bCs/>
          <w:sz w:val="24"/>
          <w:lang w:eastAsia="zh-CN"/>
        </w:rPr>
        <w:t>专业</w:t>
      </w:r>
      <w:r>
        <w:rPr>
          <w:rFonts w:hint="eastAsia" w:ascii="宋体" w:hAnsi="宋体" w:eastAsia="宋体" w:cs="宋体"/>
          <w:bCs/>
          <w:sz w:val="24"/>
        </w:rPr>
        <w:t>是法学一级学科下设的重要二级学科，</w:t>
      </w:r>
      <w:r>
        <w:rPr>
          <w:rFonts w:hint="eastAsia" w:ascii="宋体" w:hAnsi="宋体" w:cs="宋体"/>
          <w:bCs/>
          <w:sz w:val="24"/>
          <w:lang w:eastAsia="zh-CN"/>
        </w:rPr>
        <w:t>该专业</w:t>
      </w:r>
      <w:r>
        <w:rPr>
          <w:rFonts w:hint="eastAsia" w:ascii="宋体" w:hAnsi="宋体" w:eastAsia="宋体" w:cs="宋体"/>
          <w:bCs/>
          <w:sz w:val="24"/>
        </w:rPr>
        <w:t>以法哲学、立法</w:t>
      </w:r>
      <w:r>
        <w:rPr>
          <w:rFonts w:hint="eastAsia" w:ascii="宋体" w:hAnsi="宋体" w:cs="宋体"/>
          <w:bCs/>
          <w:sz w:val="24"/>
          <w:lang w:val="en-US" w:eastAsia="zh-CN"/>
        </w:rPr>
        <w:t>学</w:t>
      </w:r>
      <w:r>
        <w:rPr>
          <w:rFonts w:hint="eastAsia" w:ascii="宋体" w:hAnsi="宋体" w:eastAsia="宋体" w:cs="宋体"/>
          <w:bCs/>
          <w:sz w:val="24"/>
        </w:rPr>
        <w:t>、法律社会学、法文化等领域问题为研究重点，紧密结合中国法治实践的热点问题，深入</w:t>
      </w:r>
      <w:r>
        <w:rPr>
          <w:rFonts w:hint="eastAsia" w:ascii="宋体" w:hAnsi="宋体" w:eastAsia="宋体" w:cs="宋体"/>
          <w:bCs/>
          <w:color w:val="000000" w:themeColor="text1"/>
          <w:sz w:val="24"/>
          <w14:textFill>
            <w14:solidFill>
              <w14:schemeClr w14:val="tx1"/>
            </w14:solidFill>
          </w14:textFill>
        </w:rPr>
        <w:t>开展习近平</w:t>
      </w:r>
      <w:r>
        <w:rPr>
          <w:rFonts w:hint="eastAsia" w:ascii="宋体" w:hAnsi="宋体" w:eastAsia="宋体" w:cs="宋体"/>
          <w:bCs/>
          <w:color w:val="000000" w:themeColor="text1"/>
          <w:sz w:val="24"/>
          <w:highlight w:val="none"/>
          <w:lang w:eastAsia="zh-CN"/>
          <w14:textFill>
            <w14:solidFill>
              <w14:schemeClr w14:val="tx1"/>
            </w14:solidFill>
          </w14:textFill>
        </w:rPr>
        <w:t>法治思想</w:t>
      </w:r>
      <w:r>
        <w:rPr>
          <w:rFonts w:hint="eastAsia" w:ascii="宋体" w:hAnsi="宋体" w:eastAsia="宋体" w:cs="宋体"/>
          <w:bCs/>
          <w:color w:val="000000" w:themeColor="text1"/>
          <w:sz w:val="24"/>
          <w14:textFill>
            <w14:solidFill>
              <w14:schemeClr w14:val="tx1"/>
            </w14:solidFill>
          </w14:textFill>
        </w:rPr>
        <w:t>，法学基本范畴及体系化，部门法理学的理论框架与核心范畴，中国特色社会主义法治建设的历史经验以及立法实践、司法实践中的法理学问题等的研究，为法治中国建设提供智力资源，实现对研究生法治思维、批判性思维、建设性思维以及理论建构等能力的培养。</w:t>
      </w:r>
    </w:p>
    <w:p w14:paraId="06236EF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color w:val="000000" w:themeColor="text1"/>
          <w:sz w:val="28"/>
          <w:szCs w:val="28"/>
          <w14:textFill>
            <w14:solidFill>
              <w14:schemeClr w14:val="tx1"/>
            </w14:solidFill>
          </w14:textFill>
        </w:rPr>
      </w:pPr>
      <w:r>
        <w:rPr>
          <w:rFonts w:eastAsia="黑体"/>
          <w:b w:val="0"/>
          <w:bCs/>
          <w:color w:val="000000" w:themeColor="text1"/>
          <w:sz w:val="28"/>
          <w:szCs w:val="28"/>
          <w14:textFill>
            <w14:solidFill>
              <w14:schemeClr w14:val="tx1"/>
            </w14:solidFill>
          </w14:textFill>
        </w:rPr>
        <w:t>三、研究方向</w:t>
      </w:r>
    </w:p>
    <w:p w14:paraId="7E970DA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highlight w:val="none"/>
        </w:rPr>
      </w:pPr>
      <w:r>
        <w:rPr>
          <w:rFonts w:hint="eastAsia" w:ascii="宋体" w:hAnsi="宋体" w:cs="宋体"/>
          <w:bCs/>
          <w:sz w:val="24"/>
          <w:highlight w:val="none"/>
          <w:lang w:eastAsia="zh-CN"/>
        </w:rPr>
        <w:t>法学理论专业</w:t>
      </w:r>
      <w:r>
        <w:rPr>
          <w:rFonts w:hint="eastAsia" w:ascii="宋体" w:hAnsi="宋体" w:eastAsia="宋体" w:cs="宋体"/>
          <w:bCs/>
          <w:sz w:val="24"/>
          <w:highlight w:val="none"/>
        </w:rPr>
        <w:t>设置</w:t>
      </w:r>
      <w:r>
        <w:rPr>
          <w:rFonts w:hint="eastAsia" w:ascii="宋体" w:hAnsi="宋体" w:cs="宋体"/>
          <w:bCs/>
          <w:sz w:val="24"/>
          <w:highlight w:val="none"/>
          <w:lang w:val="en-US" w:eastAsia="zh-CN"/>
        </w:rPr>
        <w:t>4</w:t>
      </w:r>
      <w:r>
        <w:rPr>
          <w:rFonts w:hint="eastAsia" w:ascii="宋体" w:hAnsi="宋体" w:eastAsia="宋体" w:cs="宋体"/>
          <w:bCs/>
          <w:sz w:val="24"/>
          <w:highlight w:val="none"/>
        </w:rPr>
        <w:t>个研究方向：</w:t>
      </w:r>
    </w:p>
    <w:p w14:paraId="349CA6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一）法哲学方向。法哲学致力于从哲学角度深入探讨法的本质、法的价值以及法的运行逻辑，旨在揭示法律制度背后的理性结构与价值导向。法律不仅提供社会治理方案，更承载人类价值理想与道德追求，尤其在人工智能迅猛发展的今天，要以法哲学的厚度与远见为科技与人类的关系提供解释，为人类社会追求正义与秩序提供理论依据与价值皈依。</w:t>
      </w:r>
    </w:p>
    <w:p w14:paraId="23EBE5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二）立法学方向。立法学方向，聚焦于法律创制的理论、方法与技术，核心目标是研究如何科学、民主、高效地制定良法。主要研究立法的认识论、方法论，立法者的职业伦理，立法技术标准、立法技术规范，立法前评估、备案审查、立法后评估等立法理论与实务问题。</w:t>
      </w:r>
    </w:p>
    <w:p w14:paraId="117EB7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三）法律社会学方向。法律社会学主要研究法律与社会的互动关系，旨在探讨法律在社会中的实际运行、功能及其对社会的影响，以及社会因素如何影响法律的制定与实施。法律社会学不仅关注法律制度的结构和运作机制，还关注法律与社会变迁、法律意识、法律职业、法律文化等多方面的互动关系。</w:t>
      </w:r>
    </w:p>
    <w:p w14:paraId="7FC72A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四）法文化方向。法文化把人类的法律思想、立法、司法、法学教育等作为一个统一的整体进行把握和分析，旨在探讨人类法律实践活动的状态、本质特征和发展规律性。法文化课程主要围绕法文化基本理论、中国传统法文化、法文化的比较研究和中国法文化的现代化等问题进行教学和研讨。</w:t>
      </w:r>
    </w:p>
    <w:p w14:paraId="28B12144">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sz w:val="28"/>
          <w:szCs w:val="28"/>
        </w:rPr>
      </w:pPr>
      <w:r>
        <w:rPr>
          <w:rFonts w:eastAsia="黑体"/>
          <w:b w:val="0"/>
          <w:bCs/>
          <w:sz w:val="28"/>
          <w:szCs w:val="28"/>
        </w:rPr>
        <w:t>四、学制及学习年限</w:t>
      </w:r>
    </w:p>
    <w:p w14:paraId="2398150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i/>
          <w:color w:val="FF0000"/>
          <w:sz w:val="24"/>
        </w:rPr>
      </w:pPr>
      <w:r>
        <w:rPr>
          <w:rFonts w:eastAsiaTheme="minorEastAsia"/>
          <w:color w:val="000000"/>
          <w:sz w:val="24"/>
        </w:rPr>
        <w:t>本专业学制为3年，在校最长学习年限（含休学）不超过6年。</w:t>
      </w:r>
    </w:p>
    <w:p w14:paraId="10BF87D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sz w:val="28"/>
          <w:szCs w:val="28"/>
        </w:rPr>
      </w:pPr>
      <w:r>
        <w:rPr>
          <w:rFonts w:eastAsia="黑体"/>
          <w:b w:val="0"/>
          <w:bCs/>
          <w:sz w:val="28"/>
          <w:szCs w:val="28"/>
        </w:rPr>
        <w:t>五、培养目标</w:t>
      </w:r>
    </w:p>
    <w:p w14:paraId="6B0E878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 xml:space="preserve">1. </w:t>
      </w:r>
      <w:r>
        <w:rPr>
          <w:rFonts w:hint="eastAsia" w:ascii="宋体" w:hAnsi="宋体"/>
          <w:sz w:val="24"/>
        </w:rPr>
        <w:t>掌握中国特色社会主义理论体系和习近平法治思想,树立正确的中国特色社会主义核心价值观，</w:t>
      </w:r>
      <w:r>
        <w:rPr>
          <w:rFonts w:hint="eastAsia" w:ascii="宋体" w:hAnsi="宋体" w:cs="宋体"/>
          <w:iCs/>
          <w:sz w:val="24"/>
        </w:rPr>
        <w:t>具有坚定的理想信念，高尚的道德情操，优良的学术作风，高度的社会责任感。</w:t>
      </w:r>
    </w:p>
    <w:p w14:paraId="6AB89374">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2. 掌握坚实的法学基础理论和系统的法律专门知识，具有良好的法学思维能力、学术创新能力和法律实践能力，具备良好法律职业道德和身心素质，服务于法治中国和法治河北建设特别是京津冀协同发展、雄安新区建设的复合型高素质法治人才。</w:t>
      </w:r>
    </w:p>
    <w:p w14:paraId="3CCC002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3. 至少掌握一门外国语，能熟练阅读本专业的外文资料，具有撰写学术论文和进行国际学术交流的能力。</w:t>
      </w:r>
    </w:p>
    <w:p w14:paraId="23DE1892">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4. 具有良好的团队意识和团队合作精神。</w:t>
      </w:r>
    </w:p>
    <w:p w14:paraId="6F346E2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5. 具有健康的身体和良好的心理素质。</w:t>
      </w:r>
    </w:p>
    <w:p w14:paraId="5C70227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b/>
          <w:bCs/>
          <w:iCs/>
          <w:sz w:val="24"/>
        </w:rPr>
      </w:pPr>
      <w:r>
        <w:rPr>
          <w:rFonts w:hint="eastAsia" w:ascii="宋体" w:hAnsi="宋体" w:cs="宋体"/>
          <w:iCs/>
          <w:sz w:val="24"/>
        </w:rPr>
        <w:t>6. 培养德智体美劳全面发展的社会主义事业接班人。</w:t>
      </w:r>
    </w:p>
    <w:p w14:paraId="7B64EBAA">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六、培养方式</w:t>
      </w:r>
    </w:p>
    <w:p w14:paraId="0526B1A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lang w:eastAsia="zh-CN"/>
        </w:rPr>
      </w:pPr>
      <w:r>
        <w:rPr>
          <w:rFonts w:hint="eastAsia" w:ascii="宋体" w:hAnsi="宋体" w:cs="宋体"/>
          <w:iCs/>
          <w:sz w:val="24"/>
          <w:lang w:val="en-US" w:eastAsia="zh-CN"/>
        </w:rPr>
        <w:t>1.</w:t>
      </w:r>
      <w:r>
        <w:rPr>
          <w:rFonts w:hint="eastAsia" w:ascii="宋体" w:hAnsi="宋体" w:cs="宋体"/>
          <w:iCs/>
          <w:sz w:val="24"/>
          <w:lang w:eastAsia="zh-CN"/>
        </w:rPr>
        <w:t>硕士</w:t>
      </w:r>
      <w:r>
        <w:rPr>
          <w:rFonts w:hint="eastAsia" w:ascii="宋体" w:hAnsi="宋体" w:cs="宋体"/>
          <w:iCs/>
          <w:sz w:val="24"/>
        </w:rPr>
        <w:t>研究生培养实行导师具体负责与集体培养相结合，充分发挥学科综合优势和学术群体作用。其中，</w:t>
      </w:r>
      <w:r>
        <w:rPr>
          <w:rFonts w:hint="eastAsia" w:ascii="宋体" w:hAnsi="宋体" w:cs="宋体"/>
          <w:iCs/>
          <w:sz w:val="24"/>
          <w:lang w:eastAsia="zh-CN"/>
        </w:rPr>
        <w:t>硕</w:t>
      </w:r>
      <w:r>
        <w:rPr>
          <w:rFonts w:hint="eastAsia" w:ascii="宋体" w:hAnsi="宋体" w:cs="宋体"/>
          <w:iCs/>
          <w:sz w:val="24"/>
        </w:rPr>
        <w:t>士生导师负责对</w:t>
      </w:r>
      <w:r>
        <w:rPr>
          <w:rFonts w:hint="eastAsia" w:ascii="宋体" w:hAnsi="宋体" w:cs="宋体"/>
          <w:iCs/>
          <w:sz w:val="24"/>
          <w:lang w:eastAsia="zh-CN"/>
        </w:rPr>
        <w:t>硕士</w:t>
      </w:r>
      <w:r>
        <w:rPr>
          <w:rFonts w:hint="eastAsia" w:ascii="宋体" w:hAnsi="宋体" w:cs="宋体"/>
          <w:iCs/>
          <w:sz w:val="24"/>
        </w:rPr>
        <w:t>研究生的思想政治教育、学术训练和学位论文撰写等方面的具体指导工作，导师组对</w:t>
      </w:r>
      <w:r>
        <w:rPr>
          <w:rFonts w:hint="eastAsia" w:ascii="宋体" w:hAnsi="宋体" w:cs="宋体"/>
          <w:iCs/>
          <w:sz w:val="24"/>
          <w:lang w:eastAsia="zh-CN"/>
        </w:rPr>
        <w:t>硕士</w:t>
      </w:r>
      <w:r>
        <w:rPr>
          <w:rFonts w:hint="eastAsia" w:ascii="宋体" w:hAnsi="宋体" w:cs="宋体"/>
          <w:iCs/>
          <w:sz w:val="24"/>
        </w:rPr>
        <w:t>研究生的人才培养方案制定和实施、学位论文质量监控等负有组织和监督职责</w:t>
      </w:r>
      <w:r>
        <w:rPr>
          <w:rFonts w:hint="eastAsia" w:ascii="宋体" w:hAnsi="宋体" w:cs="宋体"/>
          <w:iCs/>
          <w:sz w:val="24"/>
          <w:lang w:eastAsia="zh-CN"/>
        </w:rPr>
        <w:t>。</w:t>
      </w:r>
    </w:p>
    <w:p w14:paraId="61F93D5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lang w:eastAsia="zh-CN"/>
        </w:rPr>
      </w:pPr>
      <w:r>
        <w:rPr>
          <w:rFonts w:hint="eastAsia" w:ascii="宋体" w:hAnsi="宋体" w:cs="宋体"/>
          <w:iCs/>
          <w:sz w:val="24"/>
          <w:lang w:val="en-US" w:eastAsia="zh-CN"/>
        </w:rPr>
        <w:t>2.硕士</w:t>
      </w:r>
      <w:r>
        <w:rPr>
          <w:rFonts w:hint="eastAsia" w:ascii="宋体" w:hAnsi="宋体" w:cs="宋体"/>
          <w:iCs/>
          <w:sz w:val="24"/>
          <w:lang w:eastAsia="zh-CN"/>
        </w:rPr>
        <w:t>研究生采用以学生为中心、以问题为导向、以任务为驱动的研究型教学方式，充分发挥硕士研究生在课程学习中的主动性和自觉性。</w:t>
      </w:r>
    </w:p>
    <w:p w14:paraId="38788FE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lang w:eastAsia="zh-CN"/>
        </w:rPr>
      </w:pPr>
      <w:r>
        <w:rPr>
          <w:rFonts w:hint="eastAsia" w:ascii="宋体" w:hAnsi="宋体" w:cs="宋体"/>
          <w:iCs/>
          <w:sz w:val="24"/>
          <w:lang w:val="en-US" w:eastAsia="zh-CN"/>
        </w:rPr>
        <w:t>3.</w:t>
      </w:r>
      <w:r>
        <w:rPr>
          <w:rFonts w:hint="eastAsia" w:ascii="宋体" w:hAnsi="宋体" w:cs="宋体"/>
          <w:iCs/>
          <w:sz w:val="24"/>
          <w:lang w:eastAsia="zh-CN"/>
        </w:rPr>
        <w:t>硕士研究生在学期间应加强学术训练。学院鼓励硕士研究生进行高水平的科学研究，发表高水平的科研成果，并为硕士研究生参加境内外的学术交流活动提供支持。</w:t>
      </w:r>
    </w:p>
    <w:p w14:paraId="0206D023">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七、中期筛选</w:t>
      </w:r>
    </w:p>
    <w:p w14:paraId="6C4EB9C2">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0DBC7FBD">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6518FF14">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rFonts w:hint="eastAsia" w:ascii="宋体" w:hAnsi="宋体" w:eastAsia="宋体" w:cs="宋体"/>
          <w:iCs/>
          <w:sz w:val="24"/>
          <w:lang w:eastAsia="zh-CN"/>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r>
        <w:rPr>
          <w:rFonts w:hint="eastAsia" w:ascii="宋体" w:hAnsi="宋体" w:cs="宋体"/>
          <w:iCs/>
          <w:sz w:val="24"/>
        </w:rPr>
        <w:t>法学硕士研究生必须在导师指导下独立完成学位（毕业）论文</w:t>
      </w:r>
      <w:r>
        <w:rPr>
          <w:rFonts w:hint="eastAsia" w:ascii="宋体" w:hAnsi="宋体" w:cs="宋体"/>
          <w:iCs/>
          <w:sz w:val="24"/>
          <w:lang w:eastAsia="zh-CN"/>
        </w:rPr>
        <w:t>，应严格遵守学术规范与学术标准，论文字数应不低于3万字</w:t>
      </w:r>
      <w:r>
        <w:rPr>
          <w:rFonts w:hint="eastAsia" w:ascii="宋体" w:hAnsi="宋体" w:cs="宋体"/>
          <w:iCs/>
          <w:sz w:val="24"/>
        </w:rPr>
        <w:t>。学位论文选题限于本专业范围以内，在七个研究方向内选定题目，学位（毕业）论文应表明作者较好地掌握了本学科的基础理论、专门知识和基本技能，选题的内容要紧密结合国内外法学理论发展和研究的实际状况，研究和解决实践和理论方面的重要问题或突出问题</w:t>
      </w:r>
      <w:r>
        <w:rPr>
          <w:rFonts w:hint="eastAsia" w:ascii="宋体" w:hAnsi="宋体" w:cs="宋体"/>
          <w:iCs/>
          <w:sz w:val="24"/>
          <w:lang w:eastAsia="zh-CN"/>
        </w:rPr>
        <w:t>。</w:t>
      </w:r>
      <w:r>
        <w:rPr>
          <w:rFonts w:hint="eastAsia" w:ascii="宋体" w:hAnsi="宋体" w:cs="宋体"/>
          <w:iCs/>
          <w:sz w:val="24"/>
        </w:rPr>
        <w:t>鼓励硕士研究生参与科学研究，取得创新性成果</w:t>
      </w:r>
      <w:r>
        <w:rPr>
          <w:rFonts w:hint="eastAsia" w:ascii="宋体" w:hAnsi="宋体" w:cs="宋体"/>
          <w:iCs/>
          <w:sz w:val="24"/>
          <w:lang w:eastAsia="zh-CN"/>
        </w:rPr>
        <w:t>。</w:t>
      </w:r>
    </w:p>
    <w:p w14:paraId="7A795FF7">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2.开题：</w:t>
      </w:r>
      <w:r>
        <w:rPr>
          <w:rFonts w:hint="eastAsia" w:ascii="宋体" w:hAnsi="宋体" w:cs="宋体"/>
          <w:iCs/>
          <w:sz w:val="24"/>
        </w:rPr>
        <w:t>开题是研究生培养过程中开展学位（毕业）论文工作的首要环节，</w:t>
      </w:r>
      <w:r>
        <w:rPr>
          <w:rFonts w:hint="eastAsia" w:ascii="宋体" w:hAnsi="宋体" w:cs="宋体"/>
          <w:iCs/>
          <w:sz w:val="24"/>
          <w:lang w:eastAsia="zh-CN"/>
        </w:rPr>
        <w:t>法学硕士</w:t>
      </w:r>
      <w:r>
        <w:rPr>
          <w:rFonts w:hint="eastAsia" w:ascii="宋体" w:hAnsi="宋体" w:cs="宋体"/>
          <w:iCs/>
          <w:sz w:val="24"/>
        </w:rPr>
        <w:t>研究生</w:t>
      </w:r>
      <w:r>
        <w:rPr>
          <w:rFonts w:hint="eastAsia" w:ascii="宋体" w:hAnsi="宋体" w:cs="宋体"/>
          <w:iCs/>
          <w:sz w:val="24"/>
          <w:lang w:eastAsia="zh-CN"/>
        </w:rPr>
        <w:t>应</w:t>
      </w:r>
      <w:r>
        <w:rPr>
          <w:rFonts w:hint="eastAsia" w:ascii="宋体" w:hAnsi="宋体" w:cs="宋体"/>
          <w:iCs/>
          <w:sz w:val="24"/>
        </w:rPr>
        <w:t>充分阅读国内外相关文献，撰写开题报告。开题报告应包含文献综述、论文选题依据、研究方案、预期目标与成果、工作计划等关键问题。</w:t>
      </w:r>
    </w:p>
    <w:p w14:paraId="76E9CC30">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rFonts w:hint="eastAsia" w:ascii="宋体" w:hAnsi="宋体" w:cs="宋体"/>
          <w:iCs/>
          <w:sz w:val="24"/>
        </w:rPr>
      </w:pPr>
      <w:r>
        <w:rPr>
          <w:rFonts w:hint="eastAsia" w:ascii="宋体" w:hAnsi="宋体" w:cs="宋体"/>
          <w:iCs/>
          <w:sz w:val="24"/>
        </w:rPr>
        <w:t>法学硕士学位（毕业）论文的选题应密切结合学科发展、经济社会发展的需要，原则上在入学后第3学期（最迟不超过第4学期）完成开题。开题由3-5名具有高级专业技术职务人员参加，以学术报告的方式进行。</w:t>
      </w:r>
    </w:p>
    <w:p w14:paraId="790B0182">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3.中期进展报告：</w:t>
      </w:r>
      <w:r>
        <w:rPr>
          <w:rFonts w:hint="eastAsia" w:ascii="宋体" w:hAnsi="宋体" w:cs="宋体"/>
          <w:iCs/>
          <w:sz w:val="24"/>
        </w:rPr>
        <w:t>中期进展报告是检查</w:t>
      </w:r>
      <w:r>
        <w:rPr>
          <w:rFonts w:hint="eastAsia" w:ascii="宋体" w:hAnsi="宋体" w:cs="宋体"/>
          <w:iCs/>
          <w:sz w:val="24"/>
          <w:lang w:eastAsia="zh-CN"/>
        </w:rPr>
        <w:t>法学硕士</w:t>
      </w:r>
      <w:r>
        <w:rPr>
          <w:rFonts w:hint="eastAsia" w:ascii="宋体" w:hAnsi="宋体" w:cs="宋体"/>
          <w:iCs/>
          <w:sz w:val="24"/>
        </w:rPr>
        <w:t>研究生个人综合能力及学位论文进展、指导研究生把握学位（毕业）论文方向、提高学位（毕业）论文质量的必要环节。中期进展报告原则上应在入学后第5学期进行；各导师组自行制定中期考核办法并组织考核。</w:t>
      </w:r>
    </w:p>
    <w:p w14:paraId="2529AD46">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4.学位申请：</w:t>
      </w:r>
      <w:r>
        <w:rPr>
          <w:rFonts w:hint="eastAsia" w:ascii="宋体" w:hAnsi="宋体" w:cs="宋体"/>
          <w:iCs/>
          <w:sz w:val="24"/>
        </w:rPr>
        <w:t>达到学位授予条件的申请人，经导师同意后，应于答辩前三个月，向</w:t>
      </w:r>
      <w:r>
        <w:rPr>
          <w:rFonts w:hint="eastAsia" w:ascii="宋体" w:hAnsi="宋体" w:cs="宋体"/>
          <w:iCs/>
          <w:sz w:val="24"/>
          <w:lang w:eastAsia="zh-CN"/>
        </w:rPr>
        <w:t>法学院</w:t>
      </w:r>
      <w:r>
        <w:rPr>
          <w:rFonts w:hint="eastAsia" w:ascii="宋体" w:hAnsi="宋体" w:cs="宋体"/>
          <w:iCs/>
          <w:sz w:val="24"/>
        </w:rPr>
        <w:t>学位评定分委员会提出学位申请，提交学位申请材料。</w:t>
      </w:r>
    </w:p>
    <w:p w14:paraId="0349451B">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5.预答辩：</w:t>
      </w:r>
      <w:r>
        <w:rPr>
          <w:rFonts w:hint="eastAsia" w:ascii="宋体" w:hAnsi="宋体" w:cs="宋体"/>
          <w:iCs/>
          <w:sz w:val="24"/>
        </w:rPr>
        <w:t>学位申请人须进行学位论文预答辩</w:t>
      </w:r>
      <w:r>
        <w:rPr>
          <w:rFonts w:hint="eastAsia" w:ascii="宋体" w:hAnsi="宋体" w:cs="宋体"/>
          <w:iCs/>
          <w:sz w:val="24"/>
          <w:lang w:eastAsia="zh-CN"/>
        </w:rPr>
        <w:t>，由各导师组</w:t>
      </w:r>
      <w:r>
        <w:rPr>
          <w:rFonts w:hint="eastAsia" w:ascii="宋体" w:hAnsi="宋体" w:cs="宋体"/>
          <w:iCs/>
          <w:sz w:val="24"/>
        </w:rPr>
        <w:t>对论文初稿进行全面、细致、充分的预审。预答辩通过者，方可进入学位论文评阅、学位论文答辩等环节。学位（毕业）论文预答辩</w:t>
      </w:r>
      <w:r>
        <w:rPr>
          <w:rFonts w:hint="eastAsia" w:ascii="宋体" w:hAnsi="宋体" w:cs="宋体"/>
          <w:iCs/>
          <w:sz w:val="24"/>
          <w:lang w:eastAsia="zh-CN"/>
        </w:rPr>
        <w:t>应</w:t>
      </w:r>
      <w:r>
        <w:rPr>
          <w:rFonts w:hint="eastAsia" w:ascii="宋体" w:hAnsi="宋体" w:cs="宋体"/>
          <w:iCs/>
          <w:sz w:val="24"/>
        </w:rPr>
        <w:t>在正式答辩前3个月进行。</w:t>
      </w:r>
    </w:p>
    <w:p w14:paraId="32CF4861">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color w:val="222222"/>
          <w:kern w:val="0"/>
          <w:sz w:val="24"/>
        </w:rPr>
      </w:pPr>
      <w:r>
        <w:rPr>
          <w:bCs/>
          <w:color w:val="222222"/>
          <w:kern w:val="0"/>
          <w:sz w:val="24"/>
        </w:rPr>
        <w:t>6.论文评阅：</w:t>
      </w:r>
      <w:r>
        <w:rPr>
          <w:rFonts w:hint="eastAsia" w:ascii="宋体" w:hAnsi="宋体" w:cs="宋体"/>
          <w:iCs/>
          <w:sz w:val="24"/>
        </w:rPr>
        <w:t>学位（毕业）论文在获得导师组认可，经</w:t>
      </w:r>
      <w:r>
        <w:rPr>
          <w:rFonts w:hint="eastAsia" w:ascii="宋体" w:hAnsi="宋体" w:cs="宋体"/>
          <w:iCs/>
          <w:sz w:val="24"/>
          <w:lang w:eastAsia="zh-CN"/>
        </w:rPr>
        <w:t>法学院</w:t>
      </w:r>
      <w:r>
        <w:rPr>
          <w:rFonts w:hint="eastAsia" w:ascii="宋体" w:hAnsi="宋体" w:cs="宋体"/>
          <w:iCs/>
          <w:sz w:val="24"/>
        </w:rPr>
        <w:t>形式审查合格，并通过预答辩，方可提出进入评阅程序的申请。论文评阅在正式答辩前40天由研究生提出，由</w:t>
      </w:r>
      <w:r>
        <w:rPr>
          <w:rFonts w:hint="eastAsia" w:ascii="宋体" w:hAnsi="宋体" w:cs="宋体"/>
          <w:iCs/>
          <w:sz w:val="24"/>
          <w:lang w:eastAsia="zh-CN"/>
        </w:rPr>
        <w:t>法学院</w:t>
      </w:r>
      <w:r>
        <w:rPr>
          <w:rFonts w:hint="eastAsia" w:ascii="宋体" w:hAnsi="宋体" w:cs="宋体"/>
          <w:iCs/>
          <w:sz w:val="24"/>
        </w:rPr>
        <w:t>依据相关规定进行匿名评审。</w:t>
      </w:r>
      <w:r>
        <w:rPr>
          <w:color w:val="222222"/>
          <w:kern w:val="0"/>
          <w:sz w:val="24"/>
        </w:rPr>
        <w:t>评阅结果及异议处理按照《河北大学研究生学位论文或者实践成果评审管理办法》（校政字〔2025〕8号）执行。</w:t>
      </w:r>
    </w:p>
    <w:p w14:paraId="1200D059">
      <w:pPr>
        <w:keepNext w:val="0"/>
        <w:keepLines w:val="0"/>
        <w:pageBreakBefore w:val="0"/>
        <w:widowControl/>
        <w:kinsoku/>
        <w:wordWrap/>
        <w:overflowPunct/>
        <w:topLinePunct w:val="0"/>
        <w:autoSpaceDE/>
        <w:autoSpaceDN/>
        <w:bidi w:val="0"/>
        <w:spacing w:beforeAutospacing="0" w:afterAutospacing="0" w:line="360" w:lineRule="auto"/>
        <w:ind w:left="0" w:leftChars="0" w:right="0" w:firstLine="480"/>
        <w:jc w:val="left"/>
        <w:textAlignment w:val="auto"/>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5B574956">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04710C2A">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6D42086F">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color w:val="000000" w:themeColor="text1"/>
          <w:sz w:val="24"/>
          <w14:textFill>
            <w14:solidFill>
              <w14:schemeClr w14:val="tx1"/>
            </w14:solidFill>
          </w14:textFill>
        </w:rPr>
      </w:pPr>
      <w:r>
        <w:rPr>
          <w:rFonts w:eastAsiaTheme="minorEastAsia"/>
          <w:bCs/>
          <w:sz w:val="24"/>
        </w:rPr>
        <w:t>2. 学术活动。研究生</w:t>
      </w:r>
      <w:r>
        <w:rPr>
          <w:rFonts w:eastAsiaTheme="minorEastAsia"/>
          <w:color w:val="000000" w:themeColor="text1"/>
          <w:sz w:val="24"/>
          <w14:textFill>
            <w14:solidFill>
              <w14:schemeClr w14:val="tx1"/>
            </w14:solidFill>
          </w14:textFill>
        </w:rPr>
        <w:t>在读期间参加不少于</w:t>
      </w:r>
      <w:r>
        <w:rPr>
          <w:rFonts w:eastAsiaTheme="minorEastAsia"/>
          <w:i w:val="0"/>
          <w:iCs/>
          <w:color w:val="000000" w:themeColor="text1"/>
          <w:sz w:val="24"/>
          <w14:textFill>
            <w14:solidFill>
              <w14:schemeClr w14:val="tx1"/>
            </w14:solidFill>
          </w14:textFill>
        </w:rPr>
        <w:t>10</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w:t>
      </w:r>
      <w:r>
        <w:rPr>
          <w:rFonts w:eastAsiaTheme="minorEastAsia"/>
          <w:i w:val="0"/>
          <w:iCs/>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次。</w:t>
      </w:r>
    </w:p>
    <w:p w14:paraId="6779D58A">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96016AA">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5228FE90">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Theme="minorEastAsia"/>
          <w:i/>
          <w:color w:val="FF0000"/>
          <w:sz w:val="24"/>
        </w:rPr>
      </w:pPr>
      <w:r>
        <w:rPr>
          <w:rFonts w:hint="eastAsia" w:eastAsia="黑体"/>
          <w:bCs/>
          <w:sz w:val="28"/>
          <w:szCs w:val="28"/>
        </w:rPr>
        <w:t>十</w:t>
      </w:r>
      <w:r>
        <w:rPr>
          <w:rFonts w:eastAsia="黑体"/>
          <w:bCs/>
          <w:sz w:val="28"/>
          <w:szCs w:val="28"/>
        </w:rPr>
        <w:t>、创新性成果</w:t>
      </w:r>
    </w:p>
    <w:p w14:paraId="2212A781">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lang w:val="en-US" w:eastAsia="zh-CN"/>
        </w:rPr>
        <w:t xml:space="preserve">1. </w:t>
      </w:r>
      <w:r>
        <w:rPr>
          <w:rFonts w:hint="eastAsia" w:eastAsiaTheme="minorEastAsia"/>
          <w:bCs/>
          <w:sz w:val="24"/>
        </w:rPr>
        <w:t>鼓励硕士研究生参与科学研究，取得创新性成果。取得的创新性成果可为学术论文、专著、</w:t>
      </w:r>
      <w:r>
        <w:rPr>
          <w:rFonts w:hint="eastAsia" w:eastAsiaTheme="minorEastAsia"/>
          <w:bCs/>
          <w:sz w:val="24"/>
          <w:lang w:eastAsia="zh-CN"/>
        </w:rPr>
        <w:t>智库报告</w:t>
      </w:r>
      <w:r>
        <w:rPr>
          <w:rFonts w:hint="eastAsia" w:eastAsiaTheme="minorEastAsia"/>
          <w:bCs/>
          <w:sz w:val="24"/>
        </w:rPr>
        <w:t>、科研项目、科研奖励等多种形式。</w:t>
      </w:r>
    </w:p>
    <w:p w14:paraId="239DBC9A">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鼓励研究生在省级报刊杂志、中文核心期刊或CSSCI期刊扩展版及其以上报刊公开发表学术论文。</w:t>
      </w:r>
    </w:p>
    <w:p w14:paraId="308954BC">
      <w:pPr>
        <w:keepNext w:val="0"/>
        <w:keepLines w:val="0"/>
        <w:pageBreakBefore w:val="0"/>
        <w:numPr>
          <w:ilvl w:val="0"/>
          <w:numId w:val="1"/>
        </w:numPr>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在CSSCI来源期刊公开发表1篇以上学术论文的，其学位论文可以按照学校规定不参加学院组织的学位论文双盲评审。</w:t>
      </w:r>
    </w:p>
    <w:p w14:paraId="0A861081">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十一、学位授予</w:t>
      </w:r>
    </w:p>
    <w:p w14:paraId="5843CAD7">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w:t>
      </w:r>
      <w:r>
        <w:rPr>
          <w:rFonts w:hint="eastAsia" w:eastAsiaTheme="minorEastAsia"/>
          <w:bCs/>
          <w:sz w:val="24"/>
        </w:rPr>
        <w:t>足本</w:t>
      </w:r>
      <w:r>
        <w:rPr>
          <w:rFonts w:hint="eastAsia" w:eastAsiaTheme="minorEastAsia"/>
          <w:bCs/>
          <w:sz w:val="24"/>
          <w:lang w:eastAsia="zh-CN"/>
        </w:rPr>
        <w:t>学院</w:t>
      </w:r>
      <w:r>
        <w:rPr>
          <w:rFonts w:hint="eastAsia" w:eastAsiaTheme="minorEastAsia"/>
          <w:bCs/>
          <w:sz w:val="24"/>
        </w:rPr>
        <w:t>制定的</w:t>
      </w:r>
      <w:r>
        <w:rPr>
          <w:color w:val="222222"/>
          <w:kern w:val="0"/>
          <w:sz w:val="24"/>
        </w:rPr>
        <w:t>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0E9A8F59">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9601BAD">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color w:val="auto"/>
          <w:sz w:val="24"/>
        </w:rPr>
      </w:pPr>
      <w:r>
        <w:rPr>
          <w:rFonts w:eastAsiaTheme="minorEastAsia"/>
          <w:color w:val="auto"/>
          <w:sz w:val="24"/>
        </w:rPr>
        <w:t>本专业最低毕业学分为</w:t>
      </w:r>
      <w:r>
        <w:rPr>
          <w:rFonts w:hint="eastAsia" w:eastAsiaTheme="minorEastAsia"/>
          <w:color w:val="auto"/>
          <w:sz w:val="24"/>
          <w:lang w:val="en-US" w:eastAsia="zh-CN"/>
        </w:rPr>
        <w:t>28</w:t>
      </w:r>
      <w:r>
        <w:rPr>
          <w:rFonts w:eastAsiaTheme="minorEastAsia"/>
          <w:color w:val="auto"/>
          <w:sz w:val="24"/>
        </w:rPr>
        <w:t>分，其中学位课</w:t>
      </w:r>
      <w:r>
        <w:rPr>
          <w:rFonts w:hint="eastAsia" w:eastAsiaTheme="minorEastAsia"/>
          <w:color w:val="auto"/>
          <w:sz w:val="24"/>
          <w:lang w:val="en-US" w:eastAsia="zh-CN"/>
        </w:rPr>
        <w:t>15</w:t>
      </w:r>
      <w:r>
        <w:rPr>
          <w:rFonts w:eastAsiaTheme="minorEastAsia"/>
          <w:color w:val="auto"/>
          <w:sz w:val="24"/>
        </w:rPr>
        <w:t>学分，非学位课</w:t>
      </w:r>
      <w:r>
        <w:rPr>
          <w:rFonts w:hint="eastAsia" w:eastAsiaTheme="minorEastAsia"/>
          <w:color w:val="auto"/>
          <w:sz w:val="24"/>
          <w:lang w:val="en-US" w:eastAsia="zh-CN"/>
        </w:rPr>
        <w:t>12</w:t>
      </w:r>
      <w:r>
        <w:rPr>
          <w:rFonts w:eastAsiaTheme="minorEastAsia"/>
          <w:color w:val="auto"/>
          <w:sz w:val="24"/>
        </w:rPr>
        <w:t>学分，必修环节</w:t>
      </w:r>
      <w:r>
        <w:rPr>
          <w:rFonts w:hint="eastAsia" w:eastAsiaTheme="minorEastAsia"/>
          <w:color w:val="auto"/>
          <w:sz w:val="24"/>
          <w:lang w:val="en-US" w:eastAsia="zh-CN"/>
        </w:rPr>
        <w:t>1学</w:t>
      </w:r>
      <w:r>
        <w:rPr>
          <w:rFonts w:eastAsiaTheme="minorEastAsia"/>
          <w:color w:val="auto"/>
          <w:sz w:val="24"/>
        </w:rPr>
        <w:t>分。</w:t>
      </w:r>
    </w:p>
    <w:p w14:paraId="63C37C4C">
      <w:pPr>
        <w:keepNext w:val="0"/>
        <w:keepLines w:val="0"/>
        <w:pageBreakBefore w:val="0"/>
        <w:kinsoku/>
        <w:wordWrap/>
        <w:overflowPunct/>
        <w:topLinePunct w:val="0"/>
        <w:autoSpaceDE/>
        <w:autoSpaceDN/>
        <w:bidi w:val="0"/>
        <w:spacing w:beforeAutospacing="0" w:afterAutospacing="0" w:line="360" w:lineRule="auto"/>
        <w:ind w:left="0" w:leftChars="0" w:right="0" w:firstLine="480"/>
        <w:textAlignment w:val="auto"/>
        <w:rPr>
          <w:color w:val="000000"/>
          <w:sz w:val="24"/>
        </w:rPr>
      </w:pPr>
      <w:r>
        <w:rPr>
          <w:rFonts w:eastAsiaTheme="minorEastAsia"/>
          <w:color w:val="000000"/>
          <w:sz w:val="24"/>
        </w:rPr>
        <w:t>课程考试不设补考环节，</w:t>
      </w:r>
      <w:r>
        <w:rPr>
          <w:color w:val="000000"/>
          <w:sz w:val="24"/>
        </w:rPr>
        <w:t>考试成绩低于60分的需重修。</w:t>
      </w:r>
    </w:p>
    <w:p w14:paraId="345A8D46">
      <w:pPr>
        <w:keepNext w:val="0"/>
        <w:keepLines w:val="0"/>
        <w:pageBreakBefore w:val="0"/>
        <w:kinsoku/>
        <w:wordWrap/>
        <w:overflowPunct/>
        <w:topLinePunct w:val="0"/>
        <w:autoSpaceDE/>
        <w:autoSpaceDN/>
        <w:bidi w:val="0"/>
        <w:spacing w:beforeAutospacing="0" w:afterAutospacing="0" w:line="360" w:lineRule="auto"/>
        <w:ind w:left="0" w:leftChars="0" w:right="0" w:firstLine="480"/>
        <w:textAlignment w:val="auto"/>
        <w:rPr>
          <w:rFonts w:hint="eastAsia"/>
          <w:color w:val="000000"/>
          <w:sz w:val="24"/>
        </w:rPr>
      </w:pPr>
      <w:r>
        <w:rPr>
          <w:rFonts w:hint="eastAsia"/>
          <w:color w:val="000000"/>
          <w:sz w:val="24"/>
        </w:rPr>
        <w:t>硕士生的课程考核按学校的有关规定执行，凡教学培养计划规定的研究生课程（包括必修课和选修课）都要进行考试或考查。课程考核方式包括考试和考查，可以采用笔试或论文等形式，但是学位课一般采用笔试的方式。无论采取何种考核方式，均应能真实反映学生对所学课程掌握的程度及运用知识的能力，成绩均按百分制成绩评定。</w:t>
      </w:r>
    </w:p>
    <w:p w14:paraId="520D3AE5">
      <w:pPr>
        <w:rPr>
          <w:rFonts w:hint="eastAsia" w:eastAsiaTheme="minorEastAsia"/>
          <w:b/>
          <w:bCs/>
          <w:sz w:val="24"/>
          <w:lang w:eastAsia="zh-CN"/>
        </w:rPr>
      </w:pPr>
      <w:r>
        <w:rPr>
          <w:rFonts w:hint="eastAsia" w:eastAsiaTheme="minorEastAsia"/>
          <w:b/>
          <w:bCs/>
          <w:sz w:val="24"/>
          <w:lang w:eastAsia="zh-CN"/>
        </w:rPr>
        <w:br w:type="page"/>
      </w:r>
    </w:p>
    <w:p w14:paraId="0C3EBADB">
      <w:pPr>
        <w:keepNext w:val="0"/>
        <w:keepLines w:val="0"/>
        <w:pageBreakBefore w:val="0"/>
        <w:kinsoku/>
        <w:wordWrap/>
        <w:overflowPunct/>
        <w:topLinePunct w:val="0"/>
        <w:autoSpaceDE/>
        <w:autoSpaceDN/>
        <w:bidi w:val="0"/>
        <w:spacing w:beforeAutospacing="0" w:afterAutospacing="0" w:line="360" w:lineRule="auto"/>
        <w:ind w:left="0" w:leftChars="0" w:right="0" w:firstLine="482" w:firstLineChars="200"/>
        <w:jc w:val="center"/>
        <w:textAlignment w:val="auto"/>
        <w:rPr>
          <w:rFonts w:eastAsiaTheme="minorEastAsia"/>
          <w:b/>
          <w:bCs/>
          <w:sz w:val="24"/>
        </w:rPr>
      </w:pPr>
      <w:r>
        <w:rPr>
          <w:rFonts w:hint="eastAsia" w:eastAsiaTheme="minorEastAsia"/>
          <w:b/>
          <w:bCs/>
          <w:sz w:val="24"/>
          <w:lang w:eastAsia="zh-CN"/>
        </w:rPr>
        <w:t>法理学</w:t>
      </w:r>
      <w:r>
        <w:rPr>
          <w:rFonts w:eastAsiaTheme="minorEastAsia"/>
          <w:b/>
          <w:bCs/>
          <w:sz w:val="24"/>
        </w:rPr>
        <w:t>专业学术学位硕士研究生课程及培养环节设置一览表</w:t>
      </w:r>
    </w:p>
    <w:tbl>
      <w:tblPr>
        <w:tblStyle w:val="12"/>
        <w:tblW w:w="931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8"/>
        <w:gridCol w:w="1504"/>
        <w:gridCol w:w="3238"/>
        <w:gridCol w:w="1081"/>
        <w:gridCol w:w="709"/>
        <w:gridCol w:w="709"/>
        <w:gridCol w:w="1045"/>
      </w:tblGrid>
      <w:tr w14:paraId="381A121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2532" w:type="dxa"/>
            <w:gridSpan w:val="2"/>
            <w:vAlign w:val="center"/>
          </w:tcPr>
          <w:p w14:paraId="0D70AD0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238" w:type="dxa"/>
            <w:vAlign w:val="center"/>
          </w:tcPr>
          <w:p w14:paraId="278054C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0B0D52A">
            <w:pPr>
              <w:jc w:val="center"/>
              <w:rPr>
                <w:rFonts w:hint="eastAsia" w:eastAsia="宋体"/>
                <w:b/>
                <w:color w:val="000000" w:themeColor="text1"/>
                <w:szCs w:val="21"/>
                <w:lang w:eastAsia="zh-CN"/>
                <w14:textFill>
                  <w14:solidFill>
                    <w14:schemeClr w14:val="tx1"/>
                  </w14:solidFill>
                </w14:textFill>
              </w:rPr>
            </w:pPr>
            <w:r>
              <w:rPr>
                <w:b/>
                <w:color w:val="000000" w:themeColor="text1"/>
                <w:szCs w:val="21"/>
                <w14:textFill>
                  <w14:solidFill>
                    <w14:schemeClr w14:val="tx1"/>
                  </w14:solidFill>
                </w14:textFill>
              </w:rPr>
              <w:t>课程</w:t>
            </w:r>
            <w:r>
              <w:rPr>
                <w:rFonts w:hint="eastAsia"/>
                <w:b/>
                <w:color w:val="000000" w:themeColor="text1"/>
                <w:szCs w:val="21"/>
                <w:lang w:eastAsia="zh-CN"/>
                <w14:textFill>
                  <w14:solidFill>
                    <w14:schemeClr w14:val="tx1"/>
                  </w14:solidFill>
                </w14:textFill>
              </w:rPr>
              <w:t>编号</w:t>
            </w:r>
          </w:p>
        </w:tc>
        <w:tc>
          <w:tcPr>
            <w:tcW w:w="709" w:type="dxa"/>
            <w:vAlign w:val="center"/>
          </w:tcPr>
          <w:p w14:paraId="2AB251FB">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6F1B903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1C261621">
            <w:pPr>
              <w:jc w:val="center"/>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备注</w:t>
            </w:r>
          </w:p>
        </w:tc>
      </w:tr>
      <w:tr w14:paraId="35041C1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2A21C61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w:t>
            </w:r>
          </w:p>
          <w:p w14:paraId="3170C00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位</w:t>
            </w:r>
          </w:p>
          <w:p w14:paraId="742FCA9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课</w:t>
            </w:r>
          </w:p>
        </w:tc>
        <w:tc>
          <w:tcPr>
            <w:tcW w:w="1504" w:type="dxa"/>
            <w:vMerge w:val="restart"/>
            <w:vAlign w:val="center"/>
          </w:tcPr>
          <w:p w14:paraId="0A855D4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60AF2484">
            <w:pPr>
              <w:jc w:val="center"/>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4学分</w:t>
            </w:r>
            <w:r>
              <w:rPr>
                <w:rFonts w:hint="eastAsia"/>
                <w:b/>
                <w:color w:val="000000" w:themeColor="text1"/>
                <w:sz w:val="18"/>
                <w:szCs w:val="18"/>
                <w:lang w:eastAsia="zh-CN"/>
                <w14:textFill>
                  <w14:solidFill>
                    <w14:schemeClr w14:val="tx1"/>
                  </w14:solidFill>
                </w14:textFill>
              </w:rPr>
              <w:t>）</w:t>
            </w:r>
          </w:p>
        </w:tc>
        <w:tc>
          <w:tcPr>
            <w:tcW w:w="3238" w:type="dxa"/>
            <w:vAlign w:val="center"/>
          </w:tcPr>
          <w:p w14:paraId="1173B2F0">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新时代</w:t>
            </w:r>
            <w:r>
              <w:rPr>
                <w:color w:val="000000" w:themeColor="text1"/>
                <w:sz w:val="18"/>
                <w:szCs w:val="18"/>
                <w14:textFill>
                  <w14:solidFill>
                    <w14:schemeClr w14:val="tx1"/>
                  </w14:solidFill>
                </w14:textFill>
              </w:rPr>
              <w:t>中国特色社会主义理论与实践</w:t>
            </w:r>
          </w:p>
        </w:tc>
        <w:tc>
          <w:tcPr>
            <w:tcW w:w="1081" w:type="dxa"/>
            <w:vAlign w:val="center"/>
          </w:tcPr>
          <w:p w14:paraId="5DFABFB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w:t>
            </w:r>
            <w:r>
              <w:rPr>
                <w:rFonts w:hint="eastAsia"/>
                <w:color w:val="000000" w:themeColor="text1"/>
                <w:sz w:val="18"/>
                <w:szCs w:val="18"/>
                <w14:textFill>
                  <w14:solidFill>
                    <w14:schemeClr w14:val="tx1"/>
                  </w14:solidFill>
                </w14:textFill>
              </w:rPr>
              <w:t>S</w:t>
            </w:r>
            <w:r>
              <w:rPr>
                <w:color w:val="000000" w:themeColor="text1"/>
                <w:sz w:val="18"/>
                <w:szCs w:val="18"/>
                <w14:textFill>
                  <w14:solidFill>
                    <w14:schemeClr w14:val="tx1"/>
                  </w14:solidFill>
                </w14:textFill>
              </w:rPr>
              <w:t>0000001</w:t>
            </w:r>
          </w:p>
        </w:tc>
        <w:tc>
          <w:tcPr>
            <w:tcW w:w="709" w:type="dxa"/>
            <w:vAlign w:val="center"/>
          </w:tcPr>
          <w:p w14:paraId="5589C06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5A799ADD">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740C91FF">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考查</w:t>
            </w:r>
          </w:p>
        </w:tc>
      </w:tr>
      <w:tr w14:paraId="335C464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49D296A">
            <w:pPr>
              <w:jc w:val="center"/>
              <w:rPr>
                <w:b/>
                <w:color w:val="000000" w:themeColor="text1"/>
                <w:sz w:val="18"/>
                <w:szCs w:val="18"/>
                <w14:textFill>
                  <w14:solidFill>
                    <w14:schemeClr w14:val="tx1"/>
                  </w14:solidFill>
                </w14:textFill>
              </w:rPr>
            </w:pPr>
          </w:p>
        </w:tc>
        <w:tc>
          <w:tcPr>
            <w:tcW w:w="1504" w:type="dxa"/>
            <w:vMerge w:val="continue"/>
            <w:vAlign w:val="center"/>
          </w:tcPr>
          <w:p w14:paraId="7DF3F60E">
            <w:pPr>
              <w:jc w:val="center"/>
              <w:rPr>
                <w:b/>
                <w:color w:val="000000" w:themeColor="text1"/>
                <w:sz w:val="18"/>
                <w:szCs w:val="18"/>
                <w14:textFill>
                  <w14:solidFill>
                    <w14:schemeClr w14:val="tx1"/>
                  </w14:solidFill>
                </w14:textFill>
              </w:rPr>
            </w:pPr>
          </w:p>
        </w:tc>
        <w:tc>
          <w:tcPr>
            <w:tcW w:w="3238" w:type="dxa"/>
            <w:vAlign w:val="center"/>
          </w:tcPr>
          <w:p w14:paraId="385410A6">
            <w:pPr>
              <w:rPr>
                <w:sz w:val="18"/>
                <w:szCs w:val="18"/>
              </w:rPr>
            </w:pPr>
            <w:r>
              <w:rPr>
                <w:rFonts w:hint="eastAsia"/>
                <w:sz w:val="18"/>
                <w:szCs w:val="18"/>
              </w:rPr>
              <w:t>通用学术英语</w:t>
            </w:r>
          </w:p>
        </w:tc>
        <w:tc>
          <w:tcPr>
            <w:tcW w:w="1081" w:type="dxa"/>
            <w:vAlign w:val="center"/>
          </w:tcPr>
          <w:p w14:paraId="35EB556D">
            <w:pPr>
              <w:jc w:val="center"/>
              <w:rPr>
                <w:sz w:val="18"/>
                <w:szCs w:val="18"/>
              </w:rPr>
            </w:pPr>
            <w:r>
              <w:rPr>
                <w:rFonts w:hint="eastAsia"/>
                <w:sz w:val="18"/>
                <w:szCs w:val="18"/>
              </w:rPr>
              <w:t>T</w:t>
            </w:r>
            <w:r>
              <w:rPr>
                <w:sz w:val="18"/>
                <w:szCs w:val="18"/>
              </w:rPr>
              <w:t>S000000</w:t>
            </w:r>
            <w:r>
              <w:rPr>
                <w:rFonts w:hint="eastAsia"/>
                <w:sz w:val="18"/>
                <w:szCs w:val="18"/>
              </w:rPr>
              <w:t>2</w:t>
            </w:r>
          </w:p>
        </w:tc>
        <w:tc>
          <w:tcPr>
            <w:tcW w:w="709" w:type="dxa"/>
            <w:vAlign w:val="center"/>
          </w:tcPr>
          <w:p w14:paraId="69F9BA9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075B45C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31FFB44">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考查</w:t>
            </w:r>
          </w:p>
        </w:tc>
      </w:tr>
      <w:tr w14:paraId="03BE368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EDF7DFB">
            <w:pPr>
              <w:jc w:val="center"/>
              <w:rPr>
                <w:b/>
                <w:color w:val="000000" w:themeColor="text1"/>
                <w:sz w:val="18"/>
                <w:szCs w:val="18"/>
                <w14:textFill>
                  <w14:solidFill>
                    <w14:schemeClr w14:val="tx1"/>
                  </w14:solidFill>
                </w14:textFill>
              </w:rPr>
            </w:pPr>
          </w:p>
        </w:tc>
        <w:tc>
          <w:tcPr>
            <w:tcW w:w="1504" w:type="dxa"/>
            <w:vMerge w:val="restart"/>
            <w:vAlign w:val="center"/>
          </w:tcPr>
          <w:p w14:paraId="241295D9">
            <w:pPr>
              <w:jc w:val="center"/>
              <w:rPr>
                <w:rFonts w:hint="eastAsia"/>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学科基础课</w:t>
            </w:r>
          </w:p>
          <w:p w14:paraId="642545A4">
            <w:pPr>
              <w:jc w:val="center"/>
              <w:rPr>
                <w:rFonts w:hint="eastAsia"/>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8学分</w:t>
            </w:r>
            <w:r>
              <w:rPr>
                <w:rFonts w:hint="eastAsia"/>
                <w:b/>
                <w:color w:val="000000" w:themeColor="text1"/>
                <w:sz w:val="18"/>
                <w:szCs w:val="18"/>
                <w:lang w:eastAsia="zh-CN"/>
                <w14:textFill>
                  <w14:solidFill>
                    <w14:schemeClr w14:val="tx1"/>
                  </w14:solidFill>
                </w14:textFill>
              </w:rPr>
              <w:t>）</w:t>
            </w:r>
          </w:p>
        </w:tc>
        <w:tc>
          <w:tcPr>
            <w:tcW w:w="3238" w:type="dxa"/>
            <w:vAlign w:val="center"/>
          </w:tcPr>
          <w:p w14:paraId="60FEACB0">
            <w:pPr>
              <w:adjustRightInd w:val="0"/>
              <w:snapToGrid w:val="0"/>
              <w:rPr>
                <w:rFonts w:hint="eastAsia" w:eastAsia="宋体"/>
                <w:sz w:val="18"/>
                <w:szCs w:val="18"/>
                <w:lang w:eastAsia="zh-CN"/>
              </w:rPr>
            </w:pPr>
            <w:r>
              <w:rPr>
                <w:rFonts w:hint="eastAsia"/>
                <w:sz w:val="18"/>
                <w:szCs w:val="18"/>
                <w:lang w:eastAsia="zh-CN"/>
              </w:rPr>
              <w:t>学术道德与论文写作</w:t>
            </w:r>
          </w:p>
        </w:tc>
        <w:tc>
          <w:tcPr>
            <w:tcW w:w="1081" w:type="dxa"/>
            <w:shd w:val="clear" w:color="auto" w:fill="auto"/>
            <w:vAlign w:val="center"/>
          </w:tcPr>
          <w:p w14:paraId="7940E21B">
            <w:pPr>
              <w:jc w:val="center"/>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XS070</w:t>
            </w:r>
            <w:r>
              <w:rPr>
                <w:rFonts w:hint="eastAsia"/>
                <w:iCs/>
                <w:color w:val="000000" w:themeColor="text1"/>
                <w:sz w:val="18"/>
                <w:szCs w:val="18"/>
                <w:lang w:val="en-US" w:eastAsia="zh-CN"/>
                <w14:textFill>
                  <w14:solidFill>
                    <w14:schemeClr w14:val="tx1"/>
                  </w14:solidFill>
                </w14:textFill>
              </w:rPr>
              <w:t>2</w:t>
            </w:r>
            <w:r>
              <w:rPr>
                <w:rFonts w:hint="eastAsia"/>
                <w:iCs/>
                <w:color w:val="000000" w:themeColor="text1"/>
                <w:sz w:val="18"/>
                <w:szCs w:val="18"/>
                <w14:textFill>
                  <w14:solidFill>
                    <w14:schemeClr w14:val="tx1"/>
                  </w14:solidFill>
                </w14:textFill>
              </w:rPr>
              <w:t>001</w:t>
            </w:r>
          </w:p>
        </w:tc>
        <w:tc>
          <w:tcPr>
            <w:tcW w:w="709" w:type="dxa"/>
            <w:vAlign w:val="center"/>
          </w:tcPr>
          <w:p w14:paraId="37CB412D">
            <w:pPr>
              <w:jc w:val="center"/>
              <w:rPr>
                <w:rFonts w:hint="eastAsia" w:eastAsia="宋体"/>
                <w:iCs/>
                <w:sz w:val="18"/>
                <w:szCs w:val="18"/>
                <w:lang w:eastAsia="zh-CN"/>
              </w:rPr>
            </w:pPr>
            <w:r>
              <w:rPr>
                <w:rFonts w:hint="eastAsia"/>
                <w:iCs/>
                <w:sz w:val="18"/>
                <w:szCs w:val="18"/>
                <w:lang w:val="en-US" w:eastAsia="zh-CN"/>
              </w:rPr>
              <w:t>1</w:t>
            </w:r>
          </w:p>
        </w:tc>
        <w:tc>
          <w:tcPr>
            <w:tcW w:w="709" w:type="dxa"/>
            <w:vAlign w:val="center"/>
          </w:tcPr>
          <w:p w14:paraId="2E55B38F">
            <w:pPr>
              <w:jc w:val="center"/>
              <w:rPr>
                <w:iCs/>
                <w:sz w:val="18"/>
                <w:szCs w:val="18"/>
              </w:rPr>
            </w:pPr>
            <w:r>
              <w:rPr>
                <w:rFonts w:hint="eastAsia"/>
                <w:iCs/>
                <w:sz w:val="18"/>
                <w:szCs w:val="18"/>
              </w:rPr>
              <w:t>1</w:t>
            </w:r>
          </w:p>
        </w:tc>
        <w:tc>
          <w:tcPr>
            <w:tcW w:w="1045" w:type="dxa"/>
            <w:vAlign w:val="center"/>
          </w:tcPr>
          <w:p w14:paraId="2F8966AC">
            <w:pPr>
              <w:jc w:val="center"/>
              <w:rPr>
                <w:rFonts w:hint="eastAsia" w:eastAsia="宋体"/>
                <w:iCs/>
                <w:sz w:val="18"/>
                <w:szCs w:val="18"/>
                <w:lang w:eastAsia="zh-CN"/>
              </w:rPr>
            </w:pPr>
            <w:r>
              <w:rPr>
                <w:rFonts w:hint="eastAsia"/>
                <w:iCs/>
                <w:sz w:val="18"/>
                <w:szCs w:val="18"/>
              </w:rPr>
              <w:t>考</w:t>
            </w:r>
            <w:r>
              <w:rPr>
                <w:rFonts w:hint="eastAsia"/>
                <w:iCs/>
                <w:sz w:val="18"/>
                <w:szCs w:val="18"/>
                <w:lang w:eastAsia="zh-CN"/>
              </w:rPr>
              <w:t>查</w:t>
            </w:r>
          </w:p>
        </w:tc>
      </w:tr>
      <w:tr w14:paraId="0B6BED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3BFE1459">
            <w:pPr>
              <w:jc w:val="center"/>
              <w:rPr>
                <w:b/>
                <w:color w:val="000000" w:themeColor="text1"/>
                <w:sz w:val="18"/>
                <w:szCs w:val="18"/>
                <w14:textFill>
                  <w14:solidFill>
                    <w14:schemeClr w14:val="tx1"/>
                  </w14:solidFill>
                </w14:textFill>
              </w:rPr>
            </w:pPr>
          </w:p>
        </w:tc>
        <w:tc>
          <w:tcPr>
            <w:tcW w:w="1504" w:type="dxa"/>
            <w:vMerge w:val="continue"/>
            <w:vAlign w:val="center"/>
          </w:tcPr>
          <w:p w14:paraId="301227ED">
            <w:pPr>
              <w:jc w:val="center"/>
              <w:rPr>
                <w:b/>
                <w:color w:val="000000" w:themeColor="text1"/>
                <w:sz w:val="18"/>
                <w:szCs w:val="18"/>
                <w14:textFill>
                  <w14:solidFill>
                    <w14:schemeClr w14:val="tx1"/>
                  </w14:solidFill>
                </w14:textFill>
              </w:rPr>
            </w:pPr>
          </w:p>
        </w:tc>
        <w:tc>
          <w:tcPr>
            <w:tcW w:w="3238" w:type="dxa"/>
            <w:vAlign w:val="center"/>
          </w:tcPr>
          <w:p w14:paraId="57936E67">
            <w:pPr>
              <w:adjustRightInd w:val="0"/>
              <w:snapToGrid w:val="0"/>
              <w:rPr>
                <w:rFonts w:hint="eastAsia" w:eastAsia="宋体"/>
                <w:sz w:val="18"/>
                <w:szCs w:val="18"/>
                <w:lang w:eastAsia="zh-CN"/>
              </w:rPr>
            </w:pPr>
            <w:r>
              <w:rPr>
                <w:rFonts w:hint="eastAsia"/>
                <w:sz w:val="18"/>
                <w:szCs w:val="18"/>
                <w:lang w:eastAsia="zh-CN"/>
              </w:rPr>
              <w:t>专业学术英语</w:t>
            </w:r>
          </w:p>
        </w:tc>
        <w:tc>
          <w:tcPr>
            <w:tcW w:w="1081" w:type="dxa"/>
            <w:shd w:val="clear" w:color="auto" w:fill="auto"/>
            <w:vAlign w:val="center"/>
          </w:tcPr>
          <w:p w14:paraId="53AED62E">
            <w:pPr>
              <w:jc w:val="center"/>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XS070</w:t>
            </w:r>
            <w:r>
              <w:rPr>
                <w:rFonts w:hint="eastAsia"/>
                <w:iCs/>
                <w:color w:val="000000" w:themeColor="text1"/>
                <w:sz w:val="18"/>
                <w:szCs w:val="18"/>
                <w:lang w:val="en-US" w:eastAsia="zh-CN"/>
                <w14:textFill>
                  <w14:solidFill>
                    <w14:schemeClr w14:val="tx1"/>
                  </w14:solidFill>
                </w14:textFill>
              </w:rPr>
              <w:t>2</w:t>
            </w:r>
            <w:r>
              <w:rPr>
                <w:rFonts w:hint="eastAsia"/>
                <w:iCs/>
                <w:color w:val="000000" w:themeColor="text1"/>
                <w:sz w:val="18"/>
                <w:szCs w:val="18"/>
                <w14:textFill>
                  <w14:solidFill>
                    <w14:schemeClr w14:val="tx1"/>
                  </w14:solidFill>
                </w14:textFill>
              </w:rPr>
              <w:t>002</w:t>
            </w:r>
          </w:p>
        </w:tc>
        <w:tc>
          <w:tcPr>
            <w:tcW w:w="709" w:type="dxa"/>
            <w:vAlign w:val="center"/>
          </w:tcPr>
          <w:p w14:paraId="3ADDC720">
            <w:pPr>
              <w:jc w:val="center"/>
              <w:rPr>
                <w:rFonts w:hint="eastAsia" w:eastAsia="宋体"/>
                <w:iCs/>
                <w:sz w:val="18"/>
                <w:szCs w:val="18"/>
                <w:lang w:eastAsia="zh-CN"/>
              </w:rPr>
            </w:pPr>
            <w:r>
              <w:rPr>
                <w:rFonts w:hint="eastAsia"/>
                <w:iCs/>
                <w:sz w:val="18"/>
                <w:szCs w:val="18"/>
                <w:lang w:val="en-US" w:eastAsia="zh-CN"/>
              </w:rPr>
              <w:t>2</w:t>
            </w:r>
          </w:p>
        </w:tc>
        <w:tc>
          <w:tcPr>
            <w:tcW w:w="709" w:type="dxa"/>
            <w:vAlign w:val="center"/>
          </w:tcPr>
          <w:p w14:paraId="619D9D60">
            <w:pPr>
              <w:jc w:val="center"/>
              <w:rPr>
                <w:rFonts w:hint="eastAsia" w:eastAsia="宋体"/>
                <w:iCs/>
                <w:sz w:val="18"/>
                <w:szCs w:val="18"/>
                <w:lang w:eastAsia="zh-CN"/>
              </w:rPr>
            </w:pPr>
            <w:r>
              <w:rPr>
                <w:rFonts w:hint="eastAsia"/>
                <w:iCs/>
                <w:sz w:val="18"/>
                <w:szCs w:val="18"/>
                <w:lang w:val="en-US" w:eastAsia="zh-CN"/>
              </w:rPr>
              <w:t>2</w:t>
            </w:r>
          </w:p>
        </w:tc>
        <w:tc>
          <w:tcPr>
            <w:tcW w:w="1045" w:type="dxa"/>
            <w:vAlign w:val="center"/>
          </w:tcPr>
          <w:p w14:paraId="6E250136">
            <w:pPr>
              <w:jc w:val="center"/>
              <w:rPr>
                <w:rFonts w:hint="eastAsia" w:eastAsia="宋体"/>
                <w:iCs/>
                <w:sz w:val="18"/>
                <w:szCs w:val="18"/>
                <w:lang w:eastAsia="zh-CN"/>
              </w:rPr>
            </w:pPr>
            <w:r>
              <w:rPr>
                <w:rFonts w:hint="eastAsia"/>
                <w:iCs/>
                <w:sz w:val="18"/>
                <w:szCs w:val="18"/>
                <w:lang w:eastAsia="zh-CN"/>
              </w:rPr>
              <w:t>考试</w:t>
            </w:r>
          </w:p>
        </w:tc>
      </w:tr>
      <w:tr w14:paraId="33B0DA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B4FB8E0">
            <w:pPr>
              <w:jc w:val="center"/>
              <w:rPr>
                <w:b/>
                <w:color w:val="000000" w:themeColor="text1"/>
                <w:sz w:val="18"/>
                <w:szCs w:val="18"/>
                <w14:textFill>
                  <w14:solidFill>
                    <w14:schemeClr w14:val="tx1"/>
                  </w14:solidFill>
                </w14:textFill>
              </w:rPr>
            </w:pPr>
          </w:p>
        </w:tc>
        <w:tc>
          <w:tcPr>
            <w:tcW w:w="1504" w:type="dxa"/>
            <w:vMerge w:val="continue"/>
            <w:vAlign w:val="center"/>
          </w:tcPr>
          <w:p w14:paraId="3E848590">
            <w:pPr>
              <w:jc w:val="center"/>
              <w:rPr>
                <w:b/>
                <w:color w:val="000000" w:themeColor="text1"/>
                <w:sz w:val="18"/>
                <w:szCs w:val="18"/>
                <w14:textFill>
                  <w14:solidFill>
                    <w14:schemeClr w14:val="tx1"/>
                  </w14:solidFill>
                </w14:textFill>
              </w:rPr>
            </w:pPr>
          </w:p>
        </w:tc>
        <w:tc>
          <w:tcPr>
            <w:tcW w:w="3238" w:type="dxa"/>
            <w:vAlign w:val="center"/>
          </w:tcPr>
          <w:p w14:paraId="6E43BE02">
            <w:pPr>
              <w:rPr>
                <w:rFonts w:hint="eastAsia" w:eastAsia="宋体"/>
                <w:sz w:val="18"/>
                <w:szCs w:val="18"/>
                <w:highlight w:val="none"/>
                <w:lang w:eastAsia="zh-CN"/>
              </w:rPr>
            </w:pPr>
            <w:r>
              <w:rPr>
                <w:rFonts w:hint="eastAsia"/>
                <w:sz w:val="18"/>
                <w:szCs w:val="18"/>
                <w:highlight w:val="none"/>
                <w:lang w:eastAsia="zh-CN"/>
              </w:rPr>
              <w:t>法学前沿</w:t>
            </w:r>
          </w:p>
        </w:tc>
        <w:tc>
          <w:tcPr>
            <w:tcW w:w="1081" w:type="dxa"/>
            <w:shd w:val="clear" w:color="auto" w:fill="auto"/>
            <w:vAlign w:val="center"/>
          </w:tcPr>
          <w:p w14:paraId="6541567E">
            <w:pPr>
              <w:jc w:val="center"/>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XS070</w:t>
            </w:r>
            <w:r>
              <w:rPr>
                <w:rFonts w:hint="eastAsia"/>
                <w:iCs/>
                <w:color w:val="000000" w:themeColor="text1"/>
                <w:sz w:val="18"/>
                <w:szCs w:val="18"/>
                <w:lang w:val="en-US" w:eastAsia="zh-CN"/>
                <w14:textFill>
                  <w14:solidFill>
                    <w14:schemeClr w14:val="tx1"/>
                  </w14:solidFill>
                </w14:textFill>
              </w:rPr>
              <w:t>2</w:t>
            </w:r>
            <w:r>
              <w:rPr>
                <w:rFonts w:hint="eastAsia"/>
                <w:iCs/>
                <w:color w:val="000000" w:themeColor="text1"/>
                <w:sz w:val="18"/>
                <w:szCs w:val="18"/>
                <w14:textFill>
                  <w14:solidFill>
                    <w14:schemeClr w14:val="tx1"/>
                  </w14:solidFill>
                </w14:textFill>
              </w:rPr>
              <w:t>003</w:t>
            </w:r>
          </w:p>
        </w:tc>
        <w:tc>
          <w:tcPr>
            <w:tcW w:w="709" w:type="dxa"/>
            <w:vAlign w:val="center"/>
          </w:tcPr>
          <w:p w14:paraId="6A16DE3D">
            <w:pPr>
              <w:jc w:val="center"/>
              <w:rPr>
                <w:rFonts w:hint="eastAsia" w:eastAsia="宋体"/>
                <w:iCs/>
                <w:sz w:val="18"/>
                <w:szCs w:val="18"/>
                <w:lang w:eastAsia="zh-CN"/>
              </w:rPr>
            </w:pPr>
            <w:r>
              <w:rPr>
                <w:rFonts w:hint="eastAsia"/>
                <w:iCs/>
                <w:sz w:val="18"/>
                <w:szCs w:val="18"/>
                <w:lang w:val="en-US" w:eastAsia="zh-CN"/>
              </w:rPr>
              <w:t>2</w:t>
            </w:r>
          </w:p>
        </w:tc>
        <w:tc>
          <w:tcPr>
            <w:tcW w:w="709" w:type="dxa"/>
            <w:vAlign w:val="center"/>
          </w:tcPr>
          <w:p w14:paraId="10BC5768">
            <w:pPr>
              <w:jc w:val="center"/>
              <w:rPr>
                <w:iCs/>
                <w:sz w:val="18"/>
                <w:szCs w:val="18"/>
              </w:rPr>
            </w:pPr>
            <w:r>
              <w:rPr>
                <w:rFonts w:hint="eastAsia"/>
                <w:iCs/>
                <w:sz w:val="18"/>
                <w:szCs w:val="18"/>
              </w:rPr>
              <w:t>2</w:t>
            </w:r>
          </w:p>
        </w:tc>
        <w:tc>
          <w:tcPr>
            <w:tcW w:w="1045" w:type="dxa"/>
            <w:vAlign w:val="center"/>
          </w:tcPr>
          <w:p w14:paraId="42FD1756">
            <w:pPr>
              <w:jc w:val="center"/>
              <w:rPr>
                <w:iCs/>
                <w:sz w:val="18"/>
                <w:szCs w:val="18"/>
              </w:rPr>
            </w:pPr>
            <w:r>
              <w:rPr>
                <w:rFonts w:hint="eastAsia"/>
                <w:iCs/>
                <w:sz w:val="18"/>
                <w:szCs w:val="18"/>
              </w:rPr>
              <w:t>考查</w:t>
            </w:r>
          </w:p>
        </w:tc>
      </w:tr>
      <w:tr w14:paraId="2FAF62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EDC7021">
            <w:pPr>
              <w:jc w:val="center"/>
              <w:rPr>
                <w:b/>
                <w:color w:val="000000" w:themeColor="text1"/>
                <w:sz w:val="18"/>
                <w:szCs w:val="18"/>
                <w14:textFill>
                  <w14:solidFill>
                    <w14:schemeClr w14:val="tx1"/>
                  </w14:solidFill>
                </w14:textFill>
              </w:rPr>
            </w:pPr>
          </w:p>
        </w:tc>
        <w:tc>
          <w:tcPr>
            <w:tcW w:w="1504" w:type="dxa"/>
            <w:vMerge w:val="continue"/>
            <w:vAlign w:val="center"/>
          </w:tcPr>
          <w:p w14:paraId="5FADD761">
            <w:pPr>
              <w:jc w:val="center"/>
              <w:rPr>
                <w:b/>
                <w:color w:val="000000" w:themeColor="text1"/>
                <w:sz w:val="18"/>
                <w:szCs w:val="18"/>
                <w14:textFill>
                  <w14:solidFill>
                    <w14:schemeClr w14:val="tx1"/>
                  </w14:solidFill>
                </w14:textFill>
              </w:rPr>
            </w:pPr>
          </w:p>
        </w:tc>
        <w:tc>
          <w:tcPr>
            <w:tcW w:w="3238" w:type="dxa"/>
            <w:shd w:val="clear" w:color="auto" w:fill="auto"/>
            <w:vAlign w:val="center"/>
          </w:tcPr>
          <w:p w14:paraId="0B55A94D">
            <w:pPr>
              <w:rPr>
                <w:rFonts w:hint="eastAsia" w:ascii="Times New Roman" w:hAnsi="Times New Roman" w:eastAsia="宋体" w:cs="Times New Roman"/>
                <w:kern w:val="2"/>
                <w:sz w:val="18"/>
                <w:szCs w:val="18"/>
                <w:highlight w:val="none"/>
                <w:lang w:val="en-US" w:eastAsia="zh-CN" w:bidi="ar-SA"/>
              </w:rPr>
            </w:pPr>
            <w:r>
              <w:rPr>
                <w:rFonts w:hint="eastAsia" w:cs="Times New Roman"/>
                <w:kern w:val="2"/>
                <w:sz w:val="18"/>
                <w:szCs w:val="18"/>
                <w:highlight w:val="none"/>
                <w:lang w:val="en-US" w:eastAsia="zh-CN" w:bidi="ar-SA"/>
              </w:rPr>
              <w:t>法学方法论</w:t>
            </w:r>
          </w:p>
        </w:tc>
        <w:tc>
          <w:tcPr>
            <w:tcW w:w="1081" w:type="dxa"/>
            <w:shd w:val="clear" w:color="auto" w:fill="auto"/>
            <w:vAlign w:val="center"/>
          </w:tcPr>
          <w:p w14:paraId="61202F04">
            <w:pPr>
              <w:jc w:val="center"/>
              <w:rPr>
                <w:rFonts w:hint="default" w:ascii="Times New Roman" w:hAnsi="Times New Roman" w:eastAsia="宋体" w:cs="Times New Roman"/>
                <w:color w:val="000000" w:themeColor="text1"/>
                <w:kern w:val="2"/>
                <w:sz w:val="18"/>
                <w:szCs w:val="18"/>
                <w:highlight w:val="yellow"/>
                <w:lang w:val="en-US" w:eastAsia="zh-CN" w:bidi="ar-SA"/>
                <w14:textFill>
                  <w14:solidFill>
                    <w14:schemeClr w14:val="tx1"/>
                  </w14:solidFill>
                </w14:textFill>
              </w:rPr>
            </w:pPr>
            <w:r>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t>XS070</w:t>
            </w:r>
            <w:r>
              <w:rPr>
                <w:rFonts w:hint="eastAsia" w:cs="Times New Roman"/>
                <w:color w:val="000000" w:themeColor="text1"/>
                <w:kern w:val="2"/>
                <w:sz w:val="18"/>
                <w:szCs w:val="18"/>
                <w:highlight w:val="none"/>
                <w:lang w:val="en-US" w:eastAsia="zh-CN" w:bidi="ar-SA"/>
                <w14:textFill>
                  <w14:solidFill>
                    <w14:schemeClr w14:val="tx1"/>
                  </w14:solidFill>
                </w14:textFill>
              </w:rPr>
              <w:t>2</w:t>
            </w:r>
            <w:r>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t>00</w:t>
            </w:r>
            <w:r>
              <w:rPr>
                <w:rFonts w:hint="eastAsia" w:cs="Times New Roman"/>
                <w:color w:val="000000" w:themeColor="text1"/>
                <w:kern w:val="2"/>
                <w:sz w:val="18"/>
                <w:szCs w:val="18"/>
                <w:highlight w:val="none"/>
                <w:lang w:val="en-US" w:eastAsia="zh-CN" w:bidi="ar-SA"/>
                <w14:textFill>
                  <w14:solidFill>
                    <w14:schemeClr w14:val="tx1"/>
                  </w14:solidFill>
                </w14:textFill>
              </w:rPr>
              <w:t>4</w:t>
            </w:r>
          </w:p>
        </w:tc>
        <w:tc>
          <w:tcPr>
            <w:tcW w:w="709" w:type="dxa"/>
            <w:shd w:val="clear" w:color="auto" w:fill="auto"/>
            <w:vAlign w:val="center"/>
          </w:tcPr>
          <w:p w14:paraId="62F54B10">
            <w:pPr>
              <w:jc w:val="center"/>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1</w:t>
            </w:r>
          </w:p>
        </w:tc>
        <w:tc>
          <w:tcPr>
            <w:tcW w:w="709" w:type="dxa"/>
            <w:shd w:val="clear" w:color="auto" w:fill="auto"/>
            <w:vAlign w:val="center"/>
          </w:tcPr>
          <w:p w14:paraId="10C89776">
            <w:pPr>
              <w:jc w:val="center"/>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1045" w:type="dxa"/>
            <w:shd w:val="clear" w:color="auto" w:fill="auto"/>
            <w:vAlign w:val="center"/>
          </w:tcPr>
          <w:p w14:paraId="0C7F5C62">
            <w:pPr>
              <w:jc w:val="center"/>
              <w:rPr>
                <w:rFonts w:hint="eastAsia" w:ascii="Times New Roman" w:hAnsi="Times New Roman" w:eastAsia="宋体" w:cs="Times New Roman"/>
                <w:color w:val="000000" w:themeColor="text1"/>
                <w:kern w:val="2"/>
                <w:sz w:val="18"/>
                <w:szCs w:val="18"/>
                <w:highlight w:val="yellow"/>
                <w:lang w:val="en-US" w:eastAsia="zh-CN" w:bidi="ar-SA"/>
                <w14:textFill>
                  <w14:solidFill>
                    <w14:schemeClr w14:val="tx1"/>
                  </w14:solidFill>
                </w14:textFill>
              </w:rPr>
            </w:pPr>
            <w:r>
              <w:rPr>
                <w:rFonts w:hint="eastAsia" w:cs="Times New Roman"/>
                <w:color w:val="000000" w:themeColor="text1"/>
                <w:kern w:val="2"/>
                <w:sz w:val="18"/>
                <w:szCs w:val="18"/>
                <w:highlight w:val="none"/>
                <w:lang w:val="en-US" w:eastAsia="zh-CN" w:bidi="ar-SA"/>
                <w14:textFill>
                  <w14:solidFill>
                    <w14:schemeClr w14:val="tx1"/>
                  </w14:solidFill>
                </w14:textFill>
              </w:rPr>
              <w:t>考查</w:t>
            </w:r>
          </w:p>
        </w:tc>
      </w:tr>
      <w:tr w14:paraId="4AA7BF0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1E9F8856">
            <w:pPr>
              <w:jc w:val="center"/>
              <w:rPr>
                <w:b/>
                <w:color w:val="000000" w:themeColor="text1"/>
                <w:sz w:val="18"/>
                <w:szCs w:val="18"/>
                <w14:textFill>
                  <w14:solidFill>
                    <w14:schemeClr w14:val="tx1"/>
                  </w14:solidFill>
                </w14:textFill>
              </w:rPr>
            </w:pPr>
          </w:p>
        </w:tc>
        <w:tc>
          <w:tcPr>
            <w:tcW w:w="1504" w:type="dxa"/>
            <w:vMerge w:val="continue"/>
            <w:vAlign w:val="center"/>
          </w:tcPr>
          <w:p w14:paraId="790CF964">
            <w:pPr>
              <w:jc w:val="center"/>
              <w:rPr>
                <w:b/>
                <w:color w:val="000000" w:themeColor="text1"/>
                <w:sz w:val="18"/>
                <w:szCs w:val="18"/>
                <w14:textFill>
                  <w14:solidFill>
                    <w14:schemeClr w14:val="tx1"/>
                  </w14:solidFill>
                </w14:textFill>
              </w:rPr>
            </w:pPr>
          </w:p>
        </w:tc>
        <w:tc>
          <w:tcPr>
            <w:tcW w:w="3238" w:type="dxa"/>
            <w:shd w:val="clear" w:color="auto" w:fill="auto"/>
            <w:vAlign w:val="center"/>
          </w:tcPr>
          <w:p w14:paraId="72376A63">
            <w:pPr>
              <w:adjustRightInd w:val="0"/>
              <w:snapToGrid w:val="0"/>
              <w:rPr>
                <w:rFonts w:hint="eastAsia" w:ascii="Times New Roman" w:hAnsi="Times New Roman" w:eastAsia="宋体" w:cs="Times New Roman"/>
                <w:iCs/>
                <w:kern w:val="2"/>
                <w:sz w:val="18"/>
                <w:szCs w:val="18"/>
                <w:highlight w:val="none"/>
                <w:lang w:val="en-US" w:eastAsia="zh-CN" w:bidi="ar-SA"/>
              </w:rPr>
            </w:pPr>
            <w:r>
              <w:rPr>
                <w:rFonts w:hint="eastAsia"/>
                <w:iCs/>
                <w:sz w:val="18"/>
                <w:szCs w:val="18"/>
                <w:highlight w:val="none"/>
              </w:rPr>
              <w:t>法学原著导读</w:t>
            </w:r>
          </w:p>
        </w:tc>
        <w:tc>
          <w:tcPr>
            <w:tcW w:w="1081" w:type="dxa"/>
            <w:shd w:val="clear" w:color="auto" w:fill="auto"/>
            <w:vAlign w:val="center"/>
          </w:tcPr>
          <w:p w14:paraId="5C81EE79">
            <w:pPr>
              <w:jc w:val="center"/>
              <w:rPr>
                <w:rFonts w:hint="default" w:ascii="Times New Roman" w:hAnsi="Times New Roman" w:eastAsia="宋体" w:cs="Times New Roman"/>
                <w:iCs/>
                <w:kern w:val="2"/>
                <w:sz w:val="18"/>
                <w:szCs w:val="18"/>
                <w:lang w:val="en-US" w:eastAsia="zh-CN" w:bidi="ar-SA"/>
              </w:rPr>
            </w:pPr>
            <w:r>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t>XS070</w:t>
            </w:r>
            <w:r>
              <w:rPr>
                <w:rFonts w:hint="eastAsia" w:cs="Times New Roman"/>
                <w:color w:val="000000" w:themeColor="text1"/>
                <w:kern w:val="2"/>
                <w:sz w:val="18"/>
                <w:szCs w:val="18"/>
                <w:highlight w:val="none"/>
                <w:lang w:val="en-US" w:eastAsia="zh-CN" w:bidi="ar-SA"/>
                <w14:textFill>
                  <w14:solidFill>
                    <w14:schemeClr w14:val="tx1"/>
                  </w14:solidFill>
                </w14:textFill>
              </w:rPr>
              <w:t>2</w:t>
            </w:r>
            <w:r>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t>00</w:t>
            </w:r>
            <w:r>
              <w:rPr>
                <w:rFonts w:hint="eastAsia" w:cs="Times New Roman"/>
                <w:color w:val="000000" w:themeColor="text1"/>
                <w:kern w:val="2"/>
                <w:sz w:val="18"/>
                <w:szCs w:val="18"/>
                <w:highlight w:val="none"/>
                <w:lang w:val="en-US" w:eastAsia="zh-CN" w:bidi="ar-SA"/>
                <w14:textFill>
                  <w14:solidFill>
                    <w14:schemeClr w14:val="tx1"/>
                  </w14:solidFill>
                </w14:textFill>
              </w:rPr>
              <w:t>5</w:t>
            </w:r>
          </w:p>
        </w:tc>
        <w:tc>
          <w:tcPr>
            <w:tcW w:w="709" w:type="dxa"/>
            <w:shd w:val="clear" w:color="auto" w:fill="auto"/>
            <w:vAlign w:val="center"/>
          </w:tcPr>
          <w:p w14:paraId="1864113B">
            <w:pPr>
              <w:jc w:val="center"/>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556F5CB4">
            <w:pPr>
              <w:jc w:val="center"/>
              <w:rPr>
                <w:rFonts w:hint="eastAsia" w:ascii="Times New Roman" w:hAnsi="Times New Roman" w:eastAsia="宋体" w:cs="Times New Roman"/>
                <w:iCs/>
                <w:kern w:val="2"/>
                <w:sz w:val="18"/>
                <w:szCs w:val="18"/>
                <w:lang w:val="en-US" w:eastAsia="zh-CN" w:bidi="ar-SA"/>
              </w:rPr>
            </w:pPr>
            <w:r>
              <w:rPr>
                <w:rFonts w:hint="eastAsia"/>
                <w:iCs/>
                <w:sz w:val="18"/>
                <w:szCs w:val="18"/>
                <w:lang w:val="en-US" w:eastAsia="zh-CN"/>
              </w:rPr>
              <w:t>1</w:t>
            </w:r>
          </w:p>
        </w:tc>
        <w:tc>
          <w:tcPr>
            <w:tcW w:w="1045" w:type="dxa"/>
            <w:shd w:val="clear" w:color="auto" w:fill="auto"/>
            <w:vAlign w:val="center"/>
          </w:tcPr>
          <w:p w14:paraId="11823284">
            <w:pPr>
              <w:jc w:val="center"/>
              <w:rPr>
                <w:rFonts w:hint="eastAsia" w:cs="Times New Roman"/>
                <w:color w:val="000000" w:themeColor="text1"/>
                <w:kern w:val="2"/>
                <w:sz w:val="18"/>
                <w:szCs w:val="18"/>
                <w:highlight w:val="none"/>
                <w:lang w:val="en-US" w:eastAsia="zh-CN" w:bidi="ar-SA"/>
                <w14:textFill>
                  <w14:solidFill>
                    <w14:schemeClr w14:val="tx1"/>
                  </w14:solidFill>
                </w14:textFill>
              </w:rPr>
            </w:pPr>
            <w:r>
              <w:rPr>
                <w:rFonts w:hint="eastAsia" w:cs="Times New Roman"/>
                <w:color w:val="000000" w:themeColor="text1"/>
                <w:kern w:val="2"/>
                <w:sz w:val="18"/>
                <w:szCs w:val="18"/>
                <w:highlight w:val="none"/>
                <w:lang w:val="en-US" w:eastAsia="zh-CN" w:bidi="ar-SA"/>
                <w14:textFill>
                  <w14:solidFill>
                    <w14:schemeClr w14:val="tx1"/>
                  </w14:solidFill>
                </w14:textFill>
              </w:rPr>
              <w:t>考查</w:t>
            </w:r>
          </w:p>
        </w:tc>
      </w:tr>
      <w:tr w14:paraId="5B3061C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68C14064">
            <w:pPr>
              <w:jc w:val="center"/>
              <w:rPr>
                <w:b/>
                <w:color w:val="000000" w:themeColor="text1"/>
                <w:sz w:val="18"/>
                <w:szCs w:val="18"/>
                <w14:textFill>
                  <w14:solidFill>
                    <w14:schemeClr w14:val="tx1"/>
                  </w14:solidFill>
                </w14:textFill>
              </w:rPr>
            </w:pPr>
          </w:p>
        </w:tc>
        <w:tc>
          <w:tcPr>
            <w:tcW w:w="1504" w:type="dxa"/>
            <w:vMerge w:val="restart"/>
            <w:vAlign w:val="center"/>
          </w:tcPr>
          <w:p w14:paraId="0DE9A84E">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15C25D3C">
            <w:pPr>
              <w:jc w:val="center"/>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3学分</w:t>
            </w:r>
            <w:r>
              <w:rPr>
                <w:rFonts w:hint="eastAsia"/>
                <w:b/>
                <w:color w:val="000000" w:themeColor="text1"/>
                <w:sz w:val="18"/>
                <w:szCs w:val="18"/>
                <w:lang w:eastAsia="zh-CN"/>
                <w14:textFill>
                  <w14:solidFill>
                    <w14:schemeClr w14:val="tx1"/>
                  </w14:solidFill>
                </w14:textFill>
              </w:rPr>
              <w:t>）</w:t>
            </w:r>
          </w:p>
        </w:tc>
        <w:tc>
          <w:tcPr>
            <w:tcW w:w="3238" w:type="dxa"/>
            <w:shd w:val="clear" w:color="auto" w:fill="auto"/>
            <w:vAlign w:val="center"/>
          </w:tcPr>
          <w:p w14:paraId="41A19F55">
            <w:pPr>
              <w:adjustRightInd w:val="0"/>
              <w:snapToGrid w:val="0"/>
              <w:rPr>
                <w:rFonts w:ascii="Times New Roman" w:hAnsi="Times New Roman" w:eastAsia="宋体" w:cs="Times New Roman"/>
                <w:kern w:val="2"/>
                <w:sz w:val="18"/>
                <w:szCs w:val="18"/>
                <w:lang w:val="en-US" w:eastAsia="zh-CN" w:bidi="ar-SA"/>
              </w:rPr>
            </w:pPr>
            <w:r>
              <w:rPr>
                <w:rFonts w:hint="eastAsia"/>
                <w:sz w:val="18"/>
                <w:szCs w:val="18"/>
              </w:rPr>
              <w:t>习近平法治思想专题</w:t>
            </w:r>
          </w:p>
        </w:tc>
        <w:tc>
          <w:tcPr>
            <w:tcW w:w="1081" w:type="dxa"/>
            <w:shd w:val="clear" w:color="auto" w:fill="auto"/>
            <w:vAlign w:val="center"/>
          </w:tcPr>
          <w:p w14:paraId="0852F975">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XS07030</w:t>
            </w:r>
            <w:r>
              <w:rPr>
                <w:rFonts w:hint="eastAsia"/>
                <w:iCs/>
                <w:sz w:val="18"/>
                <w:szCs w:val="18"/>
                <w:lang w:val="en-US" w:eastAsia="zh-CN"/>
              </w:rPr>
              <w:t>1</w:t>
            </w:r>
            <w:r>
              <w:rPr>
                <w:rFonts w:hint="eastAsia"/>
                <w:iCs/>
                <w:sz w:val="18"/>
                <w:szCs w:val="18"/>
              </w:rPr>
              <w:t>1</w:t>
            </w:r>
          </w:p>
        </w:tc>
        <w:tc>
          <w:tcPr>
            <w:tcW w:w="709" w:type="dxa"/>
            <w:shd w:val="clear" w:color="auto" w:fill="auto"/>
            <w:vAlign w:val="center"/>
          </w:tcPr>
          <w:p w14:paraId="70399EA1">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1</w:t>
            </w:r>
          </w:p>
        </w:tc>
        <w:tc>
          <w:tcPr>
            <w:tcW w:w="709" w:type="dxa"/>
            <w:shd w:val="clear" w:color="auto" w:fill="auto"/>
            <w:vAlign w:val="center"/>
          </w:tcPr>
          <w:p w14:paraId="4FFD2658">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1</w:t>
            </w:r>
          </w:p>
        </w:tc>
        <w:tc>
          <w:tcPr>
            <w:tcW w:w="1045" w:type="dxa"/>
            <w:shd w:val="clear" w:color="auto" w:fill="auto"/>
            <w:vAlign w:val="center"/>
          </w:tcPr>
          <w:p w14:paraId="36374177">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考试</w:t>
            </w:r>
          </w:p>
        </w:tc>
      </w:tr>
      <w:tr w14:paraId="366256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4F5768A">
            <w:pPr>
              <w:jc w:val="center"/>
              <w:rPr>
                <w:b/>
                <w:color w:val="000000" w:themeColor="text1"/>
                <w:sz w:val="18"/>
                <w:szCs w:val="18"/>
                <w14:textFill>
                  <w14:solidFill>
                    <w14:schemeClr w14:val="tx1"/>
                  </w14:solidFill>
                </w14:textFill>
              </w:rPr>
            </w:pPr>
          </w:p>
        </w:tc>
        <w:tc>
          <w:tcPr>
            <w:tcW w:w="1504" w:type="dxa"/>
            <w:vMerge w:val="continue"/>
            <w:vAlign w:val="center"/>
          </w:tcPr>
          <w:p w14:paraId="44D93435">
            <w:pPr>
              <w:jc w:val="center"/>
              <w:rPr>
                <w:b/>
                <w:color w:val="000000" w:themeColor="text1"/>
                <w:sz w:val="18"/>
                <w:szCs w:val="18"/>
                <w14:textFill>
                  <w14:solidFill>
                    <w14:schemeClr w14:val="tx1"/>
                  </w14:solidFill>
                </w14:textFill>
              </w:rPr>
            </w:pPr>
          </w:p>
        </w:tc>
        <w:tc>
          <w:tcPr>
            <w:tcW w:w="3238" w:type="dxa"/>
            <w:shd w:val="clear" w:color="auto" w:fill="auto"/>
            <w:vAlign w:val="center"/>
          </w:tcPr>
          <w:p w14:paraId="2A27EC16">
            <w:pPr>
              <w:adjustRightInd w:val="0"/>
              <w:snapToGrid w:val="0"/>
              <w:rPr>
                <w:rFonts w:ascii="Times New Roman" w:hAnsi="Times New Roman" w:eastAsia="宋体" w:cs="Times New Roman"/>
                <w:kern w:val="2"/>
                <w:sz w:val="18"/>
                <w:szCs w:val="18"/>
                <w:lang w:val="en-US" w:eastAsia="zh-CN" w:bidi="ar-SA"/>
              </w:rPr>
            </w:pPr>
            <w:r>
              <w:rPr>
                <w:rFonts w:hint="eastAsia"/>
                <w:sz w:val="18"/>
                <w:szCs w:val="18"/>
              </w:rPr>
              <w:t>法理学</w:t>
            </w:r>
          </w:p>
        </w:tc>
        <w:tc>
          <w:tcPr>
            <w:tcW w:w="1081" w:type="dxa"/>
            <w:shd w:val="clear" w:color="auto" w:fill="auto"/>
            <w:vAlign w:val="center"/>
          </w:tcPr>
          <w:p w14:paraId="600F1F4C">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XS07030</w:t>
            </w:r>
            <w:r>
              <w:rPr>
                <w:rFonts w:hint="eastAsia"/>
                <w:iCs/>
                <w:sz w:val="18"/>
                <w:szCs w:val="18"/>
                <w:lang w:val="en-US" w:eastAsia="zh-CN"/>
              </w:rPr>
              <w:t>1</w:t>
            </w:r>
            <w:r>
              <w:rPr>
                <w:rFonts w:hint="eastAsia"/>
                <w:iCs/>
                <w:sz w:val="18"/>
                <w:szCs w:val="18"/>
              </w:rPr>
              <w:t>2</w:t>
            </w:r>
          </w:p>
        </w:tc>
        <w:tc>
          <w:tcPr>
            <w:tcW w:w="709" w:type="dxa"/>
            <w:shd w:val="clear" w:color="auto" w:fill="auto"/>
            <w:vAlign w:val="center"/>
          </w:tcPr>
          <w:p w14:paraId="5DF0821B">
            <w:pPr>
              <w:jc w:val="center"/>
              <w:rPr>
                <w:rFonts w:hint="eastAsia"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4D2305AC">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1</w:t>
            </w:r>
          </w:p>
        </w:tc>
        <w:tc>
          <w:tcPr>
            <w:tcW w:w="1045" w:type="dxa"/>
            <w:shd w:val="clear" w:color="auto" w:fill="auto"/>
            <w:vAlign w:val="center"/>
          </w:tcPr>
          <w:p w14:paraId="53243FA2">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考试</w:t>
            </w:r>
          </w:p>
        </w:tc>
      </w:tr>
      <w:tr w14:paraId="2E3295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1A22297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504" w:type="dxa"/>
            <w:vMerge w:val="restart"/>
            <w:vAlign w:val="center"/>
          </w:tcPr>
          <w:p w14:paraId="3A3A8F32">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w:t>
            </w:r>
            <w:r>
              <w:rPr>
                <w:rFonts w:hint="eastAsia"/>
                <w:b/>
                <w:color w:val="000000" w:themeColor="text1"/>
                <w:sz w:val="18"/>
                <w:szCs w:val="18"/>
                <w14:textFill>
                  <w14:solidFill>
                    <w14:schemeClr w14:val="tx1"/>
                  </w14:solidFill>
                </w14:textFill>
              </w:rPr>
              <w:t>通识</w:t>
            </w:r>
            <w:r>
              <w:rPr>
                <w:b/>
                <w:color w:val="000000" w:themeColor="text1"/>
                <w:sz w:val="18"/>
                <w:szCs w:val="18"/>
                <w14:textFill>
                  <w14:solidFill>
                    <w14:schemeClr w14:val="tx1"/>
                  </w14:solidFill>
                </w14:textFill>
              </w:rPr>
              <w:t>课</w:t>
            </w:r>
          </w:p>
          <w:p w14:paraId="2C42275A">
            <w:pPr>
              <w:jc w:val="center"/>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2学分</w:t>
            </w:r>
            <w:r>
              <w:rPr>
                <w:rFonts w:hint="eastAsia"/>
                <w:b/>
                <w:color w:val="000000" w:themeColor="text1"/>
                <w:sz w:val="18"/>
                <w:szCs w:val="18"/>
                <w:lang w:eastAsia="zh-CN"/>
                <w14:textFill>
                  <w14:solidFill>
                    <w14:schemeClr w14:val="tx1"/>
                  </w14:solidFill>
                </w14:textFill>
              </w:rPr>
              <w:t>）</w:t>
            </w:r>
          </w:p>
        </w:tc>
        <w:tc>
          <w:tcPr>
            <w:tcW w:w="3238" w:type="dxa"/>
            <w:vAlign w:val="center"/>
          </w:tcPr>
          <w:p w14:paraId="7265653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shd w:val="clear" w:color="auto" w:fill="auto"/>
            <w:vAlign w:val="center"/>
          </w:tcPr>
          <w:p w14:paraId="00B3CFA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w:t>
            </w:r>
            <w:r>
              <w:rPr>
                <w:rFonts w:hint="eastAsia"/>
                <w:color w:val="000000" w:themeColor="text1"/>
                <w:sz w:val="18"/>
                <w:szCs w:val="18"/>
                <w14:textFill>
                  <w14:solidFill>
                    <w14:schemeClr w14:val="tx1"/>
                  </w14:solidFill>
                </w14:textFill>
              </w:rPr>
              <w:t>T</w:t>
            </w:r>
            <w:r>
              <w:rPr>
                <w:color w:val="000000" w:themeColor="text1"/>
                <w:sz w:val="18"/>
                <w:szCs w:val="18"/>
                <w14:textFill>
                  <w14:solidFill>
                    <w14:schemeClr w14:val="tx1"/>
                  </w14:solidFill>
                </w14:textFill>
              </w:rPr>
              <w:t>0000</w:t>
            </w:r>
            <w:r>
              <w:rPr>
                <w:rFonts w:hint="eastAsia"/>
                <w:color w:val="000000" w:themeColor="text1"/>
                <w:sz w:val="18"/>
                <w:szCs w:val="18"/>
                <w14:textFill>
                  <w14:solidFill>
                    <w14:schemeClr w14:val="tx1"/>
                  </w14:solidFill>
                </w14:textFill>
              </w:rPr>
              <w:t>10</w:t>
            </w:r>
            <w:r>
              <w:rPr>
                <w:color w:val="000000" w:themeColor="text1"/>
                <w:sz w:val="18"/>
                <w:szCs w:val="18"/>
                <w14:textFill>
                  <w14:solidFill>
                    <w14:schemeClr w14:val="tx1"/>
                  </w14:solidFill>
                </w14:textFill>
              </w:rPr>
              <w:t>1</w:t>
            </w:r>
          </w:p>
        </w:tc>
        <w:tc>
          <w:tcPr>
            <w:tcW w:w="709" w:type="dxa"/>
            <w:vAlign w:val="center"/>
          </w:tcPr>
          <w:p w14:paraId="45CA715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5D9B6E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CF5DD8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032F6E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0F5495F3">
            <w:pPr>
              <w:jc w:val="center"/>
              <w:rPr>
                <w:b/>
                <w:color w:val="000000" w:themeColor="text1"/>
                <w:sz w:val="18"/>
                <w:szCs w:val="18"/>
                <w14:textFill>
                  <w14:solidFill>
                    <w14:schemeClr w14:val="tx1"/>
                  </w14:solidFill>
                </w14:textFill>
              </w:rPr>
            </w:pPr>
          </w:p>
        </w:tc>
        <w:tc>
          <w:tcPr>
            <w:tcW w:w="1504" w:type="dxa"/>
            <w:vMerge w:val="continue"/>
            <w:vAlign w:val="center"/>
          </w:tcPr>
          <w:p w14:paraId="19B910FC">
            <w:pPr>
              <w:jc w:val="center"/>
              <w:rPr>
                <w:b/>
                <w:color w:val="000000" w:themeColor="text1"/>
                <w:sz w:val="18"/>
                <w:szCs w:val="18"/>
                <w14:textFill>
                  <w14:solidFill>
                    <w14:schemeClr w14:val="tx1"/>
                  </w14:solidFill>
                </w14:textFill>
              </w:rPr>
            </w:pPr>
          </w:p>
        </w:tc>
        <w:tc>
          <w:tcPr>
            <w:tcW w:w="3238" w:type="dxa"/>
            <w:vAlign w:val="center"/>
          </w:tcPr>
          <w:p w14:paraId="7777DD13">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shd w:val="clear" w:color="auto" w:fill="auto"/>
            <w:vAlign w:val="center"/>
          </w:tcPr>
          <w:p w14:paraId="267B572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w:t>
            </w:r>
            <w:r>
              <w:rPr>
                <w:rFonts w:hint="eastAsia"/>
                <w:color w:val="000000" w:themeColor="text1"/>
                <w:sz w:val="18"/>
                <w:szCs w:val="18"/>
                <w14:textFill>
                  <w14:solidFill>
                    <w14:schemeClr w14:val="tx1"/>
                  </w14:solidFill>
                </w14:textFill>
              </w:rPr>
              <w:t>S</w:t>
            </w:r>
            <w:r>
              <w:rPr>
                <w:color w:val="000000" w:themeColor="text1"/>
                <w:sz w:val="18"/>
                <w:szCs w:val="18"/>
                <w14:textFill>
                  <w14:solidFill>
                    <w14:schemeClr w14:val="tx1"/>
                  </w14:solidFill>
                </w14:textFill>
              </w:rPr>
              <w:t>000</w:t>
            </w:r>
            <w:r>
              <w:rPr>
                <w:rFonts w:hint="eastAsia"/>
                <w:color w:val="000000" w:themeColor="text1"/>
                <w:sz w:val="18"/>
                <w:szCs w:val="18"/>
                <w14:textFill>
                  <w14:solidFill>
                    <w14:schemeClr w14:val="tx1"/>
                  </w14:solidFill>
                </w14:textFill>
              </w:rPr>
              <w:t>0101</w:t>
            </w:r>
          </w:p>
        </w:tc>
        <w:tc>
          <w:tcPr>
            <w:tcW w:w="709" w:type="dxa"/>
            <w:vAlign w:val="center"/>
          </w:tcPr>
          <w:p w14:paraId="690FEE2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5332AE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67C2249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E251A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23C09A0">
            <w:pPr>
              <w:rPr>
                <w:b/>
                <w:color w:val="000000" w:themeColor="text1"/>
                <w:sz w:val="18"/>
                <w:szCs w:val="18"/>
                <w14:textFill>
                  <w14:solidFill>
                    <w14:schemeClr w14:val="tx1"/>
                  </w14:solidFill>
                </w14:textFill>
              </w:rPr>
            </w:pPr>
          </w:p>
        </w:tc>
        <w:tc>
          <w:tcPr>
            <w:tcW w:w="1504" w:type="dxa"/>
            <w:vMerge w:val="restart"/>
            <w:vAlign w:val="center"/>
          </w:tcPr>
          <w:p w14:paraId="2BA5DB0C">
            <w:pPr>
              <w:adjustRightInd w:val="0"/>
              <w:snapToGrid w:val="0"/>
              <w:jc w:val="center"/>
              <w:rPr>
                <w:b/>
                <w:color w:val="000000" w:themeColor="text1"/>
                <w:sz w:val="18"/>
                <w:szCs w:val="18"/>
                <w:highlight w:val="yellow"/>
                <w14:textFill>
                  <w14:solidFill>
                    <w14:schemeClr w14:val="tx1"/>
                  </w14:solidFill>
                </w14:textFill>
              </w:rPr>
            </w:pPr>
            <w:r>
              <w:rPr>
                <w:rFonts w:hint="eastAsia"/>
                <w:b/>
                <w:sz w:val="18"/>
                <w:szCs w:val="18"/>
                <w:lang w:eastAsia="zh-CN"/>
              </w:rPr>
              <w:t>专业选修</w:t>
            </w:r>
            <w:r>
              <w:rPr>
                <w:rFonts w:hint="eastAsia"/>
                <w:b/>
                <w:sz w:val="18"/>
                <w:szCs w:val="18"/>
              </w:rPr>
              <w:t>课</w:t>
            </w:r>
          </w:p>
        </w:tc>
        <w:tc>
          <w:tcPr>
            <w:tcW w:w="3238" w:type="dxa"/>
            <w:shd w:val="clear" w:color="auto" w:fill="auto"/>
            <w:vAlign w:val="center"/>
          </w:tcPr>
          <w:p w14:paraId="2352A268">
            <w:pPr>
              <w:rPr>
                <w:rFonts w:ascii="Times New Roman" w:hAnsi="Times New Roman" w:eastAsia="宋体" w:cs="Times New Roman"/>
                <w:iCs/>
                <w:kern w:val="2"/>
                <w:sz w:val="18"/>
                <w:szCs w:val="18"/>
                <w:highlight w:val="none"/>
                <w:lang w:val="en-US" w:eastAsia="zh-CN" w:bidi="ar-SA"/>
              </w:rPr>
            </w:pPr>
            <w:r>
              <w:rPr>
                <w:rFonts w:hint="eastAsia"/>
                <w:iCs/>
                <w:sz w:val="18"/>
                <w:szCs w:val="18"/>
                <w:highlight w:val="none"/>
              </w:rPr>
              <w:t>立法学</w:t>
            </w:r>
          </w:p>
        </w:tc>
        <w:tc>
          <w:tcPr>
            <w:tcW w:w="1081" w:type="dxa"/>
            <w:shd w:val="clear" w:color="auto" w:fill="auto"/>
            <w:vAlign w:val="center"/>
          </w:tcPr>
          <w:p w14:paraId="2563EE61">
            <w:pPr>
              <w:jc w:val="center"/>
              <w:rPr>
                <w:rFonts w:hint="eastAsia" w:ascii="Times New Roman" w:hAnsi="Times New Roman" w:eastAsia="宋体" w:cs="Times New Roman"/>
                <w:kern w:val="2"/>
                <w:sz w:val="18"/>
                <w:szCs w:val="18"/>
                <w:lang w:val="en-US" w:eastAsia="zh-CN" w:bidi="ar-SA"/>
              </w:rPr>
            </w:pPr>
            <w:r>
              <w:rPr>
                <w:rFonts w:hint="eastAsia"/>
                <w:iCs/>
                <w:sz w:val="18"/>
                <w:szCs w:val="18"/>
              </w:rPr>
              <w:t>XS07081</w:t>
            </w:r>
            <w:r>
              <w:rPr>
                <w:rFonts w:hint="eastAsia"/>
                <w:iCs/>
                <w:sz w:val="18"/>
                <w:szCs w:val="18"/>
                <w:lang w:val="en-US" w:eastAsia="zh-CN"/>
              </w:rPr>
              <w:t>11</w:t>
            </w:r>
          </w:p>
        </w:tc>
        <w:tc>
          <w:tcPr>
            <w:tcW w:w="709" w:type="dxa"/>
            <w:shd w:val="clear" w:color="auto" w:fill="auto"/>
            <w:vAlign w:val="center"/>
          </w:tcPr>
          <w:p w14:paraId="1717A9AB">
            <w:pPr>
              <w:jc w:val="center"/>
              <w:rPr>
                <w:rFonts w:hint="eastAsia" w:ascii="Times New Roman" w:hAnsi="Times New Roman" w:eastAsia="宋体" w:cs="Times New Roman"/>
                <w:kern w:val="2"/>
                <w:sz w:val="18"/>
                <w:szCs w:val="18"/>
                <w:lang w:val="en-US" w:eastAsia="zh-CN" w:bidi="ar-SA"/>
              </w:rPr>
            </w:pPr>
            <w:r>
              <w:rPr>
                <w:rFonts w:hint="eastAsia"/>
                <w:sz w:val="18"/>
                <w:szCs w:val="18"/>
                <w:lang w:val="en-US" w:eastAsia="zh-CN"/>
              </w:rPr>
              <w:t>3</w:t>
            </w:r>
          </w:p>
        </w:tc>
        <w:tc>
          <w:tcPr>
            <w:tcW w:w="709" w:type="dxa"/>
            <w:shd w:val="clear" w:color="auto" w:fill="auto"/>
            <w:vAlign w:val="center"/>
          </w:tcPr>
          <w:p w14:paraId="59F47F2A">
            <w:pPr>
              <w:jc w:val="center"/>
              <w:rPr>
                <w:rFonts w:hint="eastAsia" w:ascii="Times New Roman" w:hAnsi="Times New Roman" w:eastAsia="宋体" w:cs="Times New Roman"/>
                <w:iCs/>
                <w:kern w:val="2"/>
                <w:sz w:val="18"/>
                <w:szCs w:val="18"/>
                <w:lang w:val="en-US" w:eastAsia="zh-CN" w:bidi="ar-SA"/>
              </w:rPr>
            </w:pPr>
            <w:r>
              <w:rPr>
                <w:rFonts w:hint="eastAsia"/>
                <w:iCs/>
                <w:sz w:val="18"/>
                <w:szCs w:val="18"/>
              </w:rPr>
              <w:t>2</w:t>
            </w:r>
          </w:p>
        </w:tc>
        <w:tc>
          <w:tcPr>
            <w:tcW w:w="1045" w:type="dxa"/>
            <w:vMerge w:val="restart"/>
            <w:vAlign w:val="center"/>
          </w:tcPr>
          <w:p w14:paraId="0C97C74D">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272AA0B1">
            <w:pPr>
              <w:adjustRightInd w:val="0"/>
              <w:snapToGrid w:val="0"/>
              <w:jc w:val="center"/>
              <w:rPr>
                <w:i/>
                <w:sz w:val="15"/>
                <w:szCs w:val="15"/>
              </w:rPr>
            </w:pPr>
            <w:r>
              <w:rPr>
                <w:rFonts w:hint="eastAsia"/>
                <w:color w:val="000000" w:themeColor="text1"/>
                <w:sz w:val="18"/>
                <w:szCs w:val="18"/>
                <w:lang w:val="en-US" w:eastAsia="zh-CN"/>
                <w14:textFill>
                  <w14:solidFill>
                    <w14:schemeClr w14:val="tx1"/>
                  </w14:solidFill>
                </w14:textFill>
              </w:rPr>
              <w:t>10</w:t>
            </w:r>
            <w:r>
              <w:rPr>
                <w:color w:val="000000" w:themeColor="text1"/>
                <w:sz w:val="18"/>
                <w:szCs w:val="18"/>
                <w14:textFill>
                  <w14:solidFill>
                    <w14:schemeClr w14:val="tx1"/>
                  </w14:solidFill>
                </w14:textFill>
              </w:rPr>
              <w:t>学分</w:t>
            </w:r>
          </w:p>
        </w:tc>
      </w:tr>
      <w:tr w14:paraId="0AC3573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CBF2276">
            <w:pPr>
              <w:rPr>
                <w:b/>
                <w:color w:val="000000" w:themeColor="text1"/>
                <w:sz w:val="18"/>
                <w:szCs w:val="18"/>
                <w14:textFill>
                  <w14:solidFill>
                    <w14:schemeClr w14:val="tx1"/>
                  </w14:solidFill>
                </w14:textFill>
              </w:rPr>
            </w:pPr>
          </w:p>
        </w:tc>
        <w:tc>
          <w:tcPr>
            <w:tcW w:w="1504" w:type="dxa"/>
            <w:vMerge w:val="continue"/>
            <w:vAlign w:val="center"/>
          </w:tcPr>
          <w:p w14:paraId="2205587E">
            <w:pPr>
              <w:jc w:val="center"/>
              <w:rPr>
                <w:b/>
                <w:color w:val="000000" w:themeColor="text1"/>
                <w:sz w:val="18"/>
                <w:szCs w:val="18"/>
                <w:highlight w:val="yellow"/>
                <w14:textFill>
                  <w14:solidFill>
                    <w14:schemeClr w14:val="tx1"/>
                  </w14:solidFill>
                </w14:textFill>
              </w:rPr>
            </w:pPr>
          </w:p>
        </w:tc>
        <w:tc>
          <w:tcPr>
            <w:tcW w:w="3238" w:type="dxa"/>
            <w:vAlign w:val="center"/>
          </w:tcPr>
          <w:p w14:paraId="5C0857F9">
            <w:pPr>
              <w:tabs>
                <w:tab w:val="center" w:pos="1375"/>
              </w:tabs>
              <w:adjustRightInd w:val="0"/>
              <w:snapToGrid w:val="0"/>
              <w:rPr>
                <w:iCs/>
                <w:color w:val="000000" w:themeColor="text1"/>
                <w:sz w:val="18"/>
                <w:szCs w:val="18"/>
                <w14:textFill>
                  <w14:solidFill>
                    <w14:schemeClr w14:val="tx1"/>
                  </w14:solidFill>
                </w14:textFill>
              </w:rPr>
            </w:pPr>
            <w:r>
              <w:rPr>
                <w:rFonts w:hint="eastAsia"/>
                <w:iCs/>
                <w:color w:val="000000" w:themeColor="text1"/>
                <w:sz w:val="18"/>
                <w:szCs w:val="18"/>
                <w:lang w:eastAsia="zh-CN"/>
                <w14:textFill>
                  <w14:solidFill>
                    <w14:schemeClr w14:val="tx1"/>
                  </w14:solidFill>
                </w14:textFill>
              </w:rPr>
              <w:t>法律文化</w:t>
            </w:r>
            <w:r>
              <w:rPr>
                <w:rFonts w:hint="eastAsia"/>
                <w:iCs/>
                <w:color w:val="000000" w:themeColor="text1"/>
                <w:sz w:val="18"/>
                <w:szCs w:val="18"/>
                <w14:textFill>
                  <w14:solidFill>
                    <w14:schemeClr w14:val="tx1"/>
                  </w14:solidFill>
                </w14:textFill>
              </w:rPr>
              <w:tab/>
            </w:r>
          </w:p>
        </w:tc>
        <w:tc>
          <w:tcPr>
            <w:tcW w:w="1081" w:type="dxa"/>
            <w:shd w:val="clear" w:color="auto" w:fill="auto"/>
            <w:vAlign w:val="center"/>
          </w:tcPr>
          <w:p w14:paraId="0349F2BF">
            <w:pPr>
              <w:jc w:val="center"/>
              <w:rPr>
                <w:rFonts w:hint="eastAsia" w:eastAsia="宋体"/>
                <w:color w:val="000000" w:themeColor="text1"/>
                <w:sz w:val="18"/>
                <w:szCs w:val="18"/>
                <w:lang w:eastAsia="zh-CN"/>
                <w14:textFill>
                  <w14:solidFill>
                    <w14:schemeClr w14:val="tx1"/>
                  </w14:solidFill>
                </w14:textFill>
              </w:rPr>
            </w:pPr>
            <w:r>
              <w:rPr>
                <w:rFonts w:hint="eastAsia"/>
                <w:iCs/>
                <w:color w:val="000000" w:themeColor="text1"/>
                <w:sz w:val="18"/>
                <w:szCs w:val="18"/>
                <w14:textFill>
                  <w14:solidFill>
                    <w14:schemeClr w14:val="tx1"/>
                  </w14:solidFill>
                </w14:textFill>
              </w:rPr>
              <w:t>XS07081</w:t>
            </w:r>
            <w:r>
              <w:rPr>
                <w:rFonts w:hint="eastAsia"/>
                <w:iCs/>
                <w:color w:val="000000" w:themeColor="text1"/>
                <w:sz w:val="18"/>
                <w:szCs w:val="18"/>
                <w:lang w:val="en-US" w:eastAsia="zh-CN"/>
                <w14:textFill>
                  <w14:solidFill>
                    <w14:schemeClr w14:val="tx1"/>
                  </w14:solidFill>
                </w14:textFill>
              </w:rPr>
              <w:t>12</w:t>
            </w:r>
          </w:p>
        </w:tc>
        <w:tc>
          <w:tcPr>
            <w:tcW w:w="709" w:type="dxa"/>
            <w:vAlign w:val="center"/>
          </w:tcPr>
          <w:p w14:paraId="680C29AE">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2</w:t>
            </w:r>
          </w:p>
        </w:tc>
        <w:tc>
          <w:tcPr>
            <w:tcW w:w="709" w:type="dxa"/>
            <w:vAlign w:val="center"/>
          </w:tcPr>
          <w:p w14:paraId="781FEB29">
            <w:pPr>
              <w:jc w:val="center"/>
              <w:rPr>
                <w:rFonts w:hint="eastAsia" w:eastAsia="宋体"/>
                <w:iCs/>
                <w:color w:val="000000" w:themeColor="text1"/>
                <w:sz w:val="18"/>
                <w:szCs w:val="18"/>
                <w:lang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3</w:t>
            </w:r>
          </w:p>
        </w:tc>
        <w:tc>
          <w:tcPr>
            <w:tcW w:w="1045" w:type="dxa"/>
            <w:vMerge w:val="continue"/>
            <w:vAlign w:val="center"/>
          </w:tcPr>
          <w:p w14:paraId="01C4B250">
            <w:pPr>
              <w:jc w:val="center"/>
              <w:rPr>
                <w:i/>
                <w:color w:val="FF0000"/>
                <w:sz w:val="15"/>
                <w:szCs w:val="15"/>
              </w:rPr>
            </w:pPr>
          </w:p>
        </w:tc>
      </w:tr>
      <w:tr w14:paraId="030DDA8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CBC8831">
            <w:pPr>
              <w:rPr>
                <w:b/>
                <w:color w:val="000000" w:themeColor="text1"/>
                <w:sz w:val="18"/>
                <w:szCs w:val="18"/>
                <w14:textFill>
                  <w14:solidFill>
                    <w14:schemeClr w14:val="tx1"/>
                  </w14:solidFill>
                </w14:textFill>
              </w:rPr>
            </w:pPr>
          </w:p>
        </w:tc>
        <w:tc>
          <w:tcPr>
            <w:tcW w:w="1504" w:type="dxa"/>
            <w:vMerge w:val="continue"/>
            <w:vAlign w:val="center"/>
          </w:tcPr>
          <w:p w14:paraId="43295A70">
            <w:pPr>
              <w:jc w:val="center"/>
              <w:rPr>
                <w:b/>
                <w:color w:val="000000" w:themeColor="text1"/>
                <w:sz w:val="18"/>
                <w:szCs w:val="18"/>
                <w:highlight w:val="yellow"/>
                <w14:textFill>
                  <w14:solidFill>
                    <w14:schemeClr w14:val="tx1"/>
                  </w14:solidFill>
                </w14:textFill>
              </w:rPr>
            </w:pPr>
          </w:p>
        </w:tc>
        <w:tc>
          <w:tcPr>
            <w:tcW w:w="3238" w:type="dxa"/>
            <w:vAlign w:val="center"/>
          </w:tcPr>
          <w:p w14:paraId="717F53FA">
            <w:pPr>
              <w:adjustRightInd w:val="0"/>
              <w:snapToGrid w:val="0"/>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法律社会学</w:t>
            </w:r>
          </w:p>
        </w:tc>
        <w:tc>
          <w:tcPr>
            <w:tcW w:w="1081" w:type="dxa"/>
            <w:shd w:val="clear" w:color="auto" w:fill="auto"/>
            <w:vAlign w:val="center"/>
          </w:tcPr>
          <w:p w14:paraId="0A0BDD65">
            <w:pPr>
              <w:jc w:val="center"/>
              <w:rPr>
                <w:rFonts w:hint="eastAsia" w:eastAsia="宋体"/>
                <w:iCs/>
                <w:color w:val="000000" w:themeColor="text1"/>
                <w:sz w:val="18"/>
                <w:szCs w:val="18"/>
                <w:lang w:eastAsia="zh-CN"/>
                <w14:textFill>
                  <w14:solidFill>
                    <w14:schemeClr w14:val="tx1"/>
                  </w14:solidFill>
                </w14:textFill>
              </w:rPr>
            </w:pPr>
            <w:r>
              <w:rPr>
                <w:rFonts w:hint="eastAsia"/>
                <w:iCs/>
                <w:color w:val="000000" w:themeColor="text1"/>
                <w:sz w:val="18"/>
                <w:szCs w:val="18"/>
                <w14:textFill>
                  <w14:solidFill>
                    <w14:schemeClr w14:val="tx1"/>
                  </w14:solidFill>
                </w14:textFill>
              </w:rPr>
              <w:t>XS07081</w:t>
            </w:r>
            <w:r>
              <w:rPr>
                <w:rFonts w:hint="eastAsia"/>
                <w:iCs/>
                <w:color w:val="000000" w:themeColor="text1"/>
                <w:sz w:val="18"/>
                <w:szCs w:val="18"/>
                <w:lang w:val="en-US" w:eastAsia="zh-CN"/>
                <w14:textFill>
                  <w14:solidFill>
                    <w14:schemeClr w14:val="tx1"/>
                  </w14:solidFill>
                </w14:textFill>
              </w:rPr>
              <w:t>13</w:t>
            </w:r>
          </w:p>
        </w:tc>
        <w:tc>
          <w:tcPr>
            <w:tcW w:w="709" w:type="dxa"/>
            <w:vAlign w:val="center"/>
          </w:tcPr>
          <w:p w14:paraId="17FDDDC5">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p>
        </w:tc>
        <w:tc>
          <w:tcPr>
            <w:tcW w:w="709" w:type="dxa"/>
            <w:vAlign w:val="center"/>
          </w:tcPr>
          <w:p w14:paraId="51CF2265">
            <w:pPr>
              <w:jc w:val="center"/>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1</w:t>
            </w:r>
          </w:p>
        </w:tc>
        <w:tc>
          <w:tcPr>
            <w:tcW w:w="1045" w:type="dxa"/>
            <w:vMerge w:val="continue"/>
            <w:vAlign w:val="center"/>
          </w:tcPr>
          <w:p w14:paraId="436D37FC">
            <w:pPr>
              <w:jc w:val="center"/>
              <w:rPr>
                <w:i/>
                <w:sz w:val="15"/>
                <w:szCs w:val="15"/>
              </w:rPr>
            </w:pPr>
          </w:p>
        </w:tc>
      </w:tr>
      <w:tr w14:paraId="29BAE8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42086BB">
            <w:pPr>
              <w:rPr>
                <w:b/>
                <w:color w:val="000000" w:themeColor="text1"/>
                <w:sz w:val="18"/>
                <w:szCs w:val="18"/>
                <w14:textFill>
                  <w14:solidFill>
                    <w14:schemeClr w14:val="tx1"/>
                  </w14:solidFill>
                </w14:textFill>
              </w:rPr>
            </w:pPr>
          </w:p>
        </w:tc>
        <w:tc>
          <w:tcPr>
            <w:tcW w:w="1504" w:type="dxa"/>
            <w:vMerge w:val="continue"/>
            <w:vAlign w:val="center"/>
          </w:tcPr>
          <w:p w14:paraId="6FB3C83D">
            <w:pPr>
              <w:jc w:val="center"/>
              <w:rPr>
                <w:b/>
                <w:color w:val="000000" w:themeColor="text1"/>
                <w:sz w:val="18"/>
                <w:szCs w:val="18"/>
                <w:highlight w:val="yellow"/>
                <w14:textFill>
                  <w14:solidFill>
                    <w14:schemeClr w14:val="tx1"/>
                  </w14:solidFill>
                </w14:textFill>
              </w:rPr>
            </w:pPr>
          </w:p>
        </w:tc>
        <w:tc>
          <w:tcPr>
            <w:tcW w:w="3238" w:type="dxa"/>
            <w:vAlign w:val="center"/>
          </w:tcPr>
          <w:p w14:paraId="5FA3317E">
            <w:pPr>
              <w:adjustRightInd w:val="0"/>
              <w:snapToGrid w:val="0"/>
              <w:rPr>
                <w:rFonts w:hint="eastAsia" w:eastAsia="宋体"/>
                <w:iCs/>
                <w:color w:val="000000" w:themeColor="text1"/>
                <w:sz w:val="18"/>
                <w:szCs w:val="18"/>
                <w:lang w:eastAsia="zh-CN"/>
                <w14:textFill>
                  <w14:solidFill>
                    <w14:schemeClr w14:val="tx1"/>
                  </w14:solidFill>
                </w14:textFill>
              </w:rPr>
            </w:pPr>
            <w:r>
              <w:rPr>
                <w:rFonts w:hint="eastAsia"/>
                <w:iCs/>
                <w:color w:val="000000" w:themeColor="text1"/>
                <w:sz w:val="18"/>
                <w:szCs w:val="18"/>
                <w:lang w:eastAsia="zh-CN"/>
                <w14:textFill>
                  <w14:solidFill>
                    <w14:schemeClr w14:val="tx1"/>
                  </w14:solidFill>
                </w14:textFill>
              </w:rPr>
              <w:t>比较法学</w:t>
            </w:r>
          </w:p>
        </w:tc>
        <w:tc>
          <w:tcPr>
            <w:tcW w:w="1081" w:type="dxa"/>
            <w:shd w:val="clear" w:color="auto" w:fill="auto"/>
            <w:vAlign w:val="center"/>
          </w:tcPr>
          <w:p w14:paraId="7E57E0CF">
            <w:pPr>
              <w:jc w:val="center"/>
              <w:rPr>
                <w:rFonts w:hint="eastAsia" w:eastAsia="宋体"/>
                <w:color w:val="000000" w:themeColor="text1"/>
                <w:sz w:val="18"/>
                <w:szCs w:val="18"/>
                <w:lang w:eastAsia="zh-CN"/>
                <w14:textFill>
                  <w14:solidFill>
                    <w14:schemeClr w14:val="tx1"/>
                  </w14:solidFill>
                </w14:textFill>
              </w:rPr>
            </w:pPr>
            <w:r>
              <w:rPr>
                <w:rFonts w:hint="eastAsia"/>
                <w:iCs/>
                <w:color w:val="000000" w:themeColor="text1"/>
                <w:sz w:val="18"/>
                <w:szCs w:val="18"/>
                <w14:textFill>
                  <w14:solidFill>
                    <w14:schemeClr w14:val="tx1"/>
                  </w14:solidFill>
                </w14:textFill>
              </w:rPr>
              <w:t>XS0708</w:t>
            </w:r>
            <w:r>
              <w:rPr>
                <w:rFonts w:hint="eastAsia"/>
                <w:iCs/>
                <w:color w:val="000000" w:themeColor="text1"/>
                <w:sz w:val="18"/>
                <w:szCs w:val="18"/>
                <w:lang w:val="en-US" w:eastAsia="zh-CN"/>
                <w14:textFill>
                  <w14:solidFill>
                    <w14:schemeClr w14:val="tx1"/>
                  </w14:solidFill>
                </w14:textFill>
              </w:rPr>
              <w:t>114</w:t>
            </w:r>
          </w:p>
        </w:tc>
        <w:tc>
          <w:tcPr>
            <w:tcW w:w="709" w:type="dxa"/>
            <w:vAlign w:val="center"/>
          </w:tcPr>
          <w:p w14:paraId="44A2E03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7644A922">
            <w:pPr>
              <w:jc w:val="center"/>
              <w:rPr>
                <w:rFonts w:hint="eastAsia" w:eastAsia="宋体"/>
                <w:iCs/>
                <w:color w:val="000000" w:themeColor="text1"/>
                <w:sz w:val="18"/>
                <w:szCs w:val="18"/>
                <w:lang w:eastAsia="zh-CN"/>
                <w14:textFill>
                  <w14:solidFill>
                    <w14:schemeClr w14:val="tx1"/>
                  </w14:solidFill>
                </w14:textFill>
              </w:rPr>
            </w:pPr>
            <w:r>
              <w:rPr>
                <w:rFonts w:hint="eastAsia"/>
                <w:iCs/>
                <w:color w:val="000000" w:themeColor="text1"/>
                <w:sz w:val="18"/>
                <w:szCs w:val="18"/>
                <w:lang w:val="en-US" w:eastAsia="zh-CN"/>
                <w14:textFill>
                  <w14:solidFill>
                    <w14:schemeClr w14:val="tx1"/>
                  </w14:solidFill>
                </w14:textFill>
              </w:rPr>
              <w:t>3</w:t>
            </w:r>
          </w:p>
        </w:tc>
        <w:tc>
          <w:tcPr>
            <w:tcW w:w="1045" w:type="dxa"/>
            <w:vMerge w:val="continue"/>
            <w:vAlign w:val="center"/>
          </w:tcPr>
          <w:p w14:paraId="39574C31">
            <w:pPr>
              <w:jc w:val="center"/>
              <w:rPr>
                <w:i/>
                <w:color w:val="FF0000"/>
                <w:sz w:val="15"/>
                <w:szCs w:val="15"/>
              </w:rPr>
            </w:pPr>
          </w:p>
        </w:tc>
      </w:tr>
      <w:tr w14:paraId="4071DA1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0711DCF">
            <w:pPr>
              <w:rPr>
                <w:b/>
                <w:color w:val="000000" w:themeColor="text1"/>
                <w:sz w:val="18"/>
                <w:szCs w:val="18"/>
                <w14:textFill>
                  <w14:solidFill>
                    <w14:schemeClr w14:val="tx1"/>
                  </w14:solidFill>
                </w14:textFill>
              </w:rPr>
            </w:pPr>
          </w:p>
        </w:tc>
        <w:tc>
          <w:tcPr>
            <w:tcW w:w="1504" w:type="dxa"/>
            <w:vMerge w:val="continue"/>
            <w:vAlign w:val="center"/>
          </w:tcPr>
          <w:p w14:paraId="5AC00AB1">
            <w:pPr>
              <w:jc w:val="center"/>
              <w:rPr>
                <w:b/>
                <w:color w:val="000000" w:themeColor="text1"/>
                <w:sz w:val="18"/>
                <w:szCs w:val="18"/>
                <w:highlight w:val="yellow"/>
                <w14:textFill>
                  <w14:solidFill>
                    <w14:schemeClr w14:val="tx1"/>
                  </w14:solidFill>
                </w14:textFill>
              </w:rPr>
            </w:pPr>
          </w:p>
        </w:tc>
        <w:tc>
          <w:tcPr>
            <w:tcW w:w="3238" w:type="dxa"/>
            <w:vAlign w:val="center"/>
          </w:tcPr>
          <w:p w14:paraId="047AE817">
            <w:pPr>
              <w:adjustRightInd w:val="0"/>
              <w:snapToGrid w:val="0"/>
              <w:jc w:val="left"/>
              <w:rPr>
                <w:b/>
                <w:sz w:val="18"/>
                <w:szCs w:val="18"/>
              </w:rPr>
            </w:pPr>
            <w:r>
              <w:rPr>
                <w:rFonts w:hint="eastAsia" w:ascii="宋体" w:hAnsi="宋体"/>
                <w:sz w:val="18"/>
                <w:szCs w:val="18"/>
              </w:rPr>
              <w:t>法哲学</w:t>
            </w:r>
          </w:p>
        </w:tc>
        <w:tc>
          <w:tcPr>
            <w:tcW w:w="1081" w:type="dxa"/>
            <w:shd w:val="clear" w:color="auto" w:fill="auto"/>
            <w:vAlign w:val="center"/>
          </w:tcPr>
          <w:p w14:paraId="654466AF">
            <w:pPr>
              <w:jc w:val="center"/>
              <w:rPr>
                <w:rFonts w:hint="eastAsia" w:eastAsia="宋体"/>
                <w:sz w:val="18"/>
                <w:szCs w:val="18"/>
                <w:lang w:eastAsia="zh-CN"/>
              </w:rPr>
            </w:pPr>
            <w:r>
              <w:rPr>
                <w:rFonts w:hint="eastAsia"/>
                <w:iCs/>
                <w:sz w:val="18"/>
                <w:szCs w:val="18"/>
              </w:rPr>
              <w:t>XS0708</w:t>
            </w:r>
            <w:r>
              <w:rPr>
                <w:rFonts w:hint="eastAsia"/>
                <w:iCs/>
                <w:sz w:val="18"/>
                <w:szCs w:val="18"/>
                <w:lang w:val="en-US" w:eastAsia="zh-CN"/>
              </w:rPr>
              <w:t>115</w:t>
            </w:r>
          </w:p>
        </w:tc>
        <w:tc>
          <w:tcPr>
            <w:tcW w:w="709" w:type="dxa"/>
            <w:vAlign w:val="center"/>
          </w:tcPr>
          <w:p w14:paraId="597BFC7D">
            <w:pPr>
              <w:jc w:val="center"/>
              <w:rPr>
                <w:iCs/>
                <w:sz w:val="18"/>
                <w:szCs w:val="18"/>
              </w:rPr>
            </w:pPr>
            <w:r>
              <w:rPr>
                <w:rFonts w:hint="eastAsia"/>
                <w:iCs/>
                <w:sz w:val="18"/>
                <w:szCs w:val="18"/>
              </w:rPr>
              <w:t>2</w:t>
            </w:r>
          </w:p>
        </w:tc>
        <w:tc>
          <w:tcPr>
            <w:tcW w:w="709" w:type="dxa"/>
            <w:vAlign w:val="center"/>
          </w:tcPr>
          <w:p w14:paraId="7A0F6787">
            <w:pPr>
              <w:jc w:val="center"/>
              <w:rPr>
                <w:rFonts w:hint="eastAsia" w:eastAsia="宋体"/>
                <w:iCs/>
                <w:sz w:val="18"/>
                <w:szCs w:val="18"/>
                <w:lang w:eastAsia="zh-CN"/>
              </w:rPr>
            </w:pPr>
            <w:r>
              <w:rPr>
                <w:rFonts w:hint="eastAsia"/>
                <w:iCs/>
                <w:sz w:val="18"/>
                <w:szCs w:val="18"/>
                <w:lang w:val="en-US" w:eastAsia="zh-CN"/>
              </w:rPr>
              <w:t>3</w:t>
            </w:r>
          </w:p>
        </w:tc>
        <w:tc>
          <w:tcPr>
            <w:tcW w:w="1045" w:type="dxa"/>
            <w:vMerge w:val="continue"/>
            <w:vAlign w:val="center"/>
          </w:tcPr>
          <w:p w14:paraId="65B4F951">
            <w:pPr>
              <w:jc w:val="center"/>
              <w:rPr>
                <w:i/>
                <w:sz w:val="15"/>
                <w:szCs w:val="15"/>
              </w:rPr>
            </w:pPr>
          </w:p>
        </w:tc>
      </w:tr>
      <w:tr w14:paraId="4BF8615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0E9F09E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w:t>
            </w:r>
          </w:p>
          <w:p w14:paraId="77C4C495">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修</w:t>
            </w:r>
          </w:p>
          <w:p w14:paraId="414466B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环</w:t>
            </w:r>
          </w:p>
          <w:p w14:paraId="2506943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节</w:t>
            </w:r>
          </w:p>
        </w:tc>
        <w:tc>
          <w:tcPr>
            <w:tcW w:w="1504" w:type="dxa"/>
            <w:vMerge w:val="restart"/>
            <w:vAlign w:val="center"/>
          </w:tcPr>
          <w:p w14:paraId="1780410B">
            <w:pPr>
              <w:jc w:val="center"/>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素质拓展</w:t>
            </w:r>
          </w:p>
        </w:tc>
        <w:tc>
          <w:tcPr>
            <w:tcW w:w="3238" w:type="dxa"/>
            <w:vAlign w:val="center"/>
          </w:tcPr>
          <w:p w14:paraId="3FF33937">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55D11EDF">
            <w:pPr>
              <w:jc w:val="center"/>
              <w:rPr>
                <w:color w:val="000000" w:themeColor="text1"/>
                <w:sz w:val="18"/>
                <w:szCs w:val="18"/>
                <w14:textFill>
                  <w14:solidFill>
                    <w14:schemeClr w14:val="tx1"/>
                  </w14:solidFill>
                </w14:textFill>
              </w:rPr>
            </w:pPr>
          </w:p>
        </w:tc>
        <w:tc>
          <w:tcPr>
            <w:tcW w:w="709" w:type="dxa"/>
            <w:vAlign w:val="center"/>
          </w:tcPr>
          <w:p w14:paraId="4B08D773">
            <w:pPr>
              <w:jc w:val="center"/>
              <w:rPr>
                <w:color w:val="000000" w:themeColor="text1"/>
                <w:sz w:val="18"/>
                <w:szCs w:val="18"/>
                <w14:textFill>
                  <w14:solidFill>
                    <w14:schemeClr w14:val="tx1"/>
                  </w14:solidFill>
                </w14:textFill>
              </w:rPr>
            </w:pPr>
          </w:p>
        </w:tc>
        <w:tc>
          <w:tcPr>
            <w:tcW w:w="709" w:type="dxa"/>
            <w:vAlign w:val="center"/>
          </w:tcPr>
          <w:p w14:paraId="3AC4162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16F769EB">
            <w:pPr>
              <w:adjustRightInd w:val="0"/>
              <w:snapToGrid w:val="0"/>
              <w:jc w:val="center"/>
              <w:rPr>
                <w:i/>
                <w:color w:val="FF0000"/>
                <w:sz w:val="18"/>
                <w:szCs w:val="18"/>
              </w:rPr>
            </w:pPr>
          </w:p>
        </w:tc>
      </w:tr>
      <w:tr w14:paraId="3C6305B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5DE61F1">
            <w:pPr>
              <w:jc w:val="center"/>
              <w:rPr>
                <w:b/>
                <w:color w:val="000000" w:themeColor="text1"/>
                <w:sz w:val="18"/>
                <w:szCs w:val="18"/>
                <w14:textFill>
                  <w14:solidFill>
                    <w14:schemeClr w14:val="tx1"/>
                  </w14:solidFill>
                </w14:textFill>
              </w:rPr>
            </w:pPr>
          </w:p>
        </w:tc>
        <w:tc>
          <w:tcPr>
            <w:tcW w:w="1504" w:type="dxa"/>
            <w:vMerge w:val="continue"/>
            <w:vAlign w:val="center"/>
          </w:tcPr>
          <w:p w14:paraId="7A4F79B4">
            <w:pPr>
              <w:jc w:val="center"/>
              <w:rPr>
                <w:b/>
                <w:color w:val="000000" w:themeColor="text1"/>
                <w:sz w:val="18"/>
                <w:szCs w:val="18"/>
                <w14:textFill>
                  <w14:solidFill>
                    <w14:schemeClr w14:val="tx1"/>
                  </w14:solidFill>
                </w14:textFill>
              </w:rPr>
            </w:pPr>
          </w:p>
        </w:tc>
        <w:tc>
          <w:tcPr>
            <w:tcW w:w="3238" w:type="dxa"/>
            <w:shd w:val="clear" w:color="auto" w:fill="auto"/>
            <w:vAlign w:val="center"/>
          </w:tcPr>
          <w:p w14:paraId="2F333357">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shd w:val="clear" w:color="auto" w:fill="auto"/>
            <w:vAlign w:val="center"/>
          </w:tcPr>
          <w:p w14:paraId="3A4EE8D1">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22B6F951">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1</w:t>
            </w:r>
          </w:p>
        </w:tc>
        <w:tc>
          <w:tcPr>
            <w:tcW w:w="709" w:type="dxa"/>
            <w:shd w:val="clear" w:color="auto" w:fill="auto"/>
            <w:vAlign w:val="center"/>
          </w:tcPr>
          <w:p w14:paraId="66406213">
            <w:pPr>
              <w:jc w:val="center"/>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5</w:t>
            </w:r>
          </w:p>
        </w:tc>
        <w:tc>
          <w:tcPr>
            <w:tcW w:w="1045" w:type="dxa"/>
            <w:vMerge w:val="continue"/>
            <w:vAlign w:val="center"/>
          </w:tcPr>
          <w:p w14:paraId="68426D3E">
            <w:pPr>
              <w:jc w:val="center"/>
              <w:rPr>
                <w:color w:val="000000" w:themeColor="text1"/>
                <w:sz w:val="18"/>
                <w:szCs w:val="18"/>
                <w14:textFill>
                  <w14:solidFill>
                    <w14:schemeClr w14:val="tx1"/>
                  </w14:solidFill>
                </w14:textFill>
              </w:rPr>
            </w:pPr>
          </w:p>
        </w:tc>
      </w:tr>
      <w:tr w14:paraId="44C0BB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C76F76C">
            <w:pPr>
              <w:rPr>
                <w:b/>
                <w:color w:val="000000" w:themeColor="text1"/>
                <w:sz w:val="18"/>
                <w:szCs w:val="18"/>
                <w14:textFill>
                  <w14:solidFill>
                    <w14:schemeClr w14:val="tx1"/>
                  </w14:solidFill>
                </w14:textFill>
              </w:rPr>
            </w:pPr>
          </w:p>
        </w:tc>
        <w:tc>
          <w:tcPr>
            <w:tcW w:w="1504" w:type="dxa"/>
            <w:vMerge w:val="restart"/>
            <w:vAlign w:val="center"/>
          </w:tcPr>
          <w:p w14:paraId="026FC8CE">
            <w:pPr>
              <w:jc w:val="center"/>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学术训练</w:t>
            </w:r>
          </w:p>
        </w:tc>
        <w:tc>
          <w:tcPr>
            <w:tcW w:w="3238" w:type="dxa"/>
            <w:shd w:val="clear" w:color="auto" w:fill="auto"/>
            <w:vAlign w:val="center"/>
          </w:tcPr>
          <w:p w14:paraId="791244C1">
            <w:pP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shd w:val="clear" w:color="auto" w:fill="auto"/>
            <w:vAlign w:val="center"/>
          </w:tcPr>
          <w:p w14:paraId="0D4DFA69">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7691D0C8">
            <w:pPr>
              <w:jc w:val="center"/>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2ED3C2FD">
            <w:pPr>
              <w:jc w:val="center"/>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FF0000"/>
                <w:kern w:val="2"/>
                <w:sz w:val="18"/>
                <w:szCs w:val="18"/>
                <w:lang w:val="en-US" w:eastAsia="zh-CN" w:bidi="ar-SA"/>
              </w:rPr>
              <w:t>4</w:t>
            </w:r>
          </w:p>
        </w:tc>
        <w:tc>
          <w:tcPr>
            <w:tcW w:w="1045" w:type="dxa"/>
            <w:vMerge w:val="restart"/>
            <w:vAlign w:val="center"/>
          </w:tcPr>
          <w:p w14:paraId="284A446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AD662B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7FD6AA0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3BB2936">
            <w:pPr>
              <w:rPr>
                <w:b/>
                <w:color w:val="000000" w:themeColor="text1"/>
                <w:sz w:val="18"/>
                <w:szCs w:val="18"/>
                <w14:textFill>
                  <w14:solidFill>
                    <w14:schemeClr w14:val="tx1"/>
                  </w14:solidFill>
                </w14:textFill>
              </w:rPr>
            </w:pPr>
          </w:p>
        </w:tc>
        <w:tc>
          <w:tcPr>
            <w:tcW w:w="1504" w:type="dxa"/>
            <w:vMerge w:val="continue"/>
            <w:vAlign w:val="center"/>
          </w:tcPr>
          <w:p w14:paraId="65AE7FE4">
            <w:pPr>
              <w:jc w:val="center"/>
              <w:rPr>
                <w:rFonts w:hint="eastAsia" w:eastAsia="宋体"/>
                <w:b/>
                <w:color w:val="000000" w:themeColor="text1"/>
                <w:sz w:val="18"/>
                <w:szCs w:val="18"/>
                <w:lang w:eastAsia="zh-CN"/>
                <w14:textFill>
                  <w14:solidFill>
                    <w14:schemeClr w14:val="tx1"/>
                  </w14:solidFill>
                </w14:textFill>
              </w:rPr>
            </w:pPr>
          </w:p>
        </w:tc>
        <w:tc>
          <w:tcPr>
            <w:tcW w:w="3238" w:type="dxa"/>
            <w:vAlign w:val="center"/>
          </w:tcPr>
          <w:p w14:paraId="131C718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26D99FCC">
            <w:pPr>
              <w:jc w:val="center"/>
              <w:rPr>
                <w:color w:val="000000" w:themeColor="text1"/>
                <w:sz w:val="18"/>
                <w:szCs w:val="18"/>
                <w14:textFill>
                  <w14:solidFill>
                    <w14:schemeClr w14:val="tx1"/>
                  </w14:solidFill>
                </w14:textFill>
              </w:rPr>
            </w:pPr>
          </w:p>
        </w:tc>
        <w:tc>
          <w:tcPr>
            <w:tcW w:w="709" w:type="dxa"/>
            <w:vAlign w:val="center"/>
          </w:tcPr>
          <w:p w14:paraId="0A47703C">
            <w:pPr>
              <w:jc w:val="center"/>
              <w:rPr>
                <w:color w:val="000000" w:themeColor="text1"/>
                <w:sz w:val="18"/>
                <w:szCs w:val="18"/>
                <w14:textFill>
                  <w14:solidFill>
                    <w14:schemeClr w14:val="tx1"/>
                  </w14:solidFill>
                </w14:textFill>
              </w:rPr>
            </w:pPr>
          </w:p>
        </w:tc>
        <w:tc>
          <w:tcPr>
            <w:tcW w:w="709" w:type="dxa"/>
            <w:vAlign w:val="center"/>
          </w:tcPr>
          <w:p w14:paraId="40493B8A">
            <w:pPr>
              <w:jc w:val="cente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vAlign w:val="center"/>
          </w:tcPr>
          <w:p w14:paraId="2D60207D">
            <w:pPr>
              <w:jc w:val="center"/>
              <w:rPr>
                <w:color w:val="000000" w:themeColor="text1"/>
                <w:sz w:val="18"/>
                <w:szCs w:val="18"/>
                <w14:textFill>
                  <w14:solidFill>
                    <w14:schemeClr w14:val="tx1"/>
                  </w14:solidFill>
                </w14:textFill>
              </w:rPr>
            </w:pPr>
          </w:p>
        </w:tc>
      </w:tr>
      <w:tr w14:paraId="6CC93A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76FAC6F5">
            <w:pPr>
              <w:rPr>
                <w:b/>
                <w:color w:val="000000" w:themeColor="text1"/>
                <w:sz w:val="18"/>
                <w:szCs w:val="18"/>
                <w14:textFill>
                  <w14:solidFill>
                    <w14:schemeClr w14:val="tx1"/>
                  </w14:solidFill>
                </w14:textFill>
              </w:rPr>
            </w:pPr>
          </w:p>
        </w:tc>
        <w:tc>
          <w:tcPr>
            <w:tcW w:w="1504" w:type="dxa"/>
            <w:vMerge w:val="continue"/>
            <w:vAlign w:val="center"/>
          </w:tcPr>
          <w:p w14:paraId="333E2679">
            <w:pPr>
              <w:jc w:val="center"/>
              <w:rPr>
                <w:rFonts w:hint="eastAsia" w:eastAsia="宋体"/>
                <w:b/>
                <w:color w:val="000000" w:themeColor="text1"/>
                <w:sz w:val="18"/>
                <w:szCs w:val="18"/>
                <w:lang w:eastAsia="zh-CN"/>
                <w14:textFill>
                  <w14:solidFill>
                    <w14:schemeClr w14:val="tx1"/>
                  </w14:solidFill>
                </w14:textFill>
              </w:rPr>
            </w:pPr>
          </w:p>
        </w:tc>
        <w:tc>
          <w:tcPr>
            <w:tcW w:w="3238" w:type="dxa"/>
            <w:vAlign w:val="center"/>
          </w:tcPr>
          <w:p w14:paraId="719E39BB">
            <w:pPr>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论文中期进展报告</w:t>
            </w:r>
          </w:p>
        </w:tc>
        <w:tc>
          <w:tcPr>
            <w:tcW w:w="1081" w:type="dxa"/>
            <w:vAlign w:val="center"/>
          </w:tcPr>
          <w:p w14:paraId="427D78F7">
            <w:pPr>
              <w:jc w:val="center"/>
              <w:rPr>
                <w:color w:val="000000" w:themeColor="text1"/>
                <w:sz w:val="18"/>
                <w:szCs w:val="18"/>
                <w14:textFill>
                  <w14:solidFill>
                    <w14:schemeClr w14:val="tx1"/>
                  </w14:solidFill>
                </w14:textFill>
              </w:rPr>
            </w:pPr>
          </w:p>
        </w:tc>
        <w:tc>
          <w:tcPr>
            <w:tcW w:w="709" w:type="dxa"/>
            <w:vAlign w:val="center"/>
          </w:tcPr>
          <w:p w14:paraId="7DA50495">
            <w:pPr>
              <w:jc w:val="center"/>
              <w:rPr>
                <w:color w:val="000000" w:themeColor="text1"/>
                <w:sz w:val="18"/>
                <w:szCs w:val="18"/>
                <w14:textFill>
                  <w14:solidFill>
                    <w14:schemeClr w14:val="tx1"/>
                  </w14:solidFill>
                </w14:textFill>
              </w:rPr>
            </w:pPr>
          </w:p>
        </w:tc>
        <w:tc>
          <w:tcPr>
            <w:tcW w:w="709" w:type="dxa"/>
            <w:vAlign w:val="center"/>
          </w:tcPr>
          <w:p w14:paraId="0B7B8CE1">
            <w:pPr>
              <w:jc w:val="center"/>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vAlign w:val="center"/>
          </w:tcPr>
          <w:p w14:paraId="1923990B">
            <w:pPr>
              <w:jc w:val="center"/>
              <w:rPr>
                <w:color w:val="000000" w:themeColor="text1"/>
                <w:sz w:val="18"/>
                <w:szCs w:val="18"/>
                <w14:textFill>
                  <w14:solidFill>
                    <w14:schemeClr w14:val="tx1"/>
                  </w14:solidFill>
                </w14:textFill>
              </w:rPr>
            </w:pPr>
          </w:p>
        </w:tc>
      </w:tr>
      <w:tr w14:paraId="6332C2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52B38B2">
            <w:pPr>
              <w:rPr>
                <w:b/>
                <w:color w:val="000000" w:themeColor="text1"/>
                <w:sz w:val="18"/>
                <w:szCs w:val="18"/>
                <w14:textFill>
                  <w14:solidFill>
                    <w14:schemeClr w14:val="tx1"/>
                  </w14:solidFill>
                </w14:textFill>
              </w:rPr>
            </w:pPr>
          </w:p>
        </w:tc>
        <w:tc>
          <w:tcPr>
            <w:tcW w:w="1504" w:type="dxa"/>
            <w:vMerge w:val="continue"/>
            <w:vAlign w:val="center"/>
          </w:tcPr>
          <w:p w14:paraId="18D83316">
            <w:pPr>
              <w:jc w:val="center"/>
              <w:rPr>
                <w:b/>
                <w:color w:val="000000" w:themeColor="text1"/>
                <w:sz w:val="18"/>
                <w:szCs w:val="18"/>
                <w14:textFill>
                  <w14:solidFill>
                    <w14:schemeClr w14:val="tx1"/>
                  </w14:solidFill>
                </w14:textFill>
              </w:rPr>
            </w:pPr>
          </w:p>
        </w:tc>
        <w:tc>
          <w:tcPr>
            <w:tcW w:w="3238" w:type="dxa"/>
            <w:vAlign w:val="center"/>
          </w:tcPr>
          <w:p w14:paraId="4482C4FE">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预答辩</w:t>
            </w:r>
          </w:p>
        </w:tc>
        <w:tc>
          <w:tcPr>
            <w:tcW w:w="1081" w:type="dxa"/>
            <w:vAlign w:val="center"/>
          </w:tcPr>
          <w:p w14:paraId="4F69B7DE">
            <w:pPr>
              <w:jc w:val="center"/>
              <w:rPr>
                <w:color w:val="000000" w:themeColor="text1"/>
                <w:sz w:val="18"/>
                <w:szCs w:val="18"/>
                <w14:textFill>
                  <w14:solidFill>
                    <w14:schemeClr w14:val="tx1"/>
                  </w14:solidFill>
                </w14:textFill>
              </w:rPr>
            </w:pPr>
          </w:p>
        </w:tc>
        <w:tc>
          <w:tcPr>
            <w:tcW w:w="709" w:type="dxa"/>
            <w:vAlign w:val="center"/>
          </w:tcPr>
          <w:p w14:paraId="6090F7B9">
            <w:pPr>
              <w:jc w:val="center"/>
              <w:rPr>
                <w:color w:val="000000" w:themeColor="text1"/>
                <w:sz w:val="18"/>
                <w:szCs w:val="18"/>
                <w14:textFill>
                  <w14:solidFill>
                    <w14:schemeClr w14:val="tx1"/>
                  </w14:solidFill>
                </w14:textFill>
              </w:rPr>
            </w:pPr>
          </w:p>
        </w:tc>
        <w:tc>
          <w:tcPr>
            <w:tcW w:w="709" w:type="dxa"/>
            <w:vAlign w:val="center"/>
          </w:tcPr>
          <w:p w14:paraId="5ABA21C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738511D9">
            <w:pPr>
              <w:jc w:val="center"/>
              <w:rPr>
                <w:color w:val="000000" w:themeColor="text1"/>
                <w:sz w:val="18"/>
                <w:szCs w:val="18"/>
                <w14:textFill>
                  <w14:solidFill>
                    <w14:schemeClr w14:val="tx1"/>
                  </w14:solidFill>
                </w14:textFill>
              </w:rPr>
            </w:pPr>
          </w:p>
        </w:tc>
      </w:tr>
      <w:tr w14:paraId="16D212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E8777B1">
            <w:pPr>
              <w:rPr>
                <w:color w:val="000000" w:themeColor="text1"/>
                <w:sz w:val="18"/>
                <w:szCs w:val="18"/>
                <w14:textFill>
                  <w14:solidFill>
                    <w14:schemeClr w14:val="tx1"/>
                  </w14:solidFill>
                </w14:textFill>
              </w:rPr>
            </w:pPr>
          </w:p>
        </w:tc>
        <w:tc>
          <w:tcPr>
            <w:tcW w:w="1504" w:type="dxa"/>
            <w:vMerge w:val="continue"/>
          </w:tcPr>
          <w:p w14:paraId="4E034437">
            <w:pPr>
              <w:jc w:val="center"/>
              <w:rPr>
                <w:color w:val="000000" w:themeColor="text1"/>
                <w:sz w:val="18"/>
                <w:szCs w:val="18"/>
                <w14:textFill>
                  <w14:solidFill>
                    <w14:schemeClr w14:val="tx1"/>
                  </w14:solidFill>
                </w14:textFill>
              </w:rPr>
            </w:pPr>
          </w:p>
        </w:tc>
        <w:tc>
          <w:tcPr>
            <w:tcW w:w="3238" w:type="dxa"/>
            <w:vAlign w:val="center"/>
          </w:tcPr>
          <w:p w14:paraId="359219D7">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评审</w:t>
            </w:r>
          </w:p>
        </w:tc>
        <w:tc>
          <w:tcPr>
            <w:tcW w:w="1081" w:type="dxa"/>
            <w:vAlign w:val="center"/>
          </w:tcPr>
          <w:p w14:paraId="5906F923">
            <w:pPr>
              <w:jc w:val="center"/>
              <w:rPr>
                <w:color w:val="000000" w:themeColor="text1"/>
                <w:sz w:val="18"/>
                <w:szCs w:val="18"/>
                <w14:textFill>
                  <w14:solidFill>
                    <w14:schemeClr w14:val="tx1"/>
                  </w14:solidFill>
                </w14:textFill>
              </w:rPr>
            </w:pPr>
          </w:p>
        </w:tc>
        <w:tc>
          <w:tcPr>
            <w:tcW w:w="709" w:type="dxa"/>
            <w:vAlign w:val="center"/>
          </w:tcPr>
          <w:p w14:paraId="5A8D238F">
            <w:pPr>
              <w:jc w:val="center"/>
              <w:rPr>
                <w:color w:val="000000" w:themeColor="text1"/>
                <w:sz w:val="18"/>
                <w:szCs w:val="18"/>
                <w14:textFill>
                  <w14:solidFill>
                    <w14:schemeClr w14:val="tx1"/>
                  </w14:solidFill>
                </w14:textFill>
              </w:rPr>
            </w:pPr>
          </w:p>
        </w:tc>
        <w:tc>
          <w:tcPr>
            <w:tcW w:w="709" w:type="dxa"/>
            <w:vAlign w:val="center"/>
          </w:tcPr>
          <w:p w14:paraId="7D041DA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7A55CB78">
            <w:pPr>
              <w:jc w:val="center"/>
              <w:rPr>
                <w:color w:val="000000" w:themeColor="text1"/>
                <w:sz w:val="18"/>
                <w:szCs w:val="18"/>
                <w14:textFill>
                  <w14:solidFill>
                    <w14:schemeClr w14:val="tx1"/>
                  </w14:solidFill>
                </w14:textFill>
              </w:rPr>
            </w:pPr>
          </w:p>
        </w:tc>
      </w:tr>
      <w:tr w14:paraId="28083A5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DAFFB8A">
            <w:pPr>
              <w:rPr>
                <w:color w:val="000000" w:themeColor="text1"/>
                <w:sz w:val="18"/>
                <w:szCs w:val="18"/>
                <w14:textFill>
                  <w14:solidFill>
                    <w14:schemeClr w14:val="tx1"/>
                  </w14:solidFill>
                </w14:textFill>
              </w:rPr>
            </w:pPr>
          </w:p>
        </w:tc>
        <w:tc>
          <w:tcPr>
            <w:tcW w:w="1504" w:type="dxa"/>
            <w:vMerge w:val="continue"/>
          </w:tcPr>
          <w:p w14:paraId="464BBF2E">
            <w:pPr>
              <w:jc w:val="center"/>
              <w:rPr>
                <w:color w:val="000000" w:themeColor="text1"/>
                <w:sz w:val="18"/>
                <w:szCs w:val="18"/>
                <w14:textFill>
                  <w14:solidFill>
                    <w14:schemeClr w14:val="tx1"/>
                  </w14:solidFill>
                </w14:textFill>
              </w:rPr>
            </w:pPr>
          </w:p>
        </w:tc>
        <w:tc>
          <w:tcPr>
            <w:tcW w:w="3238" w:type="dxa"/>
            <w:vAlign w:val="center"/>
          </w:tcPr>
          <w:p w14:paraId="70253E66">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答辩</w:t>
            </w:r>
          </w:p>
        </w:tc>
        <w:tc>
          <w:tcPr>
            <w:tcW w:w="1081" w:type="dxa"/>
            <w:vAlign w:val="center"/>
          </w:tcPr>
          <w:p w14:paraId="113B53CF">
            <w:pPr>
              <w:jc w:val="center"/>
              <w:rPr>
                <w:color w:val="000000" w:themeColor="text1"/>
                <w:sz w:val="18"/>
                <w:szCs w:val="18"/>
                <w14:textFill>
                  <w14:solidFill>
                    <w14:schemeClr w14:val="tx1"/>
                  </w14:solidFill>
                </w14:textFill>
              </w:rPr>
            </w:pPr>
          </w:p>
        </w:tc>
        <w:tc>
          <w:tcPr>
            <w:tcW w:w="709" w:type="dxa"/>
            <w:vAlign w:val="center"/>
          </w:tcPr>
          <w:p w14:paraId="4EB72A2A">
            <w:pPr>
              <w:jc w:val="center"/>
              <w:rPr>
                <w:color w:val="000000" w:themeColor="text1"/>
                <w:sz w:val="18"/>
                <w:szCs w:val="18"/>
                <w14:textFill>
                  <w14:solidFill>
                    <w14:schemeClr w14:val="tx1"/>
                  </w14:solidFill>
                </w14:textFill>
              </w:rPr>
            </w:pPr>
          </w:p>
        </w:tc>
        <w:tc>
          <w:tcPr>
            <w:tcW w:w="709" w:type="dxa"/>
            <w:vAlign w:val="center"/>
          </w:tcPr>
          <w:p w14:paraId="65FD445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23867CAF">
            <w:pPr>
              <w:jc w:val="center"/>
              <w:rPr>
                <w:color w:val="000000" w:themeColor="text1"/>
                <w:sz w:val="18"/>
                <w:szCs w:val="18"/>
                <w14:textFill>
                  <w14:solidFill>
                    <w14:schemeClr w14:val="tx1"/>
                  </w14:solidFill>
                </w14:textFill>
              </w:rPr>
            </w:pPr>
          </w:p>
        </w:tc>
      </w:tr>
    </w:tbl>
    <w:p w14:paraId="354BA74B">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2391D93F">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1、学位课为一级学科下所有专业方向的必修课程。必修环节为研究生培养过程中必须完成的培养活动。</w:t>
      </w:r>
    </w:p>
    <w:p w14:paraId="02562C16">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2、公共必修课中的外语课程按入学时的外国语考试科目修读相关语种。</w:t>
      </w:r>
    </w:p>
    <w:p w14:paraId="75DFD8D7">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3、公共通识课程中的通修为必选课程。</w:t>
      </w:r>
    </w:p>
    <w:p w14:paraId="16A449C9">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4、按专业方向设置的非学位课方向课应至少按录取专业所对应的方向完成其中一个方向的修读要求。</w:t>
      </w:r>
    </w:p>
    <w:p w14:paraId="51CF7476">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bCs/>
          <w:sz w:val="24"/>
        </w:rPr>
      </w:pPr>
      <w:r>
        <w:rPr>
          <w:rFonts w:hint="eastAsia" w:eastAsiaTheme="minorEastAsia"/>
          <w:bCs/>
          <w:sz w:val="24"/>
          <w:lang w:val="en-US" w:eastAsia="zh-CN"/>
        </w:rPr>
        <w:t>5、</w:t>
      </w: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320453D7">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AAA20"/>
    <w:multiLevelType w:val="singleLevel"/>
    <w:tmpl w:val="C83AAA2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0000C7"/>
    <w:rsid w:val="04090800"/>
    <w:rsid w:val="04310280"/>
    <w:rsid w:val="05545FD4"/>
    <w:rsid w:val="098053EB"/>
    <w:rsid w:val="09B36B5F"/>
    <w:rsid w:val="09C27ACD"/>
    <w:rsid w:val="0C1D0EEF"/>
    <w:rsid w:val="0C611ACF"/>
    <w:rsid w:val="0F5F0397"/>
    <w:rsid w:val="10DD7405"/>
    <w:rsid w:val="11082369"/>
    <w:rsid w:val="11A622AD"/>
    <w:rsid w:val="12687563"/>
    <w:rsid w:val="13441D7E"/>
    <w:rsid w:val="15374954"/>
    <w:rsid w:val="16541E62"/>
    <w:rsid w:val="182D7794"/>
    <w:rsid w:val="18DB5C7B"/>
    <w:rsid w:val="1BB70BD2"/>
    <w:rsid w:val="1CEA4336"/>
    <w:rsid w:val="1E515134"/>
    <w:rsid w:val="1EF7468E"/>
    <w:rsid w:val="1F4E0726"/>
    <w:rsid w:val="1FE96C05"/>
    <w:rsid w:val="20465A9C"/>
    <w:rsid w:val="250E2F02"/>
    <w:rsid w:val="25CC175F"/>
    <w:rsid w:val="268169ED"/>
    <w:rsid w:val="282C4737"/>
    <w:rsid w:val="29995DFC"/>
    <w:rsid w:val="29B570DA"/>
    <w:rsid w:val="2B993850"/>
    <w:rsid w:val="2BD14ACA"/>
    <w:rsid w:val="2CDF621C"/>
    <w:rsid w:val="2D1B36F8"/>
    <w:rsid w:val="2E0028ED"/>
    <w:rsid w:val="31530905"/>
    <w:rsid w:val="31A9402D"/>
    <w:rsid w:val="3316226B"/>
    <w:rsid w:val="331C24AB"/>
    <w:rsid w:val="35066A3B"/>
    <w:rsid w:val="368C56C3"/>
    <w:rsid w:val="36E25286"/>
    <w:rsid w:val="374603E0"/>
    <w:rsid w:val="39AB5E03"/>
    <w:rsid w:val="3A1E6533"/>
    <w:rsid w:val="3BC02F15"/>
    <w:rsid w:val="3E437C8C"/>
    <w:rsid w:val="3F9A7349"/>
    <w:rsid w:val="402F14D9"/>
    <w:rsid w:val="4070701F"/>
    <w:rsid w:val="426A58E7"/>
    <w:rsid w:val="42B073CA"/>
    <w:rsid w:val="437C30E9"/>
    <w:rsid w:val="43A63197"/>
    <w:rsid w:val="45E10996"/>
    <w:rsid w:val="46196434"/>
    <w:rsid w:val="472E0622"/>
    <w:rsid w:val="49935F6C"/>
    <w:rsid w:val="4AEC7759"/>
    <w:rsid w:val="4AFF2FB8"/>
    <w:rsid w:val="4B2772B4"/>
    <w:rsid w:val="4C997D3D"/>
    <w:rsid w:val="4E1458CD"/>
    <w:rsid w:val="510936E3"/>
    <w:rsid w:val="5385202A"/>
    <w:rsid w:val="54CF02BE"/>
    <w:rsid w:val="55321E7A"/>
    <w:rsid w:val="592B7F6F"/>
    <w:rsid w:val="59491B88"/>
    <w:rsid w:val="599A10F5"/>
    <w:rsid w:val="5A924D04"/>
    <w:rsid w:val="5CAD331E"/>
    <w:rsid w:val="5CBF10FA"/>
    <w:rsid w:val="5E111EA6"/>
    <w:rsid w:val="5E343D6A"/>
    <w:rsid w:val="5F0C6361"/>
    <w:rsid w:val="606357F4"/>
    <w:rsid w:val="60B44CEE"/>
    <w:rsid w:val="6140060E"/>
    <w:rsid w:val="61730705"/>
    <w:rsid w:val="61891CD7"/>
    <w:rsid w:val="62AF7E63"/>
    <w:rsid w:val="63093D0A"/>
    <w:rsid w:val="64F733FB"/>
    <w:rsid w:val="65607B50"/>
    <w:rsid w:val="66A053F6"/>
    <w:rsid w:val="66C7267B"/>
    <w:rsid w:val="678F5E93"/>
    <w:rsid w:val="67DF6AF4"/>
    <w:rsid w:val="68233823"/>
    <w:rsid w:val="6850354E"/>
    <w:rsid w:val="69166546"/>
    <w:rsid w:val="6D0B038C"/>
    <w:rsid w:val="6E280AB8"/>
    <w:rsid w:val="6E69536A"/>
    <w:rsid w:val="709A3F00"/>
    <w:rsid w:val="72AC1CC9"/>
    <w:rsid w:val="73FC5A68"/>
    <w:rsid w:val="75091655"/>
    <w:rsid w:val="75B94E29"/>
    <w:rsid w:val="766A7ED1"/>
    <w:rsid w:val="76E41A31"/>
    <w:rsid w:val="77FC724F"/>
    <w:rsid w:val="78515A11"/>
    <w:rsid w:val="78656BA2"/>
    <w:rsid w:val="788A03B6"/>
    <w:rsid w:val="7A9674E6"/>
    <w:rsid w:val="7B9003DA"/>
    <w:rsid w:val="7C372603"/>
    <w:rsid w:val="7C8B294F"/>
    <w:rsid w:val="7FC70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2"/>
    <w:qFormat/>
    <w:uiPriority w:val="0"/>
    <w:rPr>
      <w:rFonts w:ascii="Times New Roman" w:hAnsi="Times New Roman" w:eastAsia="华文行楷" w:cs="Times New Roman"/>
      <w:kern w:val="44"/>
      <w:sz w:val="44"/>
      <w:szCs w:val="20"/>
    </w:rPr>
  </w:style>
  <w:style w:type="character" w:customStyle="1" w:styleId="18">
    <w:name w:val="标题 2 Char"/>
    <w:basedOn w:val="14"/>
    <w:link w:val="3"/>
    <w:qFormat/>
    <w:uiPriority w:val="99"/>
    <w:rPr>
      <w:rFonts w:ascii="Cambria" w:hAnsi="Cambria" w:eastAsia="宋体" w:cs="Times New Roman"/>
      <w:b/>
      <w:bCs/>
      <w:sz w:val="32"/>
      <w:szCs w:val="32"/>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Char"/>
    <w:basedOn w:val="14"/>
    <w:link w:val="5"/>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页眉 Char"/>
    <w:basedOn w:val="14"/>
    <w:link w:val="9"/>
    <w:qFormat/>
    <w:uiPriority w:val="99"/>
    <w:rPr>
      <w:rFonts w:ascii="Times New Roman" w:hAnsi="Times New Roman" w:eastAsia="宋体" w:cs="Times New Roman"/>
      <w:sz w:val="18"/>
      <w:szCs w:val="18"/>
    </w:rPr>
  </w:style>
  <w:style w:type="character" w:customStyle="1" w:styleId="24">
    <w:name w:val="页脚 Char"/>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Char"/>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4117</Words>
  <Characters>4337</Characters>
  <Lines>137</Lines>
  <Paragraphs>38</Paragraphs>
  <TotalTime>6</TotalTime>
  <ScaleCrop>false</ScaleCrop>
  <LinksUpToDate>false</LinksUpToDate>
  <CharactersWithSpaces>4349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2025-07-09T08:52:55Z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9BBEBE536C07410F9858389B863993C6_12</vt:lpwstr>
  </property>
</Properties>
</file>