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A0A51A">
      <w:pPr>
        <w:keepNext w:val="0"/>
        <w:keepLines w:val="0"/>
        <w:pageBreakBefore w:val="0"/>
        <w:kinsoku/>
        <w:wordWrap/>
        <w:overflowPunct/>
        <w:topLinePunct w:val="0"/>
        <w:autoSpaceDE/>
        <w:autoSpaceDN/>
        <w:bidi w:val="0"/>
        <w:spacing w:beforeAutospacing="0" w:afterAutospacing="0" w:line="360" w:lineRule="auto"/>
        <w:ind w:left="0" w:leftChars="0" w:right="0"/>
        <w:jc w:val="center"/>
        <w:textAlignment w:val="auto"/>
        <w:rPr>
          <w:rFonts w:eastAsia="黑体"/>
          <w:b w:val="0"/>
          <w:bCs/>
          <w:sz w:val="36"/>
          <w:szCs w:val="36"/>
        </w:rPr>
      </w:pPr>
      <w:r>
        <w:rPr>
          <w:rFonts w:hint="eastAsia" w:eastAsia="黑体"/>
          <w:b w:val="0"/>
          <w:bCs/>
          <w:sz w:val="36"/>
          <w:szCs w:val="36"/>
          <w:u w:val="single"/>
          <w:lang w:eastAsia="zh-CN"/>
        </w:rPr>
        <w:t>宪法学与行政法学</w:t>
      </w:r>
      <w:r>
        <w:rPr>
          <w:rFonts w:eastAsia="黑体"/>
          <w:b w:val="0"/>
          <w:bCs/>
          <w:sz w:val="36"/>
          <w:szCs w:val="36"/>
        </w:rPr>
        <w:t>专业学术学位硕士研究生培养方案</w:t>
      </w:r>
    </w:p>
    <w:p w14:paraId="697AB1D9">
      <w:pPr>
        <w:keepNext w:val="0"/>
        <w:keepLines w:val="0"/>
        <w:pageBreakBefore w:val="0"/>
        <w:kinsoku/>
        <w:wordWrap/>
        <w:overflowPunct/>
        <w:topLinePunct w:val="0"/>
        <w:autoSpaceDE/>
        <w:autoSpaceDN/>
        <w:bidi w:val="0"/>
        <w:spacing w:beforeAutospacing="0" w:afterAutospacing="0" w:line="360" w:lineRule="auto"/>
        <w:ind w:left="0" w:leftChars="0" w:right="0"/>
        <w:jc w:val="center"/>
        <w:textAlignment w:val="auto"/>
        <w:rPr>
          <w:rFonts w:eastAsia="黑体"/>
          <w:b w:val="0"/>
          <w:bCs/>
          <w:sz w:val="28"/>
          <w:szCs w:val="28"/>
        </w:rPr>
      </w:pPr>
      <w:r>
        <w:rPr>
          <w:rFonts w:eastAsia="黑体"/>
          <w:b w:val="0"/>
          <w:bCs/>
          <w:sz w:val="28"/>
          <w:szCs w:val="28"/>
        </w:rPr>
        <w:t>（</w:t>
      </w:r>
      <w:r>
        <w:rPr>
          <w:rFonts w:hint="eastAsia" w:eastAsia="黑体"/>
          <w:b w:val="0"/>
          <w:bCs/>
          <w:sz w:val="28"/>
          <w:szCs w:val="28"/>
          <w:lang w:eastAsia="zh-CN"/>
        </w:rPr>
        <w:t>法</w:t>
      </w:r>
      <w:r>
        <w:rPr>
          <w:rFonts w:eastAsia="黑体"/>
          <w:b w:val="0"/>
          <w:bCs/>
          <w:sz w:val="28"/>
          <w:szCs w:val="28"/>
        </w:rPr>
        <w:t>学院)</w:t>
      </w:r>
    </w:p>
    <w:p w14:paraId="203FD8B2">
      <w:pPr>
        <w:keepNext w:val="0"/>
        <w:keepLines w:val="0"/>
        <w:pageBreakBefore w:val="0"/>
        <w:kinsoku/>
        <w:wordWrap/>
        <w:overflowPunct/>
        <w:topLinePunct w:val="0"/>
        <w:autoSpaceDE/>
        <w:autoSpaceDN/>
        <w:bidi w:val="0"/>
        <w:adjustRightInd/>
        <w:snapToGrid/>
        <w:spacing w:beforeAutospacing="0" w:afterAutospacing="0" w:line="360" w:lineRule="auto"/>
        <w:ind w:right="0" w:firstLine="560" w:firstLineChars="200"/>
        <w:textAlignment w:val="auto"/>
        <w:rPr>
          <w:rFonts w:eastAsia="黑体"/>
          <w:b w:val="0"/>
          <w:bCs/>
          <w:sz w:val="28"/>
          <w:szCs w:val="28"/>
        </w:rPr>
      </w:pPr>
      <w:r>
        <w:rPr>
          <w:rFonts w:eastAsia="黑体"/>
          <w:b w:val="0"/>
          <w:bCs/>
          <w:sz w:val="28"/>
          <w:szCs w:val="28"/>
        </w:rPr>
        <w:t>一、专业名称、代码</w:t>
      </w:r>
    </w:p>
    <w:p w14:paraId="5C1B1CEA">
      <w:pPr>
        <w:keepNext w:val="0"/>
        <w:keepLines w:val="0"/>
        <w:pageBreakBefore w:val="0"/>
        <w:widowControl/>
        <w:kinsoku/>
        <w:wordWrap/>
        <w:overflowPunct/>
        <w:topLinePunct w:val="0"/>
        <w:autoSpaceDE/>
        <w:autoSpaceDN/>
        <w:bidi w:val="0"/>
        <w:adjustRightInd/>
        <w:snapToGrid/>
        <w:spacing w:beforeAutospacing="0" w:afterAutospacing="0" w:line="360" w:lineRule="auto"/>
        <w:ind w:right="0" w:firstLine="960" w:firstLineChars="400"/>
        <w:jc w:val="left"/>
        <w:textAlignment w:val="auto"/>
        <w:rPr>
          <w:rFonts w:hint="eastAsia" w:eastAsia="宋体"/>
          <w:color w:val="222222"/>
          <w:kern w:val="0"/>
          <w:sz w:val="18"/>
          <w:szCs w:val="18"/>
          <w:lang w:eastAsia="zh-CN"/>
        </w:rPr>
      </w:pPr>
      <w:r>
        <w:rPr>
          <w:color w:val="222222"/>
          <w:kern w:val="0"/>
          <w:sz w:val="24"/>
        </w:rPr>
        <w:t>专业名称：</w:t>
      </w:r>
      <w:r>
        <w:rPr>
          <w:rFonts w:hint="eastAsia"/>
          <w:color w:val="222222"/>
          <w:kern w:val="0"/>
          <w:sz w:val="24"/>
          <w:lang w:eastAsia="zh-CN"/>
        </w:rPr>
        <w:t>宪法学与行政法学</w:t>
      </w:r>
    </w:p>
    <w:p w14:paraId="37B266AF">
      <w:pPr>
        <w:keepNext w:val="0"/>
        <w:keepLines w:val="0"/>
        <w:pageBreakBefore w:val="0"/>
        <w:widowControl/>
        <w:kinsoku/>
        <w:wordWrap/>
        <w:overflowPunct/>
        <w:topLinePunct w:val="0"/>
        <w:autoSpaceDE/>
        <w:autoSpaceDN/>
        <w:bidi w:val="0"/>
        <w:adjustRightInd/>
        <w:snapToGrid/>
        <w:spacing w:beforeAutospacing="0" w:afterAutospacing="0" w:line="360" w:lineRule="auto"/>
        <w:ind w:right="0" w:firstLine="960" w:firstLineChars="400"/>
        <w:jc w:val="left"/>
        <w:textAlignment w:val="auto"/>
        <w:rPr>
          <w:rFonts w:hint="default" w:eastAsia="宋体"/>
          <w:color w:val="222222"/>
          <w:kern w:val="0"/>
          <w:sz w:val="18"/>
          <w:szCs w:val="18"/>
          <w:lang w:val="en-US" w:eastAsia="zh-CN"/>
        </w:rPr>
      </w:pPr>
      <w:r>
        <w:rPr>
          <w:color w:val="222222"/>
          <w:kern w:val="0"/>
          <w:sz w:val="24"/>
        </w:rPr>
        <w:t>专业代码：</w:t>
      </w:r>
      <w:r>
        <w:rPr>
          <w:rFonts w:hint="eastAsia"/>
          <w:color w:val="222222"/>
          <w:kern w:val="0"/>
          <w:sz w:val="24"/>
        </w:rPr>
        <w:t>030103</w:t>
      </w:r>
    </w:p>
    <w:p w14:paraId="59772EA5">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 w:val="0"/>
          <w:bCs/>
          <w:i/>
          <w:color w:val="FF0000"/>
          <w:sz w:val="28"/>
          <w:szCs w:val="28"/>
        </w:rPr>
      </w:pPr>
      <w:r>
        <w:rPr>
          <w:rFonts w:eastAsia="黑体"/>
          <w:b w:val="0"/>
          <w:bCs/>
          <w:sz w:val="28"/>
          <w:szCs w:val="28"/>
        </w:rPr>
        <w:t>二、</w:t>
      </w:r>
      <w:r>
        <w:rPr>
          <w:rFonts w:eastAsia="黑体"/>
          <w:b w:val="0"/>
          <w:bCs/>
          <w:color w:val="000000" w:themeColor="text1"/>
          <w:sz w:val="28"/>
          <w:szCs w:val="28"/>
          <w14:textFill>
            <w14:solidFill>
              <w14:schemeClr w14:val="tx1"/>
            </w14:solidFill>
          </w14:textFill>
        </w:rPr>
        <w:t>专业简介</w:t>
      </w:r>
    </w:p>
    <w:p w14:paraId="18283DA1">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lang w:val="en-US"/>
        </w:rPr>
        <w:t>河北大学法学学科肇始于1939年</w:t>
      </w:r>
      <w:r>
        <w:rPr>
          <w:rFonts w:hint="eastAsia" w:ascii="宋体" w:hAnsi="宋体" w:eastAsia="宋体" w:cs="宋体"/>
          <w:sz w:val="24"/>
          <w:szCs w:val="24"/>
          <w:lang w:val="en-US" w:eastAsia="zh-CN"/>
        </w:rPr>
        <w:t>，重新创建于</w:t>
      </w:r>
      <w:r>
        <w:rPr>
          <w:rFonts w:hint="eastAsia" w:ascii="宋体" w:hAnsi="宋体" w:eastAsia="宋体" w:cs="宋体"/>
          <w:sz w:val="24"/>
          <w:szCs w:val="24"/>
          <w:lang w:val="en-US"/>
        </w:rPr>
        <w:t>1980年，是在法学本科教育实践基础上逐步发展起来的，拥有优秀师资团队、坚实专业基础、较强科研实力和较大发展潜力的法学一级学科，系学校部省合建“燕赵文化学科群”配合学科、河北大学重点建设的国内一流学科。本学科的研究生教育起始于2000年获批诉讼法学二级学科硕士学位授权点，2003年获批宪法学与行政法学、民商法学二级学科硕士学位授权点，2004年获批法律硕士专业学位授权点，2005年获批法学理论、刑法学和经济法学二级学科硕士学位授权点，2010年获批法学一级学科硕士学位授权点，2018年经国务院学位委员会第三十四次会议审议批准增列为法学一级学科博士学位授权点，优化了河北大学学科布局，填补了河北省法学一级学科博士学位授权点建设的空白。2019年，被批准设立法学一级学科博士后科研流动站。近年来，本学科服务京津冀协同发展</w:t>
      </w:r>
      <w:r>
        <w:rPr>
          <w:rFonts w:hint="eastAsia" w:ascii="宋体" w:hAnsi="宋体" w:eastAsia="宋体" w:cs="宋体"/>
          <w:sz w:val="24"/>
          <w:szCs w:val="24"/>
          <w:lang w:val="en-US" w:eastAsia="zh-CN"/>
        </w:rPr>
        <w:t>、雄安新区建设、冬奥会等</w:t>
      </w:r>
      <w:r>
        <w:rPr>
          <w:rFonts w:hint="eastAsia" w:ascii="宋体" w:hAnsi="宋体" w:eastAsia="宋体" w:cs="宋体"/>
          <w:sz w:val="24"/>
          <w:szCs w:val="24"/>
          <w:lang w:val="en-US"/>
        </w:rPr>
        <w:t>重大国家战略、区域经济社会发展和法治河北建设，聚焦京津冀区域生态环境治理、区域刑事法治与环境犯罪治理、冬奥会法治保障、公益诉讼等方面问题研究，形成稳定研究方向和鲜明研究特色，产出了一批高质量研究成果。</w:t>
      </w:r>
    </w:p>
    <w:p w14:paraId="3FEB233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lang w:val="en-US"/>
          <w14:textFill>
            <w14:solidFill>
              <w14:schemeClr w14:val="tx1"/>
            </w14:solidFill>
          </w14:textFill>
        </w:rPr>
      </w:pPr>
      <w:r>
        <w:rPr>
          <w:rFonts w:hint="eastAsia" w:ascii="宋体" w:hAnsi="宋体" w:eastAsia="宋体" w:cs="宋体"/>
          <w:color w:val="000000" w:themeColor="text1"/>
          <w:sz w:val="24"/>
          <w:lang w:val="en-US"/>
          <w14:textFill>
            <w14:solidFill>
              <w14:schemeClr w14:val="tx1"/>
            </w14:solidFill>
          </w14:textFill>
        </w:rPr>
        <w:t>宪法学与行政法学</w:t>
      </w:r>
      <w:r>
        <w:rPr>
          <w:rFonts w:hint="eastAsia" w:ascii="宋体" w:hAnsi="宋体" w:cs="宋体"/>
          <w:color w:val="000000" w:themeColor="text1"/>
          <w:sz w:val="24"/>
          <w:lang w:val="en-US" w:eastAsia="zh-CN"/>
          <w14:textFill>
            <w14:solidFill>
              <w14:schemeClr w14:val="tx1"/>
            </w14:solidFill>
          </w14:textFill>
        </w:rPr>
        <w:t>专业</w:t>
      </w:r>
      <w:r>
        <w:rPr>
          <w:rFonts w:hint="eastAsia" w:ascii="宋体" w:hAnsi="宋体" w:eastAsia="宋体" w:cs="宋体"/>
          <w:color w:val="000000" w:themeColor="text1"/>
          <w:sz w:val="24"/>
          <w:lang w:val="en-US"/>
          <w14:textFill>
            <w14:solidFill>
              <w14:schemeClr w14:val="tx1"/>
            </w14:solidFill>
          </w14:textFill>
        </w:rPr>
        <w:t>是法学一级学科下设的重要二级学科，主要研究宪法和行政法的基本理论、基本制度及其实践，属公法范畴。本学科围绕推进依宪治国、依宪执政以及法治政府建设进程中的重点、难点问题，从中国实际出发，比较分析和借鉴国外法治相关有益经验，为健全宪法实施和监督制度，推进合宪性审查提供学理支撑，为建立权责统一、权威高效的依法行政体制，加快建设职能科学、权责法定、执法严明、公开公正、廉洁高效、守法诚信的法治政府提供理论依据。</w:t>
      </w:r>
    </w:p>
    <w:p w14:paraId="1850C699">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 w:val="0"/>
          <w:bCs/>
          <w:color w:val="000000" w:themeColor="text1"/>
          <w:sz w:val="28"/>
          <w:szCs w:val="28"/>
          <w14:textFill>
            <w14:solidFill>
              <w14:schemeClr w14:val="tx1"/>
            </w14:solidFill>
          </w14:textFill>
        </w:rPr>
      </w:pPr>
      <w:r>
        <w:rPr>
          <w:rFonts w:eastAsia="黑体"/>
          <w:b w:val="0"/>
          <w:bCs/>
          <w:color w:val="000000" w:themeColor="text1"/>
          <w:sz w:val="28"/>
          <w:szCs w:val="28"/>
          <w14:textFill>
            <w14:solidFill>
              <w14:schemeClr w14:val="tx1"/>
            </w14:solidFill>
          </w14:textFill>
        </w:rPr>
        <w:t>三、研究方向</w:t>
      </w:r>
    </w:p>
    <w:p w14:paraId="4FFAFE8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rPr>
      </w:pPr>
      <w:r>
        <w:rPr>
          <w:rFonts w:hint="eastAsia" w:ascii="宋体" w:hAnsi="宋体" w:cs="宋体"/>
          <w:bCs/>
          <w:sz w:val="24"/>
          <w:lang w:eastAsia="zh-CN"/>
        </w:rPr>
        <w:t>宪法学与行政法学专业</w:t>
      </w:r>
      <w:r>
        <w:rPr>
          <w:rFonts w:hint="eastAsia" w:ascii="宋体" w:hAnsi="宋体" w:eastAsia="宋体" w:cs="宋体"/>
          <w:bCs/>
          <w:sz w:val="24"/>
        </w:rPr>
        <w:t>设置</w:t>
      </w:r>
      <w:r>
        <w:rPr>
          <w:rFonts w:hint="eastAsia" w:ascii="宋体" w:hAnsi="宋体" w:cs="宋体"/>
          <w:bCs/>
          <w:sz w:val="24"/>
          <w:lang w:val="en-US" w:eastAsia="zh-CN"/>
        </w:rPr>
        <w:t>四</w:t>
      </w:r>
      <w:r>
        <w:rPr>
          <w:rFonts w:hint="eastAsia" w:ascii="宋体" w:hAnsi="宋体" w:eastAsia="宋体" w:cs="宋体"/>
          <w:bCs/>
          <w:sz w:val="24"/>
        </w:rPr>
        <w:t>个研究方向：</w:t>
      </w:r>
    </w:p>
    <w:p w14:paraId="12FC21F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lang w:eastAsia="zh-CN"/>
        </w:rPr>
      </w:pPr>
      <w:r>
        <w:rPr>
          <w:rFonts w:hint="eastAsia" w:ascii="宋体" w:hAnsi="宋体" w:cs="宋体"/>
          <w:bCs/>
          <w:sz w:val="24"/>
          <w:lang w:eastAsia="zh-CN"/>
        </w:rPr>
        <w:t>（一）宪法学。主要研究宪法的基本范畴、基本理论、国家的基本制度、公民的基本权利义务以及国家机构等问题，为国家机关活动，其他部门法学研究提供理论指导，在法学学科体系中具有基础性地位。‌</w:t>
      </w:r>
    </w:p>
    <w:p w14:paraId="0DADAF5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lang w:eastAsia="zh-CN"/>
        </w:rPr>
      </w:pPr>
      <w:r>
        <w:rPr>
          <w:rFonts w:hint="eastAsia" w:ascii="宋体" w:hAnsi="宋体" w:cs="宋体"/>
          <w:bCs/>
          <w:sz w:val="24"/>
          <w:lang w:eastAsia="zh-CN"/>
        </w:rPr>
        <w:t>（二）行政法学。主要研究行政权力的来源、范围以及行政权的行使主体、行使原则、行使方式、行使程序和监督等问题，为推进依法行政和法治政府建设提供理论依据。</w:t>
      </w:r>
    </w:p>
    <w:p w14:paraId="3C35B90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lang w:eastAsia="zh-CN"/>
        </w:rPr>
      </w:pPr>
      <w:r>
        <w:rPr>
          <w:rFonts w:hint="eastAsia" w:ascii="宋体" w:hAnsi="宋体" w:cs="宋体"/>
          <w:bCs/>
          <w:sz w:val="24"/>
          <w:lang w:eastAsia="zh-CN"/>
        </w:rPr>
        <w:t>（三）行政诉讼法学。主要研究行政诉讼的基本特征、基本原则、受案范围、管辖、当事人、证据以及行政诉讼程序、裁判和执行等问题，为人民法院处理行政案件，解决行政争议，保护公民、法人和其他组织的合法权益，监督行政机关依法行使职权提供理论依据。</w:t>
      </w:r>
    </w:p>
    <w:p w14:paraId="3EBFBD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lang w:eastAsia="zh-CN"/>
        </w:rPr>
      </w:pPr>
      <w:r>
        <w:rPr>
          <w:rFonts w:hint="eastAsia" w:ascii="宋体" w:hAnsi="宋体" w:cs="宋体"/>
          <w:bCs/>
          <w:sz w:val="24"/>
          <w:lang w:eastAsia="zh-CN"/>
        </w:rPr>
        <w:t>（四）纪检监察学。主要研究纪检监察的基本理论、基本制度、执法依据、执法程序等方面的内容，旨在为纪检监察工作提供理论支持，提升纪检监察的执法效果，提高纪检监察工作的法治化水平。</w:t>
      </w:r>
    </w:p>
    <w:p w14:paraId="2C2420C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 w:val="0"/>
          <w:bCs/>
          <w:sz w:val="28"/>
          <w:szCs w:val="28"/>
        </w:rPr>
      </w:pPr>
      <w:r>
        <w:rPr>
          <w:rFonts w:eastAsia="黑体"/>
          <w:b w:val="0"/>
          <w:bCs/>
          <w:sz w:val="28"/>
          <w:szCs w:val="28"/>
        </w:rPr>
        <w:t>四、学制及学习年限</w:t>
      </w:r>
    </w:p>
    <w:p w14:paraId="657EC823">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i/>
          <w:color w:val="FF0000"/>
          <w:sz w:val="24"/>
        </w:rPr>
      </w:pPr>
      <w:r>
        <w:rPr>
          <w:rFonts w:eastAsiaTheme="minorEastAsia"/>
          <w:color w:val="000000"/>
          <w:sz w:val="24"/>
        </w:rPr>
        <w:t>本专业学制为3年，在校最长学习年限（含休学）不超过6年。</w:t>
      </w:r>
    </w:p>
    <w:p w14:paraId="1EF08A1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 w:val="0"/>
          <w:bCs/>
          <w:sz w:val="28"/>
          <w:szCs w:val="28"/>
        </w:rPr>
      </w:pPr>
      <w:r>
        <w:rPr>
          <w:rFonts w:eastAsia="黑体"/>
          <w:b w:val="0"/>
          <w:bCs/>
          <w:sz w:val="28"/>
          <w:szCs w:val="28"/>
        </w:rPr>
        <w:t>五、培养目标</w:t>
      </w:r>
    </w:p>
    <w:p w14:paraId="1B6160D5">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iCs/>
          <w:sz w:val="24"/>
        </w:rPr>
      </w:pPr>
      <w:r>
        <w:rPr>
          <w:rFonts w:hint="eastAsia" w:ascii="宋体" w:hAnsi="宋体" w:cs="宋体"/>
          <w:iCs/>
          <w:sz w:val="24"/>
        </w:rPr>
        <w:t xml:space="preserve">1. </w:t>
      </w:r>
      <w:r>
        <w:rPr>
          <w:rFonts w:hint="eastAsia" w:ascii="宋体" w:hAnsi="宋体"/>
          <w:sz w:val="24"/>
        </w:rPr>
        <w:t>掌握中国特色社会主义理论体系和习近平法治思想,树立正确的中国特色社会主义核心价值观，</w:t>
      </w:r>
      <w:r>
        <w:rPr>
          <w:rFonts w:hint="eastAsia" w:ascii="宋体" w:hAnsi="宋体" w:cs="宋体"/>
          <w:iCs/>
          <w:sz w:val="24"/>
        </w:rPr>
        <w:t>具有坚定的理想信念，高尚的道德情操，优良的学术作风，高度的社会责任感。</w:t>
      </w:r>
    </w:p>
    <w:p w14:paraId="415EBF0E">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iCs/>
          <w:sz w:val="24"/>
        </w:rPr>
      </w:pPr>
      <w:r>
        <w:rPr>
          <w:rFonts w:hint="eastAsia" w:ascii="宋体" w:hAnsi="宋体" w:cs="宋体"/>
          <w:iCs/>
          <w:sz w:val="24"/>
        </w:rPr>
        <w:t>2. 掌握坚实的法学基础理论和系统的法律专门知识，具有良好的法学思维能力、学术创新能力和法律实践能力，具备良好法律职业道德和身心素质，服务于法治中国和法治河北建设特别是京津冀协同发展、雄安新区建设的复合型高素质法治人才。</w:t>
      </w:r>
    </w:p>
    <w:p w14:paraId="337B5CB6">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iCs/>
          <w:sz w:val="24"/>
        </w:rPr>
      </w:pPr>
      <w:r>
        <w:rPr>
          <w:rFonts w:hint="eastAsia" w:ascii="宋体" w:hAnsi="宋体" w:cs="宋体"/>
          <w:iCs/>
          <w:sz w:val="24"/>
        </w:rPr>
        <w:t>3. 至少掌握一门外国语，能熟练阅读本专业的外文资料，具有撰写学术论文和进行国际学术交流的能力。</w:t>
      </w:r>
    </w:p>
    <w:p w14:paraId="36F529AA">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iCs/>
          <w:sz w:val="24"/>
        </w:rPr>
      </w:pPr>
      <w:r>
        <w:rPr>
          <w:rFonts w:hint="eastAsia" w:ascii="宋体" w:hAnsi="宋体" w:cs="宋体"/>
          <w:iCs/>
          <w:sz w:val="24"/>
        </w:rPr>
        <w:t>4. 具有良好的团队意识和团队合作精神。</w:t>
      </w:r>
    </w:p>
    <w:p w14:paraId="454AA858">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iCs/>
          <w:sz w:val="24"/>
        </w:rPr>
      </w:pPr>
      <w:r>
        <w:rPr>
          <w:rFonts w:hint="eastAsia" w:ascii="宋体" w:hAnsi="宋体" w:cs="宋体"/>
          <w:iCs/>
          <w:sz w:val="24"/>
        </w:rPr>
        <w:t>5. 具有健康的身体和良好的心理素质。</w:t>
      </w:r>
    </w:p>
    <w:p w14:paraId="41BA30DC">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ascii="宋体" w:hAnsi="宋体" w:cs="宋体"/>
          <w:b/>
          <w:bCs/>
          <w:iCs/>
          <w:sz w:val="24"/>
        </w:rPr>
      </w:pPr>
      <w:r>
        <w:rPr>
          <w:rFonts w:hint="eastAsia" w:ascii="宋体" w:hAnsi="宋体" w:cs="宋体"/>
          <w:iCs/>
          <w:sz w:val="24"/>
        </w:rPr>
        <w:t>6. 培养德智体美劳全面发展的社会主义事业接班人。</w:t>
      </w:r>
    </w:p>
    <w:p w14:paraId="577A4B00">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Cs/>
          <w:sz w:val="28"/>
          <w:szCs w:val="28"/>
        </w:rPr>
      </w:pPr>
      <w:r>
        <w:rPr>
          <w:rFonts w:eastAsia="黑体"/>
          <w:bCs/>
          <w:sz w:val="28"/>
          <w:szCs w:val="28"/>
        </w:rPr>
        <w:t>六、培养方式</w:t>
      </w:r>
    </w:p>
    <w:p w14:paraId="7CA45CD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cs="宋体"/>
          <w:iCs/>
          <w:sz w:val="24"/>
          <w:lang w:eastAsia="zh-CN"/>
        </w:rPr>
      </w:pPr>
      <w:r>
        <w:rPr>
          <w:rFonts w:hint="eastAsia" w:ascii="宋体" w:hAnsi="宋体" w:cs="宋体"/>
          <w:iCs/>
          <w:sz w:val="24"/>
          <w:lang w:val="en-US" w:eastAsia="zh-CN"/>
        </w:rPr>
        <w:t>1.</w:t>
      </w:r>
      <w:r>
        <w:rPr>
          <w:rFonts w:hint="eastAsia" w:ascii="宋体" w:hAnsi="宋体" w:cs="宋体"/>
          <w:iCs/>
          <w:sz w:val="24"/>
          <w:lang w:eastAsia="zh-CN"/>
        </w:rPr>
        <w:t>硕士</w:t>
      </w:r>
      <w:r>
        <w:rPr>
          <w:rFonts w:hint="eastAsia" w:ascii="宋体" w:hAnsi="宋体" w:cs="宋体"/>
          <w:iCs/>
          <w:sz w:val="24"/>
        </w:rPr>
        <w:t>研究生培养实行导师具体负责与集体培养相结合，充分发挥学科综合优势和学术群体作用。其中，</w:t>
      </w:r>
      <w:r>
        <w:rPr>
          <w:rFonts w:hint="eastAsia" w:ascii="宋体" w:hAnsi="宋体" w:cs="宋体"/>
          <w:iCs/>
          <w:sz w:val="24"/>
          <w:lang w:eastAsia="zh-CN"/>
        </w:rPr>
        <w:t>硕</w:t>
      </w:r>
      <w:r>
        <w:rPr>
          <w:rFonts w:hint="eastAsia" w:ascii="宋体" w:hAnsi="宋体" w:cs="宋体"/>
          <w:iCs/>
          <w:sz w:val="24"/>
        </w:rPr>
        <w:t>士生导师负责对</w:t>
      </w:r>
      <w:r>
        <w:rPr>
          <w:rFonts w:hint="eastAsia" w:ascii="宋体" w:hAnsi="宋体" w:cs="宋体"/>
          <w:iCs/>
          <w:sz w:val="24"/>
          <w:lang w:eastAsia="zh-CN"/>
        </w:rPr>
        <w:t>硕士</w:t>
      </w:r>
      <w:r>
        <w:rPr>
          <w:rFonts w:hint="eastAsia" w:ascii="宋体" w:hAnsi="宋体" w:cs="宋体"/>
          <w:iCs/>
          <w:sz w:val="24"/>
        </w:rPr>
        <w:t>研究生的思想政治教育、学术训练和学位论文撰写等方面的具体指导工作，导师组对</w:t>
      </w:r>
      <w:r>
        <w:rPr>
          <w:rFonts w:hint="eastAsia" w:ascii="宋体" w:hAnsi="宋体" w:cs="宋体"/>
          <w:iCs/>
          <w:sz w:val="24"/>
          <w:lang w:eastAsia="zh-CN"/>
        </w:rPr>
        <w:t>硕士</w:t>
      </w:r>
      <w:r>
        <w:rPr>
          <w:rFonts w:hint="eastAsia" w:ascii="宋体" w:hAnsi="宋体" w:cs="宋体"/>
          <w:iCs/>
          <w:sz w:val="24"/>
        </w:rPr>
        <w:t>研究生的人才培养方案制定和实施、学位论文质量监控等负有组织和监督职责</w:t>
      </w:r>
      <w:r>
        <w:rPr>
          <w:rFonts w:hint="eastAsia" w:ascii="宋体" w:hAnsi="宋体" w:cs="宋体"/>
          <w:iCs/>
          <w:sz w:val="24"/>
          <w:lang w:eastAsia="zh-CN"/>
        </w:rPr>
        <w:t>。</w:t>
      </w:r>
    </w:p>
    <w:p w14:paraId="61F93D5D">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cs="宋体"/>
          <w:iCs/>
          <w:sz w:val="24"/>
          <w:lang w:eastAsia="zh-CN"/>
        </w:rPr>
      </w:pPr>
      <w:r>
        <w:rPr>
          <w:rFonts w:hint="eastAsia" w:ascii="宋体" w:hAnsi="宋体" w:cs="宋体"/>
          <w:iCs/>
          <w:sz w:val="24"/>
          <w:lang w:val="en-US" w:eastAsia="zh-CN"/>
        </w:rPr>
        <w:t>2.硕士</w:t>
      </w:r>
      <w:r>
        <w:rPr>
          <w:rFonts w:hint="eastAsia" w:ascii="宋体" w:hAnsi="宋体" w:cs="宋体"/>
          <w:iCs/>
          <w:sz w:val="24"/>
          <w:lang w:eastAsia="zh-CN"/>
        </w:rPr>
        <w:t>研究生采用以学生为中心、以问题为导向、以任务为驱动的研究型教学方式，充分发挥硕士研究生在课程学习中的主动性和自觉性。</w:t>
      </w:r>
    </w:p>
    <w:p w14:paraId="16BA3A9B">
      <w:pPr>
        <w:keepNext w:val="0"/>
        <w:keepLines w:val="0"/>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cs="宋体"/>
          <w:iCs/>
          <w:sz w:val="24"/>
          <w:lang w:eastAsia="zh-CN"/>
        </w:rPr>
      </w:pPr>
      <w:r>
        <w:rPr>
          <w:rFonts w:hint="eastAsia" w:ascii="宋体" w:hAnsi="宋体" w:cs="宋体"/>
          <w:iCs/>
          <w:sz w:val="24"/>
          <w:lang w:val="en-US" w:eastAsia="zh-CN"/>
        </w:rPr>
        <w:t>3.</w:t>
      </w:r>
      <w:r>
        <w:rPr>
          <w:rFonts w:hint="eastAsia" w:ascii="宋体" w:hAnsi="宋体" w:cs="宋体"/>
          <w:iCs/>
          <w:sz w:val="24"/>
          <w:lang w:eastAsia="zh-CN"/>
        </w:rPr>
        <w:t>硕士研究生在学期间应加强学术训练。学院鼓励硕士研究生进行高水平的科学研究，发表高水平的科研成果，并为硕士研究生参加境内外的学术交流活动提供支持。</w:t>
      </w:r>
    </w:p>
    <w:p w14:paraId="39471F4D">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Cs/>
          <w:sz w:val="28"/>
          <w:szCs w:val="28"/>
        </w:rPr>
      </w:pPr>
      <w:r>
        <w:rPr>
          <w:rFonts w:eastAsia="黑体"/>
          <w:bCs/>
          <w:sz w:val="28"/>
          <w:szCs w:val="28"/>
        </w:rPr>
        <w:t>七、中期筛选</w:t>
      </w:r>
    </w:p>
    <w:p w14:paraId="5EEDA6DB">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61C4540E">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Cs/>
          <w:sz w:val="28"/>
          <w:szCs w:val="28"/>
        </w:rPr>
      </w:pPr>
      <w:r>
        <w:rPr>
          <w:rFonts w:hint="eastAsia" w:eastAsia="黑体"/>
          <w:bCs/>
          <w:sz w:val="28"/>
          <w:szCs w:val="28"/>
        </w:rPr>
        <w:t>八</w:t>
      </w:r>
      <w:r>
        <w:rPr>
          <w:rFonts w:eastAsia="黑体"/>
          <w:bCs/>
          <w:sz w:val="28"/>
          <w:szCs w:val="28"/>
        </w:rPr>
        <w:t>、学位（毕业）论文</w:t>
      </w:r>
    </w:p>
    <w:p w14:paraId="0A900BEC">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jc w:val="left"/>
        <w:textAlignment w:val="auto"/>
        <w:rPr>
          <w:rFonts w:hint="eastAsia" w:ascii="宋体" w:hAnsi="宋体" w:eastAsia="宋体" w:cs="宋体"/>
          <w:iCs/>
          <w:sz w:val="24"/>
          <w:lang w:eastAsia="zh-CN"/>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w:t>
      </w:r>
      <w:r>
        <w:rPr>
          <w:rFonts w:hint="eastAsia"/>
          <w:color w:val="000000" w:themeColor="text1"/>
          <w:kern w:val="0"/>
          <w:sz w:val="24"/>
          <w14:textFill>
            <w14:solidFill>
              <w14:schemeClr w14:val="tx1"/>
            </w14:solidFill>
          </w14:textFill>
        </w:rPr>
        <w:t>校政字〔2025〕*号</w:t>
      </w:r>
      <w:r>
        <w:rPr>
          <w:color w:val="000000" w:themeColor="text1"/>
          <w:kern w:val="0"/>
          <w:sz w:val="24"/>
          <w14:textFill>
            <w14:solidFill>
              <w14:schemeClr w14:val="tx1"/>
            </w14:solidFill>
          </w14:textFill>
        </w:rPr>
        <w:t>）规定，硕士研究生论文开题与答辩时间间隔原则上不少于12个月。</w:t>
      </w:r>
      <w:r>
        <w:rPr>
          <w:rFonts w:hint="eastAsia" w:ascii="宋体" w:hAnsi="宋体" w:cs="宋体"/>
          <w:iCs/>
          <w:sz w:val="24"/>
        </w:rPr>
        <w:t>法学硕士研究生必须在导师指导下独立完成学位（毕业）论文</w:t>
      </w:r>
      <w:r>
        <w:rPr>
          <w:rFonts w:hint="eastAsia" w:ascii="宋体" w:hAnsi="宋体" w:cs="宋体"/>
          <w:iCs/>
          <w:sz w:val="24"/>
          <w:lang w:eastAsia="zh-CN"/>
        </w:rPr>
        <w:t>，应严格遵守学术规范与学术标准，论文字数应不低于3万字</w:t>
      </w:r>
      <w:r>
        <w:rPr>
          <w:rFonts w:hint="eastAsia" w:ascii="宋体" w:hAnsi="宋体" w:cs="宋体"/>
          <w:iCs/>
          <w:sz w:val="24"/>
        </w:rPr>
        <w:t>。学位论文选题限于本专业范围以内，在七个研究方向内选定题目，学位（毕业）论文应表明作者较好地掌握了本学科的基础理论、专门知识和基本技能，选题的内容要紧密结合国内外法学理论发展和研究的实际状况，研究和解决实践和理论方面的重要问题或突出问题</w:t>
      </w:r>
      <w:r>
        <w:rPr>
          <w:rFonts w:hint="eastAsia" w:ascii="宋体" w:hAnsi="宋体" w:cs="宋体"/>
          <w:iCs/>
          <w:sz w:val="24"/>
          <w:lang w:eastAsia="zh-CN"/>
        </w:rPr>
        <w:t>。</w:t>
      </w:r>
      <w:r>
        <w:rPr>
          <w:rFonts w:hint="eastAsia" w:ascii="宋体" w:hAnsi="宋体" w:cs="宋体"/>
          <w:iCs/>
          <w:sz w:val="24"/>
        </w:rPr>
        <w:t>鼓励硕士研究生参与科学研究，取得创新性成果</w:t>
      </w:r>
      <w:r>
        <w:rPr>
          <w:rFonts w:hint="eastAsia" w:ascii="宋体" w:hAnsi="宋体" w:cs="宋体"/>
          <w:iCs/>
          <w:sz w:val="24"/>
          <w:lang w:eastAsia="zh-CN"/>
        </w:rPr>
        <w:t>。</w:t>
      </w:r>
    </w:p>
    <w:p w14:paraId="557D3EE2">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jc w:val="left"/>
        <w:textAlignment w:val="auto"/>
        <w:rPr>
          <w:rFonts w:hint="eastAsia" w:ascii="宋体" w:hAnsi="宋体" w:cs="宋体"/>
          <w:iCs/>
          <w:sz w:val="24"/>
        </w:rPr>
      </w:pPr>
      <w:r>
        <w:rPr>
          <w:bCs/>
          <w:color w:val="222222"/>
          <w:kern w:val="0"/>
          <w:sz w:val="24"/>
        </w:rPr>
        <w:t>2.开题：</w:t>
      </w:r>
      <w:r>
        <w:rPr>
          <w:rFonts w:hint="eastAsia" w:ascii="宋体" w:hAnsi="宋体" w:cs="宋体"/>
          <w:iCs/>
          <w:sz w:val="24"/>
        </w:rPr>
        <w:t>开题是研究生培养过程中开展学位（毕业）论文工作的首要环节，</w:t>
      </w:r>
      <w:r>
        <w:rPr>
          <w:rFonts w:hint="eastAsia" w:ascii="宋体" w:hAnsi="宋体" w:cs="宋体"/>
          <w:iCs/>
          <w:sz w:val="24"/>
          <w:lang w:eastAsia="zh-CN"/>
        </w:rPr>
        <w:t>法学硕士</w:t>
      </w:r>
      <w:r>
        <w:rPr>
          <w:rFonts w:hint="eastAsia" w:ascii="宋体" w:hAnsi="宋体" w:cs="宋体"/>
          <w:iCs/>
          <w:sz w:val="24"/>
        </w:rPr>
        <w:t>研究生</w:t>
      </w:r>
      <w:r>
        <w:rPr>
          <w:rFonts w:hint="eastAsia" w:ascii="宋体" w:hAnsi="宋体" w:cs="宋体"/>
          <w:iCs/>
          <w:sz w:val="24"/>
          <w:lang w:eastAsia="zh-CN"/>
        </w:rPr>
        <w:t>应</w:t>
      </w:r>
      <w:r>
        <w:rPr>
          <w:rFonts w:hint="eastAsia" w:ascii="宋体" w:hAnsi="宋体" w:cs="宋体"/>
          <w:iCs/>
          <w:sz w:val="24"/>
        </w:rPr>
        <w:t>充分阅读国内外相关文献，撰写开题报告。开题报告应包含文献综述、论文选题依据、研究方案、预期目标与成果、工作计划等关键问题。</w:t>
      </w:r>
    </w:p>
    <w:p w14:paraId="63F09A3E">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jc w:val="left"/>
        <w:textAlignment w:val="auto"/>
        <w:rPr>
          <w:rFonts w:hint="eastAsia" w:ascii="宋体" w:hAnsi="宋体" w:cs="宋体"/>
          <w:iCs/>
          <w:sz w:val="24"/>
        </w:rPr>
      </w:pPr>
      <w:r>
        <w:rPr>
          <w:rFonts w:hint="eastAsia" w:ascii="宋体" w:hAnsi="宋体" w:cs="宋体"/>
          <w:iCs/>
          <w:sz w:val="24"/>
        </w:rPr>
        <w:t>法学硕士学位（毕业）论文的选题应密切结合学科发展、经济社会发展的需要，原则上在入学后第3学期（最迟不超过第4学期）完成开题。开题由3-5名具有高级专业技术职务人员参加，以学术报告的方式进行。</w:t>
      </w:r>
    </w:p>
    <w:p w14:paraId="4C36E498">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jc w:val="left"/>
        <w:textAlignment w:val="auto"/>
        <w:rPr>
          <w:rFonts w:hint="eastAsia" w:ascii="宋体" w:hAnsi="宋体" w:cs="宋体"/>
          <w:iCs/>
          <w:sz w:val="24"/>
        </w:rPr>
      </w:pPr>
      <w:r>
        <w:rPr>
          <w:bCs/>
          <w:color w:val="222222"/>
          <w:kern w:val="0"/>
          <w:sz w:val="24"/>
        </w:rPr>
        <w:t>3.中期进展报告：</w:t>
      </w:r>
      <w:r>
        <w:rPr>
          <w:rFonts w:hint="eastAsia" w:ascii="宋体" w:hAnsi="宋体" w:cs="宋体"/>
          <w:iCs/>
          <w:sz w:val="24"/>
        </w:rPr>
        <w:t>中期进展报告是检查</w:t>
      </w:r>
      <w:r>
        <w:rPr>
          <w:rFonts w:hint="eastAsia" w:ascii="宋体" w:hAnsi="宋体" w:cs="宋体"/>
          <w:iCs/>
          <w:sz w:val="24"/>
          <w:lang w:eastAsia="zh-CN"/>
        </w:rPr>
        <w:t>法学硕士</w:t>
      </w:r>
      <w:r>
        <w:rPr>
          <w:rFonts w:hint="eastAsia" w:ascii="宋体" w:hAnsi="宋体" w:cs="宋体"/>
          <w:iCs/>
          <w:sz w:val="24"/>
        </w:rPr>
        <w:t>研究生个人综合能力及学位论文进展、指导研究生把握学位（毕业）论文方向、提高学位（毕业）论文质量的必要环节。中期进展报告原则上应在入学后第5学期进行；各导师组自行制定中期考核办法并组织考核。</w:t>
      </w:r>
    </w:p>
    <w:p w14:paraId="3CEB24B9">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jc w:val="left"/>
        <w:textAlignment w:val="auto"/>
        <w:rPr>
          <w:rFonts w:hint="eastAsia" w:ascii="宋体" w:hAnsi="宋体" w:cs="宋体"/>
          <w:iCs/>
          <w:sz w:val="24"/>
        </w:rPr>
      </w:pPr>
      <w:r>
        <w:rPr>
          <w:bCs/>
          <w:color w:val="222222"/>
          <w:kern w:val="0"/>
          <w:sz w:val="24"/>
        </w:rPr>
        <w:t>4.学位申请：</w:t>
      </w:r>
      <w:r>
        <w:rPr>
          <w:rFonts w:hint="eastAsia" w:ascii="宋体" w:hAnsi="宋体" w:cs="宋体"/>
          <w:iCs/>
          <w:sz w:val="24"/>
        </w:rPr>
        <w:t>达到学位授予条件的申请人，经导师同意后，应于答辩前三个月，向</w:t>
      </w:r>
      <w:r>
        <w:rPr>
          <w:rFonts w:hint="eastAsia" w:ascii="宋体" w:hAnsi="宋体" w:cs="宋体"/>
          <w:iCs/>
          <w:sz w:val="24"/>
          <w:lang w:eastAsia="zh-CN"/>
        </w:rPr>
        <w:t>法学院</w:t>
      </w:r>
      <w:r>
        <w:rPr>
          <w:rFonts w:hint="eastAsia" w:ascii="宋体" w:hAnsi="宋体" w:cs="宋体"/>
          <w:iCs/>
          <w:sz w:val="24"/>
        </w:rPr>
        <w:t>学位评定分委员会提出学位申请，提交学位申请材料。</w:t>
      </w:r>
    </w:p>
    <w:p w14:paraId="156AFA65">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jc w:val="left"/>
        <w:textAlignment w:val="auto"/>
        <w:rPr>
          <w:rFonts w:hint="eastAsia" w:ascii="宋体" w:hAnsi="宋体" w:cs="宋体"/>
          <w:iCs/>
          <w:sz w:val="24"/>
        </w:rPr>
      </w:pPr>
      <w:r>
        <w:rPr>
          <w:bCs/>
          <w:color w:val="222222"/>
          <w:kern w:val="0"/>
          <w:sz w:val="24"/>
        </w:rPr>
        <w:t>5.预答辩：</w:t>
      </w:r>
      <w:r>
        <w:rPr>
          <w:rFonts w:hint="eastAsia" w:ascii="宋体" w:hAnsi="宋体" w:cs="宋体"/>
          <w:iCs/>
          <w:sz w:val="24"/>
        </w:rPr>
        <w:t>学位申请人须进行学位论文预答辩</w:t>
      </w:r>
      <w:r>
        <w:rPr>
          <w:rFonts w:hint="eastAsia" w:ascii="宋体" w:hAnsi="宋体" w:cs="宋体"/>
          <w:iCs/>
          <w:sz w:val="24"/>
          <w:lang w:eastAsia="zh-CN"/>
        </w:rPr>
        <w:t>，由各导师组</w:t>
      </w:r>
      <w:r>
        <w:rPr>
          <w:rFonts w:hint="eastAsia" w:ascii="宋体" w:hAnsi="宋体" w:cs="宋体"/>
          <w:iCs/>
          <w:sz w:val="24"/>
        </w:rPr>
        <w:t>对论文初稿进行全面、细致、充分的预审。预答辩通过者，方可进入学位论文评阅、学位论文答辩等环节。学位（毕业）论文预答辩</w:t>
      </w:r>
      <w:r>
        <w:rPr>
          <w:rFonts w:hint="eastAsia" w:ascii="宋体" w:hAnsi="宋体" w:cs="宋体"/>
          <w:iCs/>
          <w:sz w:val="24"/>
          <w:lang w:eastAsia="zh-CN"/>
        </w:rPr>
        <w:t>应</w:t>
      </w:r>
      <w:r>
        <w:rPr>
          <w:rFonts w:hint="eastAsia" w:ascii="宋体" w:hAnsi="宋体" w:cs="宋体"/>
          <w:iCs/>
          <w:sz w:val="24"/>
        </w:rPr>
        <w:t>在正式答辩前3个月进行。</w:t>
      </w:r>
    </w:p>
    <w:p w14:paraId="760E9636">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jc w:val="left"/>
        <w:textAlignment w:val="auto"/>
        <w:rPr>
          <w:color w:val="222222"/>
          <w:kern w:val="0"/>
          <w:sz w:val="24"/>
        </w:rPr>
      </w:pPr>
      <w:r>
        <w:rPr>
          <w:bCs/>
          <w:color w:val="222222"/>
          <w:kern w:val="0"/>
          <w:sz w:val="24"/>
        </w:rPr>
        <w:t>6.论文评阅：</w:t>
      </w:r>
      <w:r>
        <w:rPr>
          <w:rFonts w:hint="eastAsia" w:ascii="宋体" w:hAnsi="宋体" w:cs="宋体"/>
          <w:iCs/>
          <w:sz w:val="24"/>
        </w:rPr>
        <w:t>学位（毕业）论文在获得导师组认可，经</w:t>
      </w:r>
      <w:r>
        <w:rPr>
          <w:rFonts w:hint="eastAsia" w:ascii="宋体" w:hAnsi="宋体" w:cs="宋体"/>
          <w:iCs/>
          <w:sz w:val="24"/>
          <w:lang w:eastAsia="zh-CN"/>
        </w:rPr>
        <w:t>法学院</w:t>
      </w:r>
      <w:r>
        <w:rPr>
          <w:rFonts w:hint="eastAsia" w:ascii="宋体" w:hAnsi="宋体" w:cs="宋体"/>
          <w:iCs/>
          <w:sz w:val="24"/>
        </w:rPr>
        <w:t>形式审查合格，并通过预答辩，方可提出进入评阅程序的申请。论文评阅在正式答辩前40天由研究生提出，由</w:t>
      </w:r>
      <w:r>
        <w:rPr>
          <w:rFonts w:hint="eastAsia" w:ascii="宋体" w:hAnsi="宋体" w:cs="宋体"/>
          <w:iCs/>
          <w:sz w:val="24"/>
          <w:lang w:eastAsia="zh-CN"/>
        </w:rPr>
        <w:t>法学院</w:t>
      </w:r>
      <w:r>
        <w:rPr>
          <w:rFonts w:hint="eastAsia" w:ascii="宋体" w:hAnsi="宋体" w:cs="宋体"/>
          <w:iCs/>
          <w:sz w:val="24"/>
        </w:rPr>
        <w:t>依据相关规定进行匿名评审。</w:t>
      </w:r>
      <w:r>
        <w:rPr>
          <w:color w:val="222222"/>
          <w:kern w:val="0"/>
          <w:sz w:val="24"/>
        </w:rPr>
        <w:t>评阅结果及异议处理按照《河北大学研究生学位论文或者实践成果评审管理办法》（校政字〔2025〕8号）执行。</w:t>
      </w:r>
    </w:p>
    <w:p w14:paraId="423EB86C">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jc w:val="left"/>
        <w:textAlignment w:val="auto"/>
        <w:rPr>
          <w:rFonts w:eastAsiaTheme="minorEastAsia"/>
          <w:i/>
          <w:color w:val="FF000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0A3718B7">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Cs/>
          <w:sz w:val="28"/>
          <w:szCs w:val="28"/>
        </w:rPr>
      </w:pPr>
      <w:r>
        <w:rPr>
          <w:rFonts w:hint="eastAsia" w:eastAsia="黑体"/>
          <w:bCs/>
          <w:sz w:val="28"/>
          <w:szCs w:val="28"/>
        </w:rPr>
        <w:t>九</w:t>
      </w:r>
      <w:r>
        <w:rPr>
          <w:rFonts w:eastAsia="黑体"/>
          <w:bCs/>
          <w:sz w:val="28"/>
          <w:szCs w:val="28"/>
        </w:rPr>
        <w:t>、毕业条件</w:t>
      </w:r>
    </w:p>
    <w:p w14:paraId="17944D27">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75104909">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color w:val="000000" w:themeColor="text1"/>
          <w:sz w:val="24"/>
          <w14:textFill>
            <w14:solidFill>
              <w14:schemeClr w14:val="tx1"/>
            </w14:solidFill>
          </w14:textFill>
        </w:rPr>
      </w:pPr>
      <w:r>
        <w:rPr>
          <w:rFonts w:eastAsiaTheme="minorEastAsia"/>
          <w:bCs/>
          <w:sz w:val="24"/>
        </w:rPr>
        <w:t>2. 学术活动。研究生</w:t>
      </w:r>
      <w:r>
        <w:rPr>
          <w:rFonts w:eastAsiaTheme="minorEastAsia"/>
          <w:color w:val="000000" w:themeColor="text1"/>
          <w:sz w:val="24"/>
          <w14:textFill>
            <w14:solidFill>
              <w14:schemeClr w14:val="tx1"/>
            </w14:solidFill>
          </w14:textFill>
        </w:rPr>
        <w:t>在读期间参加不少于</w:t>
      </w:r>
      <w:r>
        <w:rPr>
          <w:rFonts w:eastAsiaTheme="minorEastAsia"/>
          <w:i w:val="0"/>
          <w:iCs/>
          <w:color w:val="000000" w:themeColor="text1"/>
          <w:sz w:val="24"/>
          <w14:textFill>
            <w14:solidFill>
              <w14:schemeClr w14:val="tx1"/>
            </w14:solidFill>
          </w14:textFill>
        </w:rPr>
        <w:t>10</w:t>
      </w:r>
      <w:r>
        <w:rPr>
          <w:rFonts w:eastAsiaTheme="minorEastAsia"/>
          <w:color w:val="000000" w:themeColor="text1"/>
          <w:sz w:val="24"/>
          <w14:textFill>
            <w14:solidFill>
              <w14:schemeClr w14:val="tx1"/>
            </w14:solidFill>
          </w14:textFill>
        </w:rPr>
        <w:t>次学术活动，并撰写学术报告小结；以主讲人或宣讲人身份，参加在校内外举行的学术报告或学术讲座不少于</w:t>
      </w:r>
      <w:r>
        <w:rPr>
          <w:rFonts w:eastAsiaTheme="minorEastAsia"/>
          <w:i w:val="0"/>
          <w:iCs/>
          <w:color w:val="000000" w:themeColor="text1"/>
          <w:sz w:val="24"/>
          <w14:textFill>
            <w14:solidFill>
              <w14:schemeClr w14:val="tx1"/>
            </w14:solidFill>
          </w14:textFill>
        </w:rPr>
        <w:t>1</w:t>
      </w:r>
      <w:r>
        <w:rPr>
          <w:rFonts w:eastAsiaTheme="minorEastAsia"/>
          <w:color w:val="000000" w:themeColor="text1"/>
          <w:sz w:val="24"/>
          <w14:textFill>
            <w14:solidFill>
              <w14:schemeClr w14:val="tx1"/>
            </w14:solidFill>
          </w14:textFill>
        </w:rPr>
        <w:t>次。</w:t>
      </w:r>
    </w:p>
    <w:p w14:paraId="5A997D0C">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5EBA458A">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bCs/>
          <w:sz w:val="24"/>
        </w:rPr>
      </w:pPr>
      <w:r>
        <w:rPr>
          <w:rFonts w:eastAsiaTheme="minorEastAsia"/>
          <w:bCs/>
          <w:sz w:val="24"/>
        </w:rPr>
        <w:t>4. 论文答辩。学位（毕业）论文经专家评审合格、通过学位（毕业）答辩，符合毕业资格审查后，准予毕业。</w:t>
      </w:r>
    </w:p>
    <w:p w14:paraId="54267434">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Theme="minorEastAsia"/>
          <w:i/>
          <w:color w:val="FF0000"/>
          <w:sz w:val="24"/>
        </w:rPr>
      </w:pPr>
      <w:r>
        <w:rPr>
          <w:rFonts w:hint="eastAsia" w:eastAsia="黑体"/>
          <w:bCs/>
          <w:sz w:val="28"/>
          <w:szCs w:val="28"/>
        </w:rPr>
        <w:t>十</w:t>
      </w:r>
      <w:r>
        <w:rPr>
          <w:rFonts w:eastAsia="黑体"/>
          <w:bCs/>
          <w:sz w:val="28"/>
          <w:szCs w:val="28"/>
        </w:rPr>
        <w:t>、创新性成果</w:t>
      </w:r>
    </w:p>
    <w:p w14:paraId="1FFB74B0">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lang w:val="en-US" w:eastAsia="zh-CN"/>
        </w:rPr>
        <w:t xml:space="preserve">1. </w:t>
      </w:r>
      <w:r>
        <w:rPr>
          <w:rFonts w:hint="eastAsia" w:eastAsiaTheme="minorEastAsia"/>
          <w:bCs/>
          <w:sz w:val="24"/>
        </w:rPr>
        <w:t>鼓励硕士研究生参与科学研究，取得创新性成果。取得的创新性成果可为学术论文、专著、</w:t>
      </w:r>
      <w:r>
        <w:rPr>
          <w:rFonts w:hint="eastAsia" w:eastAsiaTheme="minorEastAsia"/>
          <w:bCs/>
          <w:sz w:val="24"/>
          <w:lang w:eastAsia="zh-CN"/>
        </w:rPr>
        <w:t>智库报告</w:t>
      </w:r>
      <w:r>
        <w:rPr>
          <w:rFonts w:hint="eastAsia" w:eastAsiaTheme="minorEastAsia"/>
          <w:bCs/>
          <w:sz w:val="24"/>
        </w:rPr>
        <w:t>、科研项目、科研奖励等多种形式。</w:t>
      </w:r>
    </w:p>
    <w:p w14:paraId="7AB02330">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鼓励研究生在省级报刊杂志、中文核心期刊或CSSCI期刊扩展版及其以上报刊公开发表学术论文。</w:t>
      </w:r>
    </w:p>
    <w:p w14:paraId="1E0DEC6B">
      <w:pPr>
        <w:keepNext w:val="0"/>
        <w:keepLines w:val="0"/>
        <w:pageBreakBefore w:val="0"/>
        <w:numPr>
          <w:ilvl w:val="0"/>
          <w:numId w:val="1"/>
        </w:numPr>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在CSSCI来源期刊公开发表1篇以上学术论文的，其学位论文可以按照学校规定不参加学院组织的学位论文双盲评审。</w:t>
      </w:r>
    </w:p>
    <w:p w14:paraId="728B00CC">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Cs/>
          <w:sz w:val="28"/>
          <w:szCs w:val="28"/>
        </w:rPr>
      </w:pPr>
      <w:r>
        <w:rPr>
          <w:rFonts w:eastAsia="黑体"/>
          <w:bCs/>
          <w:sz w:val="28"/>
          <w:szCs w:val="28"/>
        </w:rPr>
        <w:t>十一、学位授予</w:t>
      </w:r>
    </w:p>
    <w:p w14:paraId="3DF6C20C">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w:t>
      </w:r>
      <w:r>
        <w:rPr>
          <w:rFonts w:hint="eastAsia" w:eastAsiaTheme="minorEastAsia"/>
          <w:bCs/>
          <w:sz w:val="24"/>
        </w:rPr>
        <w:t>足本</w:t>
      </w:r>
      <w:r>
        <w:rPr>
          <w:rFonts w:hint="eastAsia" w:eastAsiaTheme="minorEastAsia"/>
          <w:bCs/>
          <w:sz w:val="24"/>
          <w:lang w:eastAsia="zh-CN"/>
        </w:rPr>
        <w:t>学院</w:t>
      </w:r>
      <w:r>
        <w:rPr>
          <w:rFonts w:hint="eastAsia" w:eastAsiaTheme="minorEastAsia"/>
          <w:bCs/>
          <w:sz w:val="24"/>
        </w:rPr>
        <w:t>制定的</w:t>
      </w:r>
      <w:r>
        <w:rPr>
          <w:color w:val="222222"/>
          <w:kern w:val="0"/>
          <w:sz w:val="24"/>
        </w:rPr>
        <w:t>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20B85000">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4AAF3642">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color w:val="auto"/>
          <w:sz w:val="24"/>
        </w:rPr>
      </w:pPr>
      <w:r>
        <w:rPr>
          <w:rFonts w:eastAsiaTheme="minorEastAsia"/>
          <w:color w:val="auto"/>
          <w:sz w:val="24"/>
        </w:rPr>
        <w:t>本专业最低毕业学分为</w:t>
      </w:r>
      <w:r>
        <w:rPr>
          <w:rFonts w:hint="eastAsia" w:eastAsiaTheme="minorEastAsia"/>
          <w:color w:val="auto"/>
          <w:sz w:val="24"/>
          <w:lang w:val="en-US" w:eastAsia="zh-CN"/>
        </w:rPr>
        <w:t>28</w:t>
      </w:r>
      <w:r>
        <w:rPr>
          <w:rFonts w:eastAsiaTheme="minorEastAsia"/>
          <w:color w:val="auto"/>
          <w:sz w:val="24"/>
        </w:rPr>
        <w:t>分，其中学位课</w:t>
      </w:r>
      <w:r>
        <w:rPr>
          <w:rFonts w:hint="eastAsia" w:eastAsiaTheme="minorEastAsia"/>
          <w:color w:val="auto"/>
          <w:sz w:val="24"/>
          <w:lang w:val="en-US" w:eastAsia="zh-CN"/>
        </w:rPr>
        <w:t>15</w:t>
      </w:r>
      <w:r>
        <w:rPr>
          <w:rFonts w:eastAsiaTheme="minorEastAsia"/>
          <w:color w:val="auto"/>
          <w:sz w:val="24"/>
        </w:rPr>
        <w:t>学分，非学位课</w:t>
      </w:r>
      <w:r>
        <w:rPr>
          <w:rFonts w:hint="eastAsia" w:eastAsiaTheme="minorEastAsia"/>
          <w:color w:val="auto"/>
          <w:sz w:val="24"/>
          <w:lang w:val="en-US" w:eastAsia="zh-CN"/>
        </w:rPr>
        <w:t>12</w:t>
      </w:r>
      <w:r>
        <w:rPr>
          <w:rFonts w:eastAsiaTheme="minorEastAsia"/>
          <w:color w:val="auto"/>
          <w:sz w:val="24"/>
        </w:rPr>
        <w:t>学分，必修环节</w:t>
      </w:r>
      <w:r>
        <w:rPr>
          <w:rFonts w:hint="eastAsia" w:eastAsiaTheme="minorEastAsia"/>
          <w:color w:val="auto"/>
          <w:sz w:val="24"/>
          <w:lang w:val="en-US" w:eastAsia="zh-CN"/>
        </w:rPr>
        <w:t>1学</w:t>
      </w:r>
      <w:r>
        <w:rPr>
          <w:rFonts w:eastAsiaTheme="minorEastAsia"/>
          <w:color w:val="auto"/>
          <w:sz w:val="24"/>
        </w:rPr>
        <w:t>分。</w:t>
      </w:r>
    </w:p>
    <w:p w14:paraId="4EB0B04D">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textAlignment w:val="auto"/>
        <w:rPr>
          <w:color w:val="000000"/>
          <w:sz w:val="24"/>
        </w:rPr>
      </w:pPr>
      <w:r>
        <w:rPr>
          <w:rFonts w:eastAsiaTheme="minorEastAsia"/>
          <w:color w:val="000000"/>
          <w:sz w:val="24"/>
        </w:rPr>
        <w:t>课程考试不设补考环节，</w:t>
      </w:r>
      <w:r>
        <w:rPr>
          <w:color w:val="000000"/>
          <w:sz w:val="24"/>
        </w:rPr>
        <w:t>考试成绩低于60分的需重修。</w:t>
      </w:r>
    </w:p>
    <w:p w14:paraId="5619538B">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textAlignment w:val="auto"/>
        <w:rPr>
          <w:rFonts w:hint="eastAsia"/>
          <w:color w:val="000000"/>
          <w:sz w:val="24"/>
        </w:rPr>
      </w:pPr>
      <w:r>
        <w:rPr>
          <w:rFonts w:hint="eastAsia"/>
          <w:color w:val="000000"/>
          <w:sz w:val="24"/>
        </w:rPr>
        <w:t>硕士生的课程考核按学校的有关规定执行，凡教学培养计划规定的研究生课程（包括必修课和选修课）都要进行考试或考查。课程考核方式包括考试和考查，可以采用笔试或论文等形式，但是学位课一般采用笔试的方式。无论采取何种考核方式，均应能真实反映学生对所学课程掌握的程度及运用知识的能力，成绩均按百分制成绩评定。</w:t>
      </w:r>
    </w:p>
    <w:p w14:paraId="3922AB68">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0" w:firstLineChars="0"/>
        <w:jc w:val="center"/>
        <w:textAlignment w:val="auto"/>
        <w:rPr>
          <w:rFonts w:eastAsiaTheme="minorEastAsia"/>
          <w:b/>
          <w:bCs/>
          <w:sz w:val="24"/>
        </w:rPr>
      </w:pPr>
      <w:r>
        <w:rPr>
          <w:rFonts w:hint="eastAsia" w:eastAsiaTheme="minorEastAsia"/>
          <w:b/>
          <w:bCs/>
          <w:sz w:val="24"/>
          <w:lang w:eastAsia="zh-CN"/>
        </w:rPr>
        <w:t>宪法学与行政法学</w:t>
      </w:r>
      <w:r>
        <w:rPr>
          <w:rFonts w:eastAsiaTheme="minorEastAsia"/>
          <w:b/>
          <w:bCs/>
          <w:sz w:val="24"/>
        </w:rPr>
        <w:t>专业学术学位硕士研究生课程及培养环节设置一览表</w:t>
      </w:r>
    </w:p>
    <w:tbl>
      <w:tblPr>
        <w:tblStyle w:val="12"/>
        <w:tblW w:w="9314"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028"/>
        <w:gridCol w:w="1504"/>
        <w:gridCol w:w="3238"/>
        <w:gridCol w:w="1081"/>
        <w:gridCol w:w="709"/>
        <w:gridCol w:w="709"/>
        <w:gridCol w:w="1045"/>
      </w:tblGrid>
      <w:tr w14:paraId="551AA30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2532" w:type="dxa"/>
            <w:gridSpan w:val="2"/>
            <w:vAlign w:val="center"/>
          </w:tcPr>
          <w:p w14:paraId="3513732D">
            <w:pPr>
              <w:jc w:val="center"/>
              <w:rPr>
                <w:b/>
                <w:color w:val="auto"/>
                <w:szCs w:val="21"/>
              </w:rPr>
            </w:pPr>
            <w:r>
              <w:rPr>
                <w:b/>
                <w:color w:val="auto"/>
                <w:szCs w:val="21"/>
              </w:rPr>
              <w:t>课程类别</w:t>
            </w:r>
          </w:p>
        </w:tc>
        <w:tc>
          <w:tcPr>
            <w:tcW w:w="3238" w:type="dxa"/>
            <w:vAlign w:val="center"/>
          </w:tcPr>
          <w:p w14:paraId="3C4D588B">
            <w:pPr>
              <w:jc w:val="center"/>
              <w:rPr>
                <w:b/>
                <w:color w:val="auto"/>
                <w:szCs w:val="21"/>
              </w:rPr>
            </w:pPr>
            <w:r>
              <w:rPr>
                <w:b/>
                <w:color w:val="auto"/>
                <w:szCs w:val="21"/>
              </w:rPr>
              <w:t>课程说明</w:t>
            </w:r>
          </w:p>
        </w:tc>
        <w:tc>
          <w:tcPr>
            <w:tcW w:w="1081" w:type="dxa"/>
            <w:vAlign w:val="center"/>
          </w:tcPr>
          <w:p w14:paraId="1809735D">
            <w:pPr>
              <w:jc w:val="center"/>
              <w:rPr>
                <w:rFonts w:hint="eastAsia" w:eastAsia="宋体"/>
                <w:b/>
                <w:color w:val="auto"/>
                <w:szCs w:val="21"/>
                <w:lang w:eastAsia="zh-CN"/>
              </w:rPr>
            </w:pPr>
            <w:r>
              <w:rPr>
                <w:b/>
                <w:color w:val="auto"/>
                <w:szCs w:val="21"/>
              </w:rPr>
              <w:t>课程</w:t>
            </w:r>
            <w:r>
              <w:rPr>
                <w:rFonts w:hint="eastAsia"/>
                <w:b/>
                <w:color w:val="auto"/>
                <w:szCs w:val="21"/>
                <w:lang w:eastAsia="zh-CN"/>
              </w:rPr>
              <w:t>编号</w:t>
            </w:r>
          </w:p>
        </w:tc>
        <w:tc>
          <w:tcPr>
            <w:tcW w:w="709" w:type="dxa"/>
            <w:vAlign w:val="center"/>
          </w:tcPr>
          <w:p w14:paraId="2000C78C">
            <w:pPr>
              <w:jc w:val="center"/>
              <w:rPr>
                <w:b/>
                <w:color w:val="auto"/>
                <w:szCs w:val="21"/>
              </w:rPr>
            </w:pPr>
            <w:r>
              <w:rPr>
                <w:b/>
                <w:color w:val="auto"/>
                <w:szCs w:val="21"/>
              </w:rPr>
              <w:t>学分</w:t>
            </w:r>
          </w:p>
        </w:tc>
        <w:tc>
          <w:tcPr>
            <w:tcW w:w="709" w:type="dxa"/>
            <w:vAlign w:val="center"/>
          </w:tcPr>
          <w:p w14:paraId="1AE16B2F">
            <w:pPr>
              <w:jc w:val="center"/>
              <w:rPr>
                <w:b/>
                <w:color w:val="auto"/>
                <w:szCs w:val="21"/>
              </w:rPr>
            </w:pPr>
            <w:r>
              <w:rPr>
                <w:b/>
                <w:color w:val="auto"/>
                <w:szCs w:val="21"/>
              </w:rPr>
              <w:t>学期</w:t>
            </w:r>
          </w:p>
        </w:tc>
        <w:tc>
          <w:tcPr>
            <w:tcW w:w="1045" w:type="dxa"/>
            <w:vAlign w:val="center"/>
          </w:tcPr>
          <w:p w14:paraId="19DA3FC2">
            <w:pPr>
              <w:jc w:val="center"/>
              <w:rPr>
                <w:b/>
                <w:color w:val="auto"/>
                <w:szCs w:val="21"/>
              </w:rPr>
            </w:pPr>
            <w:r>
              <w:rPr>
                <w:rFonts w:hint="eastAsia"/>
                <w:b/>
                <w:color w:val="auto"/>
                <w:szCs w:val="21"/>
              </w:rPr>
              <w:t>备注</w:t>
            </w:r>
          </w:p>
        </w:tc>
      </w:tr>
      <w:tr w14:paraId="12E2C8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43F107F8">
            <w:pPr>
              <w:jc w:val="center"/>
              <w:rPr>
                <w:b/>
                <w:color w:val="auto"/>
                <w:sz w:val="18"/>
                <w:szCs w:val="18"/>
              </w:rPr>
            </w:pPr>
            <w:r>
              <w:rPr>
                <w:b/>
                <w:color w:val="auto"/>
                <w:sz w:val="18"/>
                <w:szCs w:val="18"/>
              </w:rPr>
              <w:t>学</w:t>
            </w:r>
          </w:p>
          <w:p w14:paraId="22BA05F6">
            <w:pPr>
              <w:jc w:val="center"/>
              <w:rPr>
                <w:b/>
                <w:color w:val="auto"/>
                <w:sz w:val="18"/>
                <w:szCs w:val="18"/>
              </w:rPr>
            </w:pPr>
            <w:r>
              <w:rPr>
                <w:b/>
                <w:color w:val="auto"/>
                <w:sz w:val="18"/>
                <w:szCs w:val="18"/>
              </w:rPr>
              <w:t>位</w:t>
            </w:r>
          </w:p>
          <w:p w14:paraId="79B283BF">
            <w:pPr>
              <w:jc w:val="center"/>
              <w:rPr>
                <w:b/>
                <w:color w:val="auto"/>
                <w:sz w:val="18"/>
                <w:szCs w:val="18"/>
              </w:rPr>
            </w:pPr>
            <w:r>
              <w:rPr>
                <w:b/>
                <w:color w:val="auto"/>
                <w:sz w:val="18"/>
                <w:szCs w:val="18"/>
              </w:rPr>
              <w:t>课</w:t>
            </w:r>
          </w:p>
        </w:tc>
        <w:tc>
          <w:tcPr>
            <w:tcW w:w="1504" w:type="dxa"/>
            <w:vMerge w:val="restart"/>
            <w:vAlign w:val="center"/>
          </w:tcPr>
          <w:p w14:paraId="4D36C436">
            <w:pPr>
              <w:jc w:val="center"/>
              <w:rPr>
                <w:b/>
                <w:color w:val="auto"/>
                <w:sz w:val="18"/>
                <w:szCs w:val="18"/>
              </w:rPr>
            </w:pPr>
            <w:r>
              <w:rPr>
                <w:b/>
                <w:color w:val="auto"/>
                <w:sz w:val="18"/>
                <w:szCs w:val="18"/>
              </w:rPr>
              <w:t>公共必修课</w:t>
            </w:r>
          </w:p>
          <w:p w14:paraId="41BB6511">
            <w:pPr>
              <w:jc w:val="center"/>
              <w:rPr>
                <w:rFonts w:hint="eastAsia" w:eastAsia="宋体"/>
                <w:b/>
                <w:color w:val="auto"/>
                <w:sz w:val="18"/>
                <w:szCs w:val="18"/>
                <w:lang w:eastAsia="zh-CN"/>
              </w:rPr>
            </w:pPr>
            <w:r>
              <w:rPr>
                <w:rFonts w:hint="eastAsia"/>
                <w:b/>
                <w:color w:val="auto"/>
                <w:sz w:val="18"/>
                <w:szCs w:val="18"/>
                <w:lang w:eastAsia="zh-CN"/>
              </w:rPr>
              <w:t>（</w:t>
            </w:r>
            <w:r>
              <w:rPr>
                <w:rFonts w:hint="eastAsia"/>
                <w:b/>
                <w:color w:val="auto"/>
                <w:sz w:val="18"/>
                <w:szCs w:val="18"/>
                <w:lang w:val="en-US" w:eastAsia="zh-CN"/>
              </w:rPr>
              <w:t>4学分</w:t>
            </w:r>
            <w:r>
              <w:rPr>
                <w:rFonts w:hint="eastAsia"/>
                <w:b/>
                <w:color w:val="auto"/>
                <w:sz w:val="18"/>
                <w:szCs w:val="18"/>
                <w:lang w:eastAsia="zh-CN"/>
              </w:rPr>
              <w:t>）</w:t>
            </w:r>
          </w:p>
        </w:tc>
        <w:tc>
          <w:tcPr>
            <w:tcW w:w="3238" w:type="dxa"/>
            <w:vAlign w:val="center"/>
          </w:tcPr>
          <w:p w14:paraId="4B93FCB3">
            <w:pPr>
              <w:rPr>
                <w:color w:val="auto"/>
                <w:sz w:val="18"/>
                <w:szCs w:val="18"/>
              </w:rPr>
            </w:pPr>
            <w:r>
              <w:rPr>
                <w:rFonts w:hint="eastAsia"/>
                <w:color w:val="auto"/>
                <w:sz w:val="18"/>
                <w:szCs w:val="18"/>
              </w:rPr>
              <w:t>新时代</w:t>
            </w:r>
            <w:r>
              <w:rPr>
                <w:color w:val="auto"/>
                <w:sz w:val="18"/>
                <w:szCs w:val="18"/>
              </w:rPr>
              <w:t>中国特色社会主义理论与实践</w:t>
            </w:r>
          </w:p>
        </w:tc>
        <w:tc>
          <w:tcPr>
            <w:tcW w:w="1081" w:type="dxa"/>
            <w:vAlign w:val="center"/>
          </w:tcPr>
          <w:p w14:paraId="3F320BB6">
            <w:pPr>
              <w:jc w:val="center"/>
              <w:rPr>
                <w:color w:val="auto"/>
                <w:sz w:val="18"/>
                <w:szCs w:val="18"/>
              </w:rPr>
            </w:pPr>
            <w:r>
              <w:rPr>
                <w:color w:val="auto"/>
                <w:sz w:val="18"/>
                <w:szCs w:val="18"/>
              </w:rPr>
              <w:t>T</w:t>
            </w:r>
            <w:r>
              <w:rPr>
                <w:rFonts w:hint="eastAsia"/>
                <w:color w:val="auto"/>
                <w:sz w:val="18"/>
                <w:szCs w:val="18"/>
              </w:rPr>
              <w:t>S</w:t>
            </w:r>
            <w:r>
              <w:rPr>
                <w:color w:val="auto"/>
                <w:sz w:val="18"/>
                <w:szCs w:val="18"/>
              </w:rPr>
              <w:t>0000001</w:t>
            </w:r>
          </w:p>
        </w:tc>
        <w:tc>
          <w:tcPr>
            <w:tcW w:w="709" w:type="dxa"/>
            <w:vAlign w:val="center"/>
          </w:tcPr>
          <w:p w14:paraId="2688FF16">
            <w:pPr>
              <w:jc w:val="center"/>
              <w:rPr>
                <w:color w:val="auto"/>
                <w:sz w:val="18"/>
                <w:szCs w:val="18"/>
              </w:rPr>
            </w:pPr>
            <w:r>
              <w:rPr>
                <w:color w:val="auto"/>
                <w:sz w:val="18"/>
                <w:szCs w:val="18"/>
              </w:rPr>
              <w:t>2</w:t>
            </w:r>
          </w:p>
        </w:tc>
        <w:tc>
          <w:tcPr>
            <w:tcW w:w="709" w:type="dxa"/>
            <w:vAlign w:val="center"/>
          </w:tcPr>
          <w:p w14:paraId="030BE172">
            <w:pPr>
              <w:jc w:val="center"/>
              <w:rPr>
                <w:color w:val="auto"/>
                <w:sz w:val="18"/>
                <w:szCs w:val="18"/>
              </w:rPr>
            </w:pPr>
            <w:r>
              <w:rPr>
                <w:color w:val="auto"/>
                <w:sz w:val="18"/>
                <w:szCs w:val="18"/>
              </w:rPr>
              <w:t>1</w:t>
            </w:r>
          </w:p>
        </w:tc>
        <w:tc>
          <w:tcPr>
            <w:tcW w:w="1045" w:type="dxa"/>
            <w:vAlign w:val="center"/>
          </w:tcPr>
          <w:p w14:paraId="1E54C7B6">
            <w:pPr>
              <w:jc w:val="center"/>
              <w:rPr>
                <w:rFonts w:hint="eastAsia" w:eastAsia="宋体"/>
                <w:color w:val="auto"/>
                <w:sz w:val="18"/>
                <w:szCs w:val="18"/>
                <w:lang w:eastAsia="zh-CN"/>
              </w:rPr>
            </w:pPr>
            <w:r>
              <w:rPr>
                <w:rFonts w:hint="eastAsia"/>
                <w:color w:val="auto"/>
                <w:sz w:val="18"/>
                <w:szCs w:val="18"/>
                <w:lang w:eastAsia="zh-CN"/>
              </w:rPr>
              <w:t>考查</w:t>
            </w:r>
          </w:p>
        </w:tc>
      </w:tr>
      <w:tr w14:paraId="1F27B7E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2488A2F6">
            <w:pPr>
              <w:jc w:val="center"/>
              <w:rPr>
                <w:b/>
                <w:color w:val="auto"/>
                <w:sz w:val="18"/>
                <w:szCs w:val="18"/>
              </w:rPr>
            </w:pPr>
          </w:p>
        </w:tc>
        <w:tc>
          <w:tcPr>
            <w:tcW w:w="1504" w:type="dxa"/>
            <w:vMerge w:val="continue"/>
            <w:vAlign w:val="center"/>
          </w:tcPr>
          <w:p w14:paraId="726A15F7">
            <w:pPr>
              <w:jc w:val="center"/>
              <w:rPr>
                <w:b/>
                <w:color w:val="auto"/>
                <w:sz w:val="18"/>
                <w:szCs w:val="18"/>
              </w:rPr>
            </w:pPr>
          </w:p>
        </w:tc>
        <w:tc>
          <w:tcPr>
            <w:tcW w:w="3238" w:type="dxa"/>
            <w:vAlign w:val="center"/>
          </w:tcPr>
          <w:p w14:paraId="3EE57A7A">
            <w:pPr>
              <w:rPr>
                <w:color w:val="auto"/>
                <w:sz w:val="18"/>
                <w:szCs w:val="18"/>
              </w:rPr>
            </w:pPr>
            <w:r>
              <w:rPr>
                <w:rFonts w:hint="eastAsia"/>
                <w:color w:val="auto"/>
                <w:sz w:val="18"/>
                <w:szCs w:val="18"/>
              </w:rPr>
              <w:t>通用学术英语</w:t>
            </w:r>
          </w:p>
        </w:tc>
        <w:tc>
          <w:tcPr>
            <w:tcW w:w="1081" w:type="dxa"/>
            <w:vAlign w:val="center"/>
          </w:tcPr>
          <w:p w14:paraId="6F8043DD">
            <w:pPr>
              <w:jc w:val="center"/>
              <w:rPr>
                <w:color w:val="auto"/>
                <w:sz w:val="18"/>
                <w:szCs w:val="18"/>
              </w:rPr>
            </w:pPr>
            <w:r>
              <w:rPr>
                <w:rFonts w:hint="eastAsia"/>
                <w:color w:val="auto"/>
                <w:sz w:val="18"/>
                <w:szCs w:val="18"/>
              </w:rPr>
              <w:t>T</w:t>
            </w:r>
            <w:r>
              <w:rPr>
                <w:color w:val="auto"/>
                <w:sz w:val="18"/>
                <w:szCs w:val="18"/>
              </w:rPr>
              <w:t>S000000</w:t>
            </w:r>
            <w:r>
              <w:rPr>
                <w:rFonts w:hint="eastAsia"/>
                <w:color w:val="auto"/>
                <w:sz w:val="18"/>
                <w:szCs w:val="18"/>
              </w:rPr>
              <w:t>2</w:t>
            </w:r>
          </w:p>
        </w:tc>
        <w:tc>
          <w:tcPr>
            <w:tcW w:w="709" w:type="dxa"/>
            <w:vAlign w:val="center"/>
          </w:tcPr>
          <w:p w14:paraId="4B299420">
            <w:pPr>
              <w:jc w:val="center"/>
              <w:rPr>
                <w:color w:val="auto"/>
                <w:sz w:val="18"/>
                <w:szCs w:val="18"/>
              </w:rPr>
            </w:pPr>
            <w:r>
              <w:rPr>
                <w:rFonts w:hint="eastAsia"/>
                <w:color w:val="auto"/>
                <w:sz w:val="18"/>
                <w:szCs w:val="18"/>
              </w:rPr>
              <w:t>2</w:t>
            </w:r>
          </w:p>
        </w:tc>
        <w:tc>
          <w:tcPr>
            <w:tcW w:w="709" w:type="dxa"/>
            <w:vAlign w:val="center"/>
          </w:tcPr>
          <w:p w14:paraId="2B76F691">
            <w:pPr>
              <w:jc w:val="center"/>
              <w:rPr>
                <w:color w:val="auto"/>
                <w:sz w:val="18"/>
                <w:szCs w:val="18"/>
              </w:rPr>
            </w:pPr>
            <w:r>
              <w:rPr>
                <w:color w:val="auto"/>
                <w:sz w:val="18"/>
                <w:szCs w:val="18"/>
              </w:rPr>
              <w:t>1</w:t>
            </w:r>
          </w:p>
        </w:tc>
        <w:tc>
          <w:tcPr>
            <w:tcW w:w="1045" w:type="dxa"/>
            <w:vAlign w:val="center"/>
          </w:tcPr>
          <w:p w14:paraId="639CB2A0">
            <w:pPr>
              <w:jc w:val="center"/>
              <w:rPr>
                <w:rFonts w:hint="eastAsia" w:eastAsia="宋体"/>
                <w:color w:val="auto"/>
                <w:sz w:val="18"/>
                <w:szCs w:val="18"/>
                <w:lang w:eastAsia="zh-CN"/>
              </w:rPr>
            </w:pPr>
            <w:r>
              <w:rPr>
                <w:rFonts w:hint="eastAsia"/>
                <w:color w:val="auto"/>
                <w:sz w:val="18"/>
                <w:szCs w:val="18"/>
                <w:lang w:eastAsia="zh-CN"/>
              </w:rPr>
              <w:t>考查</w:t>
            </w:r>
          </w:p>
        </w:tc>
      </w:tr>
      <w:tr w14:paraId="762040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1F59E5E7">
            <w:pPr>
              <w:jc w:val="center"/>
              <w:rPr>
                <w:b/>
                <w:color w:val="auto"/>
                <w:sz w:val="18"/>
                <w:szCs w:val="18"/>
              </w:rPr>
            </w:pPr>
          </w:p>
        </w:tc>
        <w:tc>
          <w:tcPr>
            <w:tcW w:w="1504" w:type="dxa"/>
            <w:vMerge w:val="restart"/>
            <w:vAlign w:val="center"/>
          </w:tcPr>
          <w:p w14:paraId="00A103DC">
            <w:pPr>
              <w:jc w:val="center"/>
              <w:rPr>
                <w:rFonts w:hint="eastAsia"/>
                <w:b/>
                <w:color w:val="auto"/>
                <w:sz w:val="18"/>
                <w:szCs w:val="18"/>
                <w:lang w:eastAsia="zh-CN"/>
              </w:rPr>
            </w:pPr>
            <w:r>
              <w:rPr>
                <w:rFonts w:hint="eastAsia"/>
                <w:b/>
                <w:color w:val="auto"/>
                <w:sz w:val="18"/>
                <w:szCs w:val="18"/>
                <w:lang w:eastAsia="zh-CN"/>
              </w:rPr>
              <w:t>学科基础课</w:t>
            </w:r>
          </w:p>
          <w:p w14:paraId="3BB99D1C">
            <w:pPr>
              <w:jc w:val="center"/>
              <w:rPr>
                <w:rFonts w:hint="eastAsia"/>
                <w:b/>
                <w:color w:val="auto"/>
                <w:sz w:val="18"/>
                <w:szCs w:val="18"/>
                <w:lang w:eastAsia="zh-CN"/>
              </w:rPr>
            </w:pPr>
            <w:r>
              <w:rPr>
                <w:rFonts w:hint="eastAsia"/>
                <w:b/>
                <w:color w:val="auto"/>
                <w:sz w:val="18"/>
                <w:szCs w:val="18"/>
                <w:lang w:eastAsia="zh-CN"/>
              </w:rPr>
              <w:t>（</w:t>
            </w:r>
            <w:r>
              <w:rPr>
                <w:rFonts w:hint="eastAsia"/>
                <w:b/>
                <w:color w:val="auto"/>
                <w:sz w:val="18"/>
                <w:szCs w:val="18"/>
                <w:lang w:val="en-US" w:eastAsia="zh-CN"/>
              </w:rPr>
              <w:t>8学分</w:t>
            </w:r>
            <w:r>
              <w:rPr>
                <w:rFonts w:hint="eastAsia"/>
                <w:b/>
                <w:color w:val="auto"/>
                <w:sz w:val="18"/>
                <w:szCs w:val="18"/>
                <w:lang w:eastAsia="zh-CN"/>
              </w:rPr>
              <w:t>）</w:t>
            </w:r>
          </w:p>
        </w:tc>
        <w:tc>
          <w:tcPr>
            <w:tcW w:w="3238" w:type="dxa"/>
            <w:vAlign w:val="center"/>
          </w:tcPr>
          <w:p w14:paraId="0B015361">
            <w:pPr>
              <w:adjustRightInd w:val="0"/>
              <w:snapToGrid w:val="0"/>
              <w:rPr>
                <w:rFonts w:hint="eastAsia" w:eastAsia="宋体"/>
                <w:color w:val="auto"/>
                <w:sz w:val="18"/>
                <w:szCs w:val="18"/>
                <w:lang w:eastAsia="zh-CN"/>
              </w:rPr>
            </w:pPr>
            <w:r>
              <w:rPr>
                <w:rFonts w:hint="eastAsia"/>
                <w:color w:val="auto"/>
                <w:sz w:val="18"/>
                <w:szCs w:val="18"/>
                <w:lang w:eastAsia="zh-CN"/>
              </w:rPr>
              <w:t>学术道德与论文写作</w:t>
            </w:r>
          </w:p>
        </w:tc>
        <w:tc>
          <w:tcPr>
            <w:tcW w:w="1081" w:type="dxa"/>
            <w:shd w:val="clear" w:color="auto" w:fill="auto"/>
            <w:vAlign w:val="center"/>
          </w:tcPr>
          <w:p w14:paraId="7B07F23D">
            <w:pPr>
              <w:jc w:val="center"/>
              <w:rPr>
                <w:iCs/>
                <w:color w:val="auto"/>
                <w:sz w:val="18"/>
                <w:szCs w:val="18"/>
              </w:rPr>
            </w:pPr>
            <w:r>
              <w:rPr>
                <w:rFonts w:hint="eastAsia"/>
                <w:iCs/>
                <w:color w:val="auto"/>
                <w:sz w:val="18"/>
                <w:szCs w:val="18"/>
              </w:rPr>
              <w:t>XS070</w:t>
            </w:r>
            <w:r>
              <w:rPr>
                <w:rFonts w:hint="eastAsia"/>
                <w:iCs/>
                <w:color w:val="auto"/>
                <w:sz w:val="18"/>
                <w:szCs w:val="18"/>
                <w:lang w:val="en-US" w:eastAsia="zh-CN"/>
              </w:rPr>
              <w:t>2</w:t>
            </w:r>
            <w:r>
              <w:rPr>
                <w:rFonts w:hint="eastAsia"/>
                <w:iCs/>
                <w:color w:val="auto"/>
                <w:sz w:val="18"/>
                <w:szCs w:val="18"/>
              </w:rPr>
              <w:t>001</w:t>
            </w:r>
          </w:p>
        </w:tc>
        <w:tc>
          <w:tcPr>
            <w:tcW w:w="709" w:type="dxa"/>
            <w:vAlign w:val="center"/>
          </w:tcPr>
          <w:p w14:paraId="01F4DC49">
            <w:pPr>
              <w:jc w:val="center"/>
              <w:rPr>
                <w:rFonts w:hint="eastAsia" w:eastAsia="宋体"/>
                <w:iCs/>
                <w:color w:val="auto"/>
                <w:sz w:val="18"/>
                <w:szCs w:val="18"/>
                <w:lang w:eastAsia="zh-CN"/>
              </w:rPr>
            </w:pPr>
            <w:r>
              <w:rPr>
                <w:rFonts w:hint="eastAsia"/>
                <w:iCs/>
                <w:color w:val="auto"/>
                <w:sz w:val="18"/>
                <w:szCs w:val="18"/>
                <w:lang w:val="en-US" w:eastAsia="zh-CN"/>
              </w:rPr>
              <w:t>1</w:t>
            </w:r>
          </w:p>
        </w:tc>
        <w:tc>
          <w:tcPr>
            <w:tcW w:w="709" w:type="dxa"/>
            <w:vAlign w:val="center"/>
          </w:tcPr>
          <w:p w14:paraId="36E367EB">
            <w:pPr>
              <w:jc w:val="center"/>
              <w:rPr>
                <w:iCs/>
                <w:color w:val="auto"/>
                <w:sz w:val="18"/>
                <w:szCs w:val="18"/>
              </w:rPr>
            </w:pPr>
            <w:r>
              <w:rPr>
                <w:rFonts w:hint="eastAsia"/>
                <w:iCs/>
                <w:color w:val="auto"/>
                <w:sz w:val="18"/>
                <w:szCs w:val="18"/>
              </w:rPr>
              <w:t>1</w:t>
            </w:r>
          </w:p>
        </w:tc>
        <w:tc>
          <w:tcPr>
            <w:tcW w:w="1045" w:type="dxa"/>
            <w:vAlign w:val="center"/>
          </w:tcPr>
          <w:p w14:paraId="153B7D19">
            <w:pPr>
              <w:jc w:val="center"/>
              <w:rPr>
                <w:rFonts w:hint="eastAsia" w:eastAsia="宋体"/>
                <w:iCs/>
                <w:color w:val="auto"/>
                <w:sz w:val="18"/>
                <w:szCs w:val="18"/>
                <w:lang w:eastAsia="zh-CN"/>
              </w:rPr>
            </w:pPr>
            <w:r>
              <w:rPr>
                <w:rFonts w:hint="eastAsia"/>
                <w:iCs/>
                <w:color w:val="auto"/>
                <w:sz w:val="18"/>
                <w:szCs w:val="18"/>
              </w:rPr>
              <w:t>考</w:t>
            </w:r>
            <w:r>
              <w:rPr>
                <w:rFonts w:hint="eastAsia"/>
                <w:iCs/>
                <w:color w:val="auto"/>
                <w:sz w:val="18"/>
                <w:szCs w:val="18"/>
                <w:lang w:eastAsia="zh-CN"/>
              </w:rPr>
              <w:t>查</w:t>
            </w:r>
          </w:p>
        </w:tc>
      </w:tr>
      <w:tr w14:paraId="4D5345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16EF1C27">
            <w:pPr>
              <w:jc w:val="center"/>
              <w:rPr>
                <w:b/>
                <w:color w:val="auto"/>
                <w:sz w:val="18"/>
                <w:szCs w:val="18"/>
              </w:rPr>
            </w:pPr>
          </w:p>
        </w:tc>
        <w:tc>
          <w:tcPr>
            <w:tcW w:w="1504" w:type="dxa"/>
            <w:vMerge w:val="continue"/>
            <w:vAlign w:val="center"/>
          </w:tcPr>
          <w:p w14:paraId="25092307">
            <w:pPr>
              <w:jc w:val="center"/>
              <w:rPr>
                <w:b/>
                <w:color w:val="auto"/>
                <w:sz w:val="18"/>
                <w:szCs w:val="18"/>
              </w:rPr>
            </w:pPr>
          </w:p>
        </w:tc>
        <w:tc>
          <w:tcPr>
            <w:tcW w:w="3238" w:type="dxa"/>
            <w:vAlign w:val="center"/>
          </w:tcPr>
          <w:p w14:paraId="79CFB99E">
            <w:pPr>
              <w:adjustRightInd w:val="0"/>
              <w:snapToGrid w:val="0"/>
              <w:rPr>
                <w:rFonts w:hint="eastAsia" w:eastAsia="宋体"/>
                <w:color w:val="auto"/>
                <w:sz w:val="18"/>
                <w:szCs w:val="18"/>
                <w:lang w:eastAsia="zh-CN"/>
              </w:rPr>
            </w:pPr>
            <w:r>
              <w:rPr>
                <w:rFonts w:hint="eastAsia"/>
                <w:color w:val="auto"/>
                <w:sz w:val="18"/>
                <w:szCs w:val="18"/>
                <w:lang w:eastAsia="zh-CN"/>
              </w:rPr>
              <w:t>专业学术英语</w:t>
            </w:r>
          </w:p>
        </w:tc>
        <w:tc>
          <w:tcPr>
            <w:tcW w:w="1081" w:type="dxa"/>
            <w:shd w:val="clear" w:color="auto" w:fill="auto"/>
            <w:vAlign w:val="center"/>
          </w:tcPr>
          <w:p w14:paraId="74C5E1C1">
            <w:pPr>
              <w:jc w:val="center"/>
              <w:rPr>
                <w:iCs/>
                <w:color w:val="auto"/>
                <w:sz w:val="18"/>
                <w:szCs w:val="18"/>
              </w:rPr>
            </w:pPr>
            <w:r>
              <w:rPr>
                <w:rFonts w:hint="eastAsia"/>
                <w:iCs/>
                <w:color w:val="auto"/>
                <w:sz w:val="18"/>
                <w:szCs w:val="18"/>
              </w:rPr>
              <w:t>XS070</w:t>
            </w:r>
            <w:r>
              <w:rPr>
                <w:rFonts w:hint="eastAsia"/>
                <w:iCs/>
                <w:color w:val="auto"/>
                <w:sz w:val="18"/>
                <w:szCs w:val="18"/>
                <w:lang w:val="en-US" w:eastAsia="zh-CN"/>
              </w:rPr>
              <w:t>2</w:t>
            </w:r>
            <w:r>
              <w:rPr>
                <w:rFonts w:hint="eastAsia"/>
                <w:iCs/>
                <w:color w:val="auto"/>
                <w:sz w:val="18"/>
                <w:szCs w:val="18"/>
              </w:rPr>
              <w:t>002</w:t>
            </w:r>
          </w:p>
        </w:tc>
        <w:tc>
          <w:tcPr>
            <w:tcW w:w="709" w:type="dxa"/>
            <w:vAlign w:val="center"/>
          </w:tcPr>
          <w:p w14:paraId="6D4F30F6">
            <w:pPr>
              <w:jc w:val="center"/>
              <w:rPr>
                <w:rFonts w:hint="eastAsia" w:eastAsia="宋体"/>
                <w:iCs/>
                <w:color w:val="auto"/>
                <w:sz w:val="18"/>
                <w:szCs w:val="18"/>
                <w:lang w:eastAsia="zh-CN"/>
              </w:rPr>
            </w:pPr>
            <w:r>
              <w:rPr>
                <w:rFonts w:hint="eastAsia"/>
                <w:iCs/>
                <w:color w:val="auto"/>
                <w:sz w:val="18"/>
                <w:szCs w:val="18"/>
                <w:lang w:val="en-US" w:eastAsia="zh-CN"/>
              </w:rPr>
              <w:t>2</w:t>
            </w:r>
          </w:p>
        </w:tc>
        <w:tc>
          <w:tcPr>
            <w:tcW w:w="709" w:type="dxa"/>
            <w:vAlign w:val="center"/>
          </w:tcPr>
          <w:p w14:paraId="011B487B">
            <w:pPr>
              <w:jc w:val="center"/>
              <w:rPr>
                <w:rFonts w:hint="eastAsia" w:eastAsia="宋体"/>
                <w:iCs/>
                <w:color w:val="auto"/>
                <w:sz w:val="18"/>
                <w:szCs w:val="18"/>
                <w:lang w:eastAsia="zh-CN"/>
              </w:rPr>
            </w:pPr>
            <w:r>
              <w:rPr>
                <w:rFonts w:hint="eastAsia"/>
                <w:iCs/>
                <w:color w:val="auto"/>
                <w:sz w:val="18"/>
                <w:szCs w:val="18"/>
                <w:lang w:val="en-US" w:eastAsia="zh-CN"/>
              </w:rPr>
              <w:t>2</w:t>
            </w:r>
          </w:p>
        </w:tc>
        <w:tc>
          <w:tcPr>
            <w:tcW w:w="1045" w:type="dxa"/>
            <w:vAlign w:val="center"/>
          </w:tcPr>
          <w:p w14:paraId="029DE324">
            <w:pPr>
              <w:jc w:val="center"/>
              <w:rPr>
                <w:rFonts w:hint="eastAsia" w:eastAsia="宋体"/>
                <w:iCs/>
                <w:color w:val="auto"/>
                <w:sz w:val="18"/>
                <w:szCs w:val="18"/>
                <w:lang w:eastAsia="zh-CN"/>
              </w:rPr>
            </w:pPr>
            <w:r>
              <w:rPr>
                <w:rFonts w:hint="eastAsia"/>
                <w:iCs/>
                <w:color w:val="auto"/>
                <w:sz w:val="18"/>
                <w:szCs w:val="18"/>
                <w:lang w:eastAsia="zh-CN"/>
              </w:rPr>
              <w:t>考试</w:t>
            </w:r>
          </w:p>
        </w:tc>
      </w:tr>
      <w:tr w14:paraId="225852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77FA6609">
            <w:pPr>
              <w:jc w:val="center"/>
              <w:rPr>
                <w:b/>
                <w:color w:val="auto"/>
                <w:sz w:val="18"/>
                <w:szCs w:val="18"/>
              </w:rPr>
            </w:pPr>
          </w:p>
        </w:tc>
        <w:tc>
          <w:tcPr>
            <w:tcW w:w="1504" w:type="dxa"/>
            <w:vMerge w:val="continue"/>
            <w:vAlign w:val="center"/>
          </w:tcPr>
          <w:p w14:paraId="04FE4F95">
            <w:pPr>
              <w:jc w:val="center"/>
              <w:rPr>
                <w:b/>
                <w:color w:val="auto"/>
                <w:sz w:val="18"/>
                <w:szCs w:val="18"/>
              </w:rPr>
            </w:pPr>
          </w:p>
        </w:tc>
        <w:tc>
          <w:tcPr>
            <w:tcW w:w="3238" w:type="dxa"/>
            <w:vAlign w:val="center"/>
          </w:tcPr>
          <w:p w14:paraId="16C3B9E7">
            <w:pPr>
              <w:rPr>
                <w:rFonts w:hint="eastAsia" w:eastAsia="宋体"/>
                <w:color w:val="auto"/>
                <w:sz w:val="18"/>
                <w:szCs w:val="18"/>
                <w:highlight w:val="none"/>
                <w:lang w:eastAsia="zh-CN"/>
              </w:rPr>
            </w:pPr>
            <w:r>
              <w:rPr>
                <w:rFonts w:hint="eastAsia"/>
                <w:color w:val="auto"/>
                <w:sz w:val="18"/>
                <w:szCs w:val="18"/>
                <w:highlight w:val="none"/>
                <w:lang w:eastAsia="zh-CN"/>
              </w:rPr>
              <w:t>法学前沿</w:t>
            </w:r>
          </w:p>
        </w:tc>
        <w:tc>
          <w:tcPr>
            <w:tcW w:w="1081" w:type="dxa"/>
            <w:shd w:val="clear" w:color="auto" w:fill="auto"/>
            <w:vAlign w:val="center"/>
          </w:tcPr>
          <w:p w14:paraId="5056181E">
            <w:pPr>
              <w:jc w:val="center"/>
              <w:rPr>
                <w:iCs/>
                <w:color w:val="auto"/>
                <w:sz w:val="18"/>
                <w:szCs w:val="18"/>
              </w:rPr>
            </w:pPr>
            <w:r>
              <w:rPr>
                <w:rFonts w:hint="eastAsia"/>
                <w:iCs/>
                <w:color w:val="auto"/>
                <w:sz w:val="18"/>
                <w:szCs w:val="18"/>
              </w:rPr>
              <w:t>XS070</w:t>
            </w:r>
            <w:r>
              <w:rPr>
                <w:rFonts w:hint="eastAsia"/>
                <w:iCs/>
                <w:color w:val="auto"/>
                <w:sz w:val="18"/>
                <w:szCs w:val="18"/>
                <w:lang w:val="en-US" w:eastAsia="zh-CN"/>
              </w:rPr>
              <w:t>2</w:t>
            </w:r>
            <w:r>
              <w:rPr>
                <w:rFonts w:hint="eastAsia"/>
                <w:iCs/>
                <w:color w:val="auto"/>
                <w:sz w:val="18"/>
                <w:szCs w:val="18"/>
              </w:rPr>
              <w:t>003</w:t>
            </w:r>
          </w:p>
        </w:tc>
        <w:tc>
          <w:tcPr>
            <w:tcW w:w="709" w:type="dxa"/>
            <w:vAlign w:val="center"/>
          </w:tcPr>
          <w:p w14:paraId="68AE6098">
            <w:pPr>
              <w:jc w:val="center"/>
              <w:rPr>
                <w:rFonts w:hint="eastAsia" w:eastAsia="宋体"/>
                <w:iCs/>
                <w:color w:val="auto"/>
                <w:sz w:val="18"/>
                <w:szCs w:val="18"/>
                <w:lang w:eastAsia="zh-CN"/>
              </w:rPr>
            </w:pPr>
            <w:r>
              <w:rPr>
                <w:rFonts w:hint="eastAsia"/>
                <w:iCs/>
                <w:color w:val="auto"/>
                <w:sz w:val="18"/>
                <w:szCs w:val="18"/>
                <w:lang w:val="en-US" w:eastAsia="zh-CN"/>
              </w:rPr>
              <w:t>2</w:t>
            </w:r>
          </w:p>
        </w:tc>
        <w:tc>
          <w:tcPr>
            <w:tcW w:w="709" w:type="dxa"/>
            <w:vAlign w:val="center"/>
          </w:tcPr>
          <w:p w14:paraId="27F86C0C">
            <w:pPr>
              <w:jc w:val="center"/>
              <w:rPr>
                <w:iCs/>
                <w:color w:val="auto"/>
                <w:sz w:val="18"/>
                <w:szCs w:val="18"/>
              </w:rPr>
            </w:pPr>
            <w:r>
              <w:rPr>
                <w:rFonts w:hint="eastAsia"/>
                <w:iCs/>
                <w:color w:val="auto"/>
                <w:sz w:val="18"/>
                <w:szCs w:val="18"/>
              </w:rPr>
              <w:t>2</w:t>
            </w:r>
          </w:p>
        </w:tc>
        <w:tc>
          <w:tcPr>
            <w:tcW w:w="1045" w:type="dxa"/>
            <w:vAlign w:val="center"/>
          </w:tcPr>
          <w:p w14:paraId="58C86F18">
            <w:pPr>
              <w:jc w:val="center"/>
              <w:rPr>
                <w:iCs/>
                <w:color w:val="auto"/>
                <w:sz w:val="18"/>
                <w:szCs w:val="18"/>
              </w:rPr>
            </w:pPr>
            <w:r>
              <w:rPr>
                <w:rFonts w:hint="eastAsia"/>
                <w:iCs/>
                <w:color w:val="auto"/>
                <w:sz w:val="18"/>
                <w:szCs w:val="18"/>
              </w:rPr>
              <w:t>考查</w:t>
            </w:r>
          </w:p>
        </w:tc>
      </w:tr>
      <w:tr w14:paraId="1D486BF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64BA8BEF">
            <w:pPr>
              <w:jc w:val="center"/>
              <w:rPr>
                <w:b/>
                <w:color w:val="auto"/>
                <w:sz w:val="18"/>
                <w:szCs w:val="18"/>
              </w:rPr>
            </w:pPr>
          </w:p>
        </w:tc>
        <w:tc>
          <w:tcPr>
            <w:tcW w:w="1504" w:type="dxa"/>
            <w:vMerge w:val="continue"/>
            <w:vAlign w:val="center"/>
          </w:tcPr>
          <w:p w14:paraId="112747DC">
            <w:pPr>
              <w:jc w:val="center"/>
              <w:rPr>
                <w:b/>
                <w:color w:val="auto"/>
                <w:sz w:val="18"/>
                <w:szCs w:val="18"/>
              </w:rPr>
            </w:pPr>
          </w:p>
        </w:tc>
        <w:tc>
          <w:tcPr>
            <w:tcW w:w="3238" w:type="dxa"/>
            <w:shd w:val="clear" w:color="auto" w:fill="auto"/>
            <w:vAlign w:val="center"/>
          </w:tcPr>
          <w:p w14:paraId="3276ECAA">
            <w:pPr>
              <w:rPr>
                <w:rFonts w:hint="eastAsia" w:ascii="Times New Roman" w:hAnsi="Times New Roman" w:eastAsia="宋体"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法学方法论</w:t>
            </w:r>
          </w:p>
        </w:tc>
        <w:tc>
          <w:tcPr>
            <w:tcW w:w="1081" w:type="dxa"/>
            <w:shd w:val="clear" w:color="auto" w:fill="auto"/>
            <w:vAlign w:val="center"/>
          </w:tcPr>
          <w:p w14:paraId="2B671BBA">
            <w:pPr>
              <w:jc w:val="center"/>
              <w:rPr>
                <w:rFonts w:hint="default" w:ascii="Times New Roman" w:hAnsi="Times New Roman" w:eastAsia="宋体" w:cs="Times New Roman"/>
                <w:color w:val="auto"/>
                <w:kern w:val="2"/>
                <w:sz w:val="18"/>
                <w:szCs w:val="18"/>
                <w:highlight w:val="yellow"/>
                <w:lang w:val="en-US" w:eastAsia="zh-CN" w:bidi="ar-SA"/>
              </w:rPr>
            </w:pPr>
            <w:r>
              <w:rPr>
                <w:rFonts w:hint="eastAsia" w:ascii="Times New Roman" w:hAnsi="Times New Roman" w:eastAsia="宋体" w:cs="Times New Roman"/>
                <w:color w:val="auto"/>
                <w:kern w:val="2"/>
                <w:sz w:val="18"/>
                <w:szCs w:val="18"/>
                <w:highlight w:val="none"/>
                <w:lang w:val="en-US" w:eastAsia="zh-CN" w:bidi="ar-SA"/>
              </w:rPr>
              <w:t>XS070</w:t>
            </w:r>
            <w:r>
              <w:rPr>
                <w:rFonts w:hint="eastAsia" w:cs="Times New Roman"/>
                <w:color w:val="auto"/>
                <w:kern w:val="2"/>
                <w:sz w:val="18"/>
                <w:szCs w:val="18"/>
                <w:highlight w:val="none"/>
                <w:lang w:val="en-US" w:eastAsia="zh-CN" w:bidi="ar-SA"/>
              </w:rPr>
              <w:t>2</w:t>
            </w:r>
            <w:r>
              <w:rPr>
                <w:rFonts w:hint="eastAsia" w:ascii="Times New Roman" w:hAnsi="Times New Roman" w:eastAsia="宋体" w:cs="Times New Roman"/>
                <w:color w:val="auto"/>
                <w:kern w:val="2"/>
                <w:sz w:val="18"/>
                <w:szCs w:val="18"/>
                <w:highlight w:val="none"/>
                <w:lang w:val="en-US" w:eastAsia="zh-CN" w:bidi="ar-SA"/>
              </w:rPr>
              <w:t>00</w:t>
            </w:r>
            <w:r>
              <w:rPr>
                <w:rFonts w:hint="eastAsia" w:cs="Times New Roman"/>
                <w:color w:val="auto"/>
                <w:kern w:val="2"/>
                <w:sz w:val="18"/>
                <w:szCs w:val="18"/>
                <w:highlight w:val="none"/>
                <w:lang w:val="en-US" w:eastAsia="zh-CN" w:bidi="ar-SA"/>
              </w:rPr>
              <w:t>4</w:t>
            </w:r>
          </w:p>
        </w:tc>
        <w:tc>
          <w:tcPr>
            <w:tcW w:w="709" w:type="dxa"/>
            <w:shd w:val="clear" w:color="auto" w:fill="auto"/>
            <w:vAlign w:val="center"/>
          </w:tcPr>
          <w:p w14:paraId="40AFDC7A">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lang w:val="en-US" w:eastAsia="zh-CN"/>
              </w:rPr>
              <w:t>1</w:t>
            </w:r>
          </w:p>
        </w:tc>
        <w:tc>
          <w:tcPr>
            <w:tcW w:w="709" w:type="dxa"/>
            <w:shd w:val="clear" w:color="auto" w:fill="auto"/>
            <w:vAlign w:val="center"/>
          </w:tcPr>
          <w:p w14:paraId="3DC93CBE">
            <w:pPr>
              <w:jc w:val="center"/>
              <w:rPr>
                <w:rFonts w:hint="eastAsia" w:ascii="Times New Roman" w:hAnsi="Times New Roman" w:eastAsia="宋体" w:cs="Times New Roman"/>
                <w:color w:val="auto"/>
                <w:kern w:val="2"/>
                <w:sz w:val="18"/>
                <w:szCs w:val="18"/>
                <w:highlight w:val="none"/>
                <w:lang w:val="en-US" w:eastAsia="zh-CN" w:bidi="ar-SA"/>
              </w:rPr>
            </w:pPr>
            <w:r>
              <w:rPr>
                <w:rFonts w:hint="eastAsia"/>
                <w:color w:val="auto"/>
                <w:sz w:val="18"/>
                <w:szCs w:val="18"/>
                <w:highlight w:val="none"/>
              </w:rPr>
              <w:t>2</w:t>
            </w:r>
          </w:p>
        </w:tc>
        <w:tc>
          <w:tcPr>
            <w:tcW w:w="1045" w:type="dxa"/>
            <w:shd w:val="clear" w:color="auto" w:fill="auto"/>
            <w:vAlign w:val="center"/>
          </w:tcPr>
          <w:p w14:paraId="2028D6FD">
            <w:pPr>
              <w:jc w:val="center"/>
              <w:rPr>
                <w:rFonts w:hint="eastAsia" w:ascii="Times New Roman" w:hAnsi="Times New Roman" w:eastAsia="宋体" w:cs="Times New Roman"/>
                <w:color w:val="auto"/>
                <w:kern w:val="2"/>
                <w:sz w:val="18"/>
                <w:szCs w:val="18"/>
                <w:highlight w:val="yellow"/>
                <w:lang w:val="en-US" w:eastAsia="zh-CN" w:bidi="ar-SA"/>
              </w:rPr>
            </w:pPr>
            <w:r>
              <w:rPr>
                <w:rFonts w:hint="eastAsia" w:cs="Times New Roman"/>
                <w:color w:val="auto"/>
                <w:kern w:val="2"/>
                <w:sz w:val="18"/>
                <w:szCs w:val="18"/>
                <w:highlight w:val="none"/>
                <w:lang w:val="en-US" w:eastAsia="zh-CN" w:bidi="ar-SA"/>
              </w:rPr>
              <w:t>考查</w:t>
            </w:r>
          </w:p>
        </w:tc>
      </w:tr>
      <w:tr w14:paraId="7A55468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08CB7619">
            <w:pPr>
              <w:jc w:val="center"/>
              <w:rPr>
                <w:b/>
                <w:color w:val="auto"/>
                <w:sz w:val="18"/>
                <w:szCs w:val="18"/>
              </w:rPr>
            </w:pPr>
          </w:p>
        </w:tc>
        <w:tc>
          <w:tcPr>
            <w:tcW w:w="1504" w:type="dxa"/>
            <w:vMerge w:val="continue"/>
            <w:vAlign w:val="center"/>
          </w:tcPr>
          <w:p w14:paraId="55ECBD30">
            <w:pPr>
              <w:jc w:val="center"/>
              <w:rPr>
                <w:b/>
                <w:color w:val="auto"/>
                <w:sz w:val="18"/>
                <w:szCs w:val="18"/>
              </w:rPr>
            </w:pPr>
          </w:p>
        </w:tc>
        <w:tc>
          <w:tcPr>
            <w:tcW w:w="3238" w:type="dxa"/>
            <w:shd w:val="clear" w:color="auto" w:fill="auto"/>
            <w:vAlign w:val="center"/>
          </w:tcPr>
          <w:p w14:paraId="00045277">
            <w:pPr>
              <w:adjustRightInd w:val="0"/>
              <w:snapToGrid w:val="0"/>
              <w:rPr>
                <w:rFonts w:hint="eastAsia" w:ascii="Times New Roman" w:hAnsi="Times New Roman" w:eastAsia="宋体" w:cs="Times New Roman"/>
                <w:iCs/>
                <w:color w:val="auto"/>
                <w:kern w:val="2"/>
                <w:sz w:val="18"/>
                <w:szCs w:val="18"/>
                <w:highlight w:val="none"/>
                <w:lang w:val="en-US" w:eastAsia="zh-CN" w:bidi="ar-SA"/>
              </w:rPr>
            </w:pPr>
            <w:r>
              <w:rPr>
                <w:rFonts w:hint="eastAsia"/>
                <w:iCs/>
                <w:color w:val="auto"/>
                <w:sz w:val="18"/>
                <w:szCs w:val="18"/>
                <w:highlight w:val="none"/>
              </w:rPr>
              <w:t>法学原著导读</w:t>
            </w:r>
          </w:p>
        </w:tc>
        <w:tc>
          <w:tcPr>
            <w:tcW w:w="1081" w:type="dxa"/>
            <w:shd w:val="clear" w:color="auto" w:fill="auto"/>
            <w:vAlign w:val="center"/>
          </w:tcPr>
          <w:p w14:paraId="656C190A">
            <w:pPr>
              <w:jc w:val="center"/>
              <w:rPr>
                <w:rFonts w:hint="default" w:ascii="Times New Roman" w:hAnsi="Times New Roman" w:eastAsia="宋体" w:cs="Times New Roman"/>
                <w:iCs/>
                <w:color w:val="auto"/>
                <w:kern w:val="2"/>
                <w:sz w:val="18"/>
                <w:szCs w:val="18"/>
                <w:lang w:val="en-US" w:eastAsia="zh-CN" w:bidi="ar-SA"/>
              </w:rPr>
            </w:pPr>
            <w:r>
              <w:rPr>
                <w:rFonts w:hint="eastAsia" w:ascii="Times New Roman" w:hAnsi="Times New Roman" w:eastAsia="宋体" w:cs="Times New Roman"/>
                <w:color w:val="auto"/>
                <w:kern w:val="2"/>
                <w:sz w:val="18"/>
                <w:szCs w:val="18"/>
                <w:highlight w:val="none"/>
                <w:lang w:val="en-US" w:eastAsia="zh-CN" w:bidi="ar-SA"/>
              </w:rPr>
              <w:t>XS070</w:t>
            </w:r>
            <w:r>
              <w:rPr>
                <w:rFonts w:hint="eastAsia" w:cs="Times New Roman"/>
                <w:color w:val="auto"/>
                <w:kern w:val="2"/>
                <w:sz w:val="18"/>
                <w:szCs w:val="18"/>
                <w:highlight w:val="none"/>
                <w:lang w:val="en-US" w:eastAsia="zh-CN" w:bidi="ar-SA"/>
              </w:rPr>
              <w:t>2</w:t>
            </w:r>
            <w:r>
              <w:rPr>
                <w:rFonts w:hint="eastAsia" w:ascii="Times New Roman" w:hAnsi="Times New Roman" w:eastAsia="宋体" w:cs="Times New Roman"/>
                <w:color w:val="auto"/>
                <w:kern w:val="2"/>
                <w:sz w:val="18"/>
                <w:szCs w:val="18"/>
                <w:highlight w:val="none"/>
                <w:lang w:val="en-US" w:eastAsia="zh-CN" w:bidi="ar-SA"/>
              </w:rPr>
              <w:t>00</w:t>
            </w:r>
            <w:r>
              <w:rPr>
                <w:rFonts w:hint="eastAsia" w:cs="Times New Roman"/>
                <w:color w:val="auto"/>
                <w:kern w:val="2"/>
                <w:sz w:val="18"/>
                <w:szCs w:val="18"/>
                <w:highlight w:val="none"/>
                <w:lang w:val="en-US" w:eastAsia="zh-CN" w:bidi="ar-SA"/>
              </w:rPr>
              <w:t>5</w:t>
            </w:r>
          </w:p>
        </w:tc>
        <w:tc>
          <w:tcPr>
            <w:tcW w:w="709" w:type="dxa"/>
            <w:shd w:val="clear" w:color="auto" w:fill="auto"/>
            <w:vAlign w:val="center"/>
          </w:tcPr>
          <w:p w14:paraId="7C6B19B4">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5BEE43A0">
            <w:pPr>
              <w:jc w:val="center"/>
              <w:rPr>
                <w:rFonts w:hint="eastAsia" w:ascii="Times New Roman" w:hAnsi="Times New Roman" w:eastAsia="宋体" w:cs="Times New Roman"/>
                <w:iCs/>
                <w:color w:val="auto"/>
                <w:kern w:val="2"/>
                <w:sz w:val="18"/>
                <w:szCs w:val="18"/>
                <w:lang w:val="en-US" w:eastAsia="zh-CN" w:bidi="ar-SA"/>
              </w:rPr>
            </w:pPr>
            <w:r>
              <w:rPr>
                <w:rFonts w:hint="eastAsia"/>
                <w:iCs/>
                <w:color w:val="auto"/>
                <w:sz w:val="18"/>
                <w:szCs w:val="18"/>
                <w:lang w:val="en-US" w:eastAsia="zh-CN"/>
              </w:rPr>
              <w:t>1</w:t>
            </w:r>
          </w:p>
        </w:tc>
        <w:tc>
          <w:tcPr>
            <w:tcW w:w="1045" w:type="dxa"/>
            <w:shd w:val="clear" w:color="auto" w:fill="auto"/>
            <w:vAlign w:val="center"/>
          </w:tcPr>
          <w:p w14:paraId="1A13D442">
            <w:pPr>
              <w:jc w:val="center"/>
              <w:rPr>
                <w:rFonts w:hint="eastAsia" w:cs="Times New Roman"/>
                <w:color w:val="auto"/>
                <w:kern w:val="2"/>
                <w:sz w:val="18"/>
                <w:szCs w:val="18"/>
                <w:highlight w:val="none"/>
                <w:lang w:val="en-US" w:eastAsia="zh-CN" w:bidi="ar-SA"/>
              </w:rPr>
            </w:pPr>
            <w:r>
              <w:rPr>
                <w:rFonts w:hint="eastAsia" w:cs="Times New Roman"/>
                <w:color w:val="auto"/>
                <w:kern w:val="2"/>
                <w:sz w:val="18"/>
                <w:szCs w:val="18"/>
                <w:highlight w:val="none"/>
                <w:lang w:val="en-US" w:eastAsia="zh-CN" w:bidi="ar-SA"/>
              </w:rPr>
              <w:t>考查</w:t>
            </w:r>
          </w:p>
        </w:tc>
      </w:tr>
      <w:tr w14:paraId="0E446CA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6BA2295F">
            <w:pPr>
              <w:jc w:val="center"/>
              <w:rPr>
                <w:b/>
                <w:color w:val="auto"/>
                <w:sz w:val="18"/>
                <w:szCs w:val="18"/>
              </w:rPr>
            </w:pPr>
          </w:p>
        </w:tc>
        <w:tc>
          <w:tcPr>
            <w:tcW w:w="1504" w:type="dxa"/>
            <w:vMerge w:val="restart"/>
            <w:vAlign w:val="center"/>
          </w:tcPr>
          <w:p w14:paraId="2E6F66EB">
            <w:pPr>
              <w:jc w:val="center"/>
              <w:rPr>
                <w:b/>
                <w:color w:val="auto"/>
                <w:sz w:val="18"/>
                <w:szCs w:val="18"/>
              </w:rPr>
            </w:pPr>
            <w:r>
              <w:rPr>
                <w:b/>
                <w:color w:val="auto"/>
                <w:sz w:val="18"/>
                <w:szCs w:val="18"/>
              </w:rPr>
              <w:t>专业必修课</w:t>
            </w:r>
          </w:p>
          <w:p w14:paraId="7DFB707F">
            <w:pPr>
              <w:jc w:val="center"/>
              <w:rPr>
                <w:rFonts w:hint="eastAsia" w:eastAsia="宋体"/>
                <w:b/>
                <w:color w:val="auto"/>
                <w:sz w:val="18"/>
                <w:szCs w:val="18"/>
                <w:lang w:eastAsia="zh-CN"/>
              </w:rPr>
            </w:pPr>
            <w:r>
              <w:rPr>
                <w:rFonts w:hint="eastAsia"/>
                <w:b/>
                <w:color w:val="auto"/>
                <w:sz w:val="18"/>
                <w:szCs w:val="18"/>
                <w:lang w:eastAsia="zh-CN"/>
              </w:rPr>
              <w:t>（</w:t>
            </w:r>
            <w:r>
              <w:rPr>
                <w:rFonts w:hint="eastAsia"/>
                <w:b/>
                <w:color w:val="auto"/>
                <w:sz w:val="18"/>
                <w:szCs w:val="18"/>
                <w:lang w:val="en-US" w:eastAsia="zh-CN"/>
              </w:rPr>
              <w:t>3学分</w:t>
            </w:r>
            <w:r>
              <w:rPr>
                <w:rFonts w:hint="eastAsia"/>
                <w:b/>
                <w:color w:val="auto"/>
                <w:sz w:val="18"/>
                <w:szCs w:val="18"/>
                <w:lang w:eastAsia="zh-CN"/>
              </w:rPr>
              <w:t>）</w:t>
            </w:r>
          </w:p>
        </w:tc>
        <w:tc>
          <w:tcPr>
            <w:tcW w:w="3238" w:type="dxa"/>
            <w:shd w:val="clear" w:color="auto" w:fill="auto"/>
            <w:vAlign w:val="center"/>
          </w:tcPr>
          <w:p w14:paraId="71909E0A">
            <w:pPr>
              <w:adjustRightInd w:val="0"/>
              <w:snapToGrid w:val="0"/>
              <w:rPr>
                <w:rFonts w:ascii="Times New Roman" w:hAnsi="Times New Roman" w:eastAsia="宋体" w:cs="Times New Roman"/>
                <w:color w:val="auto"/>
                <w:kern w:val="2"/>
                <w:sz w:val="18"/>
                <w:szCs w:val="18"/>
                <w:lang w:val="en-US" w:eastAsia="zh-CN" w:bidi="ar-SA"/>
              </w:rPr>
            </w:pPr>
            <w:r>
              <w:rPr>
                <w:rFonts w:hint="eastAsia"/>
                <w:color w:val="auto"/>
                <w:sz w:val="18"/>
                <w:szCs w:val="18"/>
              </w:rPr>
              <w:t>习近平法治思想专题</w:t>
            </w:r>
          </w:p>
        </w:tc>
        <w:tc>
          <w:tcPr>
            <w:tcW w:w="1081" w:type="dxa"/>
            <w:shd w:val="clear" w:color="auto" w:fill="auto"/>
            <w:vAlign w:val="center"/>
          </w:tcPr>
          <w:p w14:paraId="5854DFA0">
            <w:pPr>
              <w:jc w:val="center"/>
              <w:rPr>
                <w:rFonts w:hint="eastAsia" w:ascii="Times New Roman" w:hAnsi="Times New Roman" w:eastAsia="宋体" w:cs="Times New Roman"/>
                <w:iCs/>
                <w:color w:val="auto"/>
                <w:kern w:val="2"/>
                <w:sz w:val="18"/>
                <w:szCs w:val="18"/>
                <w:lang w:val="en-US" w:eastAsia="zh-CN" w:bidi="ar-SA"/>
              </w:rPr>
            </w:pPr>
            <w:r>
              <w:rPr>
                <w:rFonts w:hint="eastAsia"/>
                <w:iCs/>
                <w:color w:val="auto"/>
                <w:sz w:val="18"/>
                <w:szCs w:val="18"/>
              </w:rPr>
              <w:t>XS07030</w:t>
            </w:r>
            <w:r>
              <w:rPr>
                <w:rFonts w:hint="eastAsia"/>
                <w:iCs/>
                <w:color w:val="auto"/>
                <w:sz w:val="18"/>
                <w:szCs w:val="18"/>
                <w:lang w:val="en-US" w:eastAsia="zh-CN"/>
              </w:rPr>
              <w:t>1</w:t>
            </w:r>
            <w:r>
              <w:rPr>
                <w:rFonts w:hint="eastAsia"/>
                <w:iCs/>
                <w:color w:val="auto"/>
                <w:sz w:val="18"/>
                <w:szCs w:val="18"/>
              </w:rPr>
              <w:t>1</w:t>
            </w:r>
          </w:p>
        </w:tc>
        <w:tc>
          <w:tcPr>
            <w:tcW w:w="709" w:type="dxa"/>
            <w:shd w:val="clear" w:color="auto" w:fill="auto"/>
            <w:vAlign w:val="center"/>
          </w:tcPr>
          <w:p w14:paraId="5B74F2D8">
            <w:pPr>
              <w:jc w:val="center"/>
              <w:rPr>
                <w:rFonts w:hint="eastAsia" w:ascii="Times New Roman" w:hAnsi="Times New Roman" w:eastAsia="宋体" w:cs="Times New Roman"/>
                <w:iCs/>
                <w:color w:val="auto"/>
                <w:kern w:val="2"/>
                <w:sz w:val="18"/>
                <w:szCs w:val="18"/>
                <w:lang w:val="en-US" w:eastAsia="zh-CN" w:bidi="ar-SA"/>
              </w:rPr>
            </w:pPr>
            <w:r>
              <w:rPr>
                <w:rFonts w:hint="eastAsia"/>
                <w:iCs/>
                <w:color w:val="auto"/>
                <w:sz w:val="18"/>
                <w:szCs w:val="18"/>
              </w:rPr>
              <w:t>1</w:t>
            </w:r>
          </w:p>
        </w:tc>
        <w:tc>
          <w:tcPr>
            <w:tcW w:w="709" w:type="dxa"/>
            <w:shd w:val="clear" w:color="auto" w:fill="auto"/>
            <w:vAlign w:val="center"/>
          </w:tcPr>
          <w:p w14:paraId="4B2F5D5E">
            <w:pPr>
              <w:jc w:val="center"/>
              <w:rPr>
                <w:rFonts w:hint="eastAsia" w:ascii="Times New Roman" w:hAnsi="Times New Roman" w:eastAsia="宋体" w:cs="Times New Roman"/>
                <w:iCs/>
                <w:color w:val="auto"/>
                <w:kern w:val="2"/>
                <w:sz w:val="18"/>
                <w:szCs w:val="18"/>
                <w:lang w:val="en-US" w:eastAsia="zh-CN" w:bidi="ar-SA"/>
              </w:rPr>
            </w:pPr>
            <w:r>
              <w:rPr>
                <w:rFonts w:hint="eastAsia"/>
                <w:iCs/>
                <w:color w:val="auto"/>
                <w:sz w:val="18"/>
                <w:szCs w:val="18"/>
              </w:rPr>
              <w:t>1</w:t>
            </w:r>
          </w:p>
        </w:tc>
        <w:tc>
          <w:tcPr>
            <w:tcW w:w="1045" w:type="dxa"/>
            <w:shd w:val="clear" w:color="auto" w:fill="auto"/>
            <w:vAlign w:val="center"/>
          </w:tcPr>
          <w:p w14:paraId="52440587">
            <w:pPr>
              <w:jc w:val="center"/>
              <w:rPr>
                <w:rFonts w:hint="eastAsia" w:ascii="Times New Roman" w:hAnsi="Times New Roman" w:eastAsia="宋体" w:cs="Times New Roman"/>
                <w:iCs/>
                <w:color w:val="auto"/>
                <w:kern w:val="2"/>
                <w:sz w:val="18"/>
                <w:szCs w:val="18"/>
                <w:lang w:val="en-US" w:eastAsia="zh-CN" w:bidi="ar-SA"/>
              </w:rPr>
            </w:pPr>
            <w:r>
              <w:rPr>
                <w:rFonts w:hint="eastAsia"/>
                <w:iCs/>
                <w:color w:val="auto"/>
                <w:sz w:val="18"/>
                <w:szCs w:val="18"/>
              </w:rPr>
              <w:t>考试</w:t>
            </w:r>
          </w:p>
        </w:tc>
      </w:tr>
      <w:tr w14:paraId="713D594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3F56CED3">
            <w:pPr>
              <w:jc w:val="center"/>
              <w:rPr>
                <w:b/>
                <w:color w:val="auto"/>
                <w:sz w:val="18"/>
                <w:szCs w:val="18"/>
              </w:rPr>
            </w:pPr>
          </w:p>
        </w:tc>
        <w:tc>
          <w:tcPr>
            <w:tcW w:w="1504" w:type="dxa"/>
            <w:vMerge w:val="continue"/>
            <w:vAlign w:val="center"/>
          </w:tcPr>
          <w:p w14:paraId="275ECBF0">
            <w:pPr>
              <w:jc w:val="center"/>
              <w:rPr>
                <w:b/>
                <w:color w:val="auto"/>
                <w:sz w:val="18"/>
                <w:szCs w:val="18"/>
              </w:rPr>
            </w:pPr>
          </w:p>
        </w:tc>
        <w:tc>
          <w:tcPr>
            <w:tcW w:w="3238" w:type="dxa"/>
            <w:shd w:val="clear" w:color="auto" w:fill="auto"/>
            <w:vAlign w:val="center"/>
          </w:tcPr>
          <w:p w14:paraId="770E4207">
            <w:pPr>
              <w:adjustRightInd w:val="0"/>
              <w:snapToGrid w:val="0"/>
              <w:rPr>
                <w:rFonts w:ascii="Times New Roman" w:hAnsi="Times New Roman" w:eastAsia="宋体" w:cs="Times New Roman"/>
                <w:color w:val="auto"/>
                <w:kern w:val="2"/>
                <w:sz w:val="18"/>
                <w:szCs w:val="18"/>
                <w:lang w:val="en-US" w:eastAsia="zh-CN" w:bidi="ar-SA"/>
              </w:rPr>
            </w:pPr>
            <w:r>
              <w:rPr>
                <w:rFonts w:hint="eastAsia"/>
                <w:color w:val="auto"/>
                <w:sz w:val="18"/>
                <w:szCs w:val="18"/>
              </w:rPr>
              <w:t>法理学</w:t>
            </w:r>
          </w:p>
        </w:tc>
        <w:tc>
          <w:tcPr>
            <w:tcW w:w="1081" w:type="dxa"/>
            <w:shd w:val="clear" w:color="auto" w:fill="auto"/>
            <w:vAlign w:val="center"/>
          </w:tcPr>
          <w:p w14:paraId="400F3233">
            <w:pPr>
              <w:jc w:val="center"/>
              <w:rPr>
                <w:rFonts w:hint="eastAsia" w:ascii="Times New Roman" w:hAnsi="Times New Roman" w:eastAsia="宋体" w:cs="Times New Roman"/>
                <w:iCs/>
                <w:color w:val="auto"/>
                <w:kern w:val="2"/>
                <w:sz w:val="18"/>
                <w:szCs w:val="18"/>
                <w:lang w:val="en-US" w:eastAsia="zh-CN" w:bidi="ar-SA"/>
              </w:rPr>
            </w:pPr>
            <w:r>
              <w:rPr>
                <w:rFonts w:hint="eastAsia"/>
                <w:iCs/>
                <w:color w:val="auto"/>
                <w:sz w:val="18"/>
                <w:szCs w:val="18"/>
              </w:rPr>
              <w:t>XS07030</w:t>
            </w:r>
            <w:r>
              <w:rPr>
                <w:rFonts w:hint="eastAsia"/>
                <w:iCs/>
                <w:color w:val="auto"/>
                <w:sz w:val="18"/>
                <w:szCs w:val="18"/>
                <w:lang w:val="en-US" w:eastAsia="zh-CN"/>
              </w:rPr>
              <w:t>1</w:t>
            </w:r>
            <w:r>
              <w:rPr>
                <w:rFonts w:hint="eastAsia"/>
                <w:iCs/>
                <w:color w:val="auto"/>
                <w:sz w:val="18"/>
                <w:szCs w:val="18"/>
              </w:rPr>
              <w:t>2</w:t>
            </w:r>
          </w:p>
        </w:tc>
        <w:tc>
          <w:tcPr>
            <w:tcW w:w="709" w:type="dxa"/>
            <w:shd w:val="clear" w:color="auto" w:fill="auto"/>
            <w:vAlign w:val="center"/>
          </w:tcPr>
          <w:p w14:paraId="2B1431E7">
            <w:pPr>
              <w:jc w:val="center"/>
              <w:rPr>
                <w:rFonts w:hint="eastAsia" w:ascii="Times New Roman" w:hAnsi="Times New Roman" w:eastAsia="宋体" w:cs="Times New Roman"/>
                <w:iCs/>
                <w:color w:val="auto"/>
                <w:kern w:val="2"/>
                <w:sz w:val="18"/>
                <w:szCs w:val="18"/>
                <w:lang w:val="en-US" w:eastAsia="zh-CN" w:bidi="ar-SA"/>
              </w:rPr>
            </w:pPr>
            <w:r>
              <w:rPr>
                <w:rFonts w:hint="eastAsia"/>
                <w:iCs/>
                <w:color w:val="auto"/>
                <w:sz w:val="18"/>
                <w:szCs w:val="18"/>
                <w:lang w:val="en-US" w:eastAsia="zh-CN"/>
              </w:rPr>
              <w:t>2</w:t>
            </w:r>
          </w:p>
        </w:tc>
        <w:tc>
          <w:tcPr>
            <w:tcW w:w="709" w:type="dxa"/>
            <w:shd w:val="clear" w:color="auto" w:fill="auto"/>
            <w:vAlign w:val="center"/>
          </w:tcPr>
          <w:p w14:paraId="526A39B7">
            <w:pPr>
              <w:jc w:val="center"/>
              <w:rPr>
                <w:rFonts w:hint="eastAsia" w:ascii="Times New Roman" w:hAnsi="Times New Roman" w:eastAsia="宋体" w:cs="Times New Roman"/>
                <w:iCs/>
                <w:color w:val="auto"/>
                <w:kern w:val="2"/>
                <w:sz w:val="18"/>
                <w:szCs w:val="18"/>
                <w:lang w:val="en-US" w:eastAsia="zh-CN" w:bidi="ar-SA"/>
              </w:rPr>
            </w:pPr>
            <w:r>
              <w:rPr>
                <w:rFonts w:hint="eastAsia"/>
                <w:iCs/>
                <w:color w:val="auto"/>
                <w:sz w:val="18"/>
                <w:szCs w:val="18"/>
              </w:rPr>
              <w:t>1</w:t>
            </w:r>
          </w:p>
        </w:tc>
        <w:tc>
          <w:tcPr>
            <w:tcW w:w="1045" w:type="dxa"/>
            <w:shd w:val="clear" w:color="auto" w:fill="auto"/>
            <w:vAlign w:val="center"/>
          </w:tcPr>
          <w:p w14:paraId="6BAF1C17">
            <w:pPr>
              <w:jc w:val="center"/>
              <w:rPr>
                <w:rFonts w:hint="eastAsia" w:ascii="Times New Roman" w:hAnsi="Times New Roman" w:eastAsia="宋体" w:cs="Times New Roman"/>
                <w:iCs/>
                <w:color w:val="auto"/>
                <w:kern w:val="2"/>
                <w:sz w:val="18"/>
                <w:szCs w:val="18"/>
                <w:lang w:val="en-US" w:eastAsia="zh-CN" w:bidi="ar-SA"/>
              </w:rPr>
            </w:pPr>
            <w:r>
              <w:rPr>
                <w:rFonts w:hint="eastAsia"/>
                <w:iCs/>
                <w:color w:val="auto"/>
                <w:sz w:val="18"/>
                <w:szCs w:val="18"/>
              </w:rPr>
              <w:t>考试</w:t>
            </w:r>
          </w:p>
        </w:tc>
      </w:tr>
      <w:tr w14:paraId="185ABA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588D5A72">
            <w:pPr>
              <w:jc w:val="center"/>
              <w:rPr>
                <w:b/>
                <w:color w:val="auto"/>
                <w:sz w:val="18"/>
                <w:szCs w:val="18"/>
              </w:rPr>
            </w:pPr>
            <w:r>
              <w:rPr>
                <w:b/>
                <w:color w:val="auto"/>
                <w:sz w:val="18"/>
                <w:szCs w:val="18"/>
              </w:rPr>
              <w:t>非学位课</w:t>
            </w:r>
          </w:p>
        </w:tc>
        <w:tc>
          <w:tcPr>
            <w:tcW w:w="1504" w:type="dxa"/>
            <w:vMerge w:val="restart"/>
            <w:vAlign w:val="center"/>
          </w:tcPr>
          <w:p w14:paraId="2C8521A9">
            <w:pPr>
              <w:jc w:val="center"/>
              <w:rPr>
                <w:b/>
                <w:color w:val="auto"/>
                <w:sz w:val="18"/>
                <w:szCs w:val="18"/>
              </w:rPr>
            </w:pPr>
            <w:r>
              <w:rPr>
                <w:b/>
                <w:color w:val="auto"/>
                <w:sz w:val="18"/>
                <w:szCs w:val="18"/>
              </w:rPr>
              <w:t>公共</w:t>
            </w:r>
            <w:r>
              <w:rPr>
                <w:rFonts w:hint="eastAsia"/>
                <w:b/>
                <w:color w:val="auto"/>
                <w:sz w:val="18"/>
                <w:szCs w:val="18"/>
              </w:rPr>
              <w:t>通识</w:t>
            </w:r>
            <w:r>
              <w:rPr>
                <w:b/>
                <w:color w:val="auto"/>
                <w:sz w:val="18"/>
                <w:szCs w:val="18"/>
              </w:rPr>
              <w:t>课</w:t>
            </w:r>
          </w:p>
          <w:p w14:paraId="529D2D4D">
            <w:pPr>
              <w:jc w:val="center"/>
              <w:rPr>
                <w:rFonts w:hint="eastAsia" w:eastAsia="宋体"/>
                <w:b/>
                <w:color w:val="auto"/>
                <w:sz w:val="18"/>
                <w:szCs w:val="18"/>
                <w:lang w:eastAsia="zh-CN"/>
              </w:rPr>
            </w:pPr>
            <w:r>
              <w:rPr>
                <w:rFonts w:hint="eastAsia"/>
                <w:b/>
                <w:color w:val="auto"/>
                <w:sz w:val="18"/>
                <w:szCs w:val="18"/>
                <w:lang w:eastAsia="zh-CN"/>
              </w:rPr>
              <w:t>（</w:t>
            </w:r>
            <w:r>
              <w:rPr>
                <w:rFonts w:hint="eastAsia"/>
                <w:b/>
                <w:color w:val="auto"/>
                <w:sz w:val="18"/>
                <w:szCs w:val="18"/>
                <w:lang w:val="en-US" w:eastAsia="zh-CN"/>
              </w:rPr>
              <w:t>2学分</w:t>
            </w:r>
            <w:r>
              <w:rPr>
                <w:rFonts w:hint="eastAsia"/>
                <w:b/>
                <w:color w:val="auto"/>
                <w:sz w:val="18"/>
                <w:szCs w:val="18"/>
                <w:lang w:eastAsia="zh-CN"/>
              </w:rPr>
              <w:t>）</w:t>
            </w:r>
          </w:p>
        </w:tc>
        <w:tc>
          <w:tcPr>
            <w:tcW w:w="3238" w:type="dxa"/>
            <w:vAlign w:val="center"/>
          </w:tcPr>
          <w:p w14:paraId="4D81531C">
            <w:pPr>
              <w:rPr>
                <w:color w:val="auto"/>
                <w:sz w:val="18"/>
                <w:szCs w:val="18"/>
              </w:rPr>
            </w:pPr>
            <w:r>
              <w:rPr>
                <w:color w:val="auto"/>
                <w:sz w:val="18"/>
                <w:szCs w:val="18"/>
              </w:rPr>
              <w:t>《习近平谈治国理政》研读</w:t>
            </w:r>
          </w:p>
        </w:tc>
        <w:tc>
          <w:tcPr>
            <w:tcW w:w="1081" w:type="dxa"/>
            <w:shd w:val="clear" w:color="auto" w:fill="auto"/>
            <w:vAlign w:val="center"/>
          </w:tcPr>
          <w:p w14:paraId="6A9C300D">
            <w:pPr>
              <w:jc w:val="center"/>
              <w:rPr>
                <w:color w:val="auto"/>
                <w:sz w:val="18"/>
                <w:szCs w:val="18"/>
              </w:rPr>
            </w:pPr>
            <w:r>
              <w:rPr>
                <w:color w:val="auto"/>
                <w:sz w:val="18"/>
                <w:szCs w:val="18"/>
              </w:rPr>
              <w:t>T</w:t>
            </w:r>
            <w:r>
              <w:rPr>
                <w:rFonts w:hint="eastAsia"/>
                <w:color w:val="auto"/>
                <w:sz w:val="18"/>
                <w:szCs w:val="18"/>
              </w:rPr>
              <w:t>T</w:t>
            </w:r>
            <w:r>
              <w:rPr>
                <w:color w:val="auto"/>
                <w:sz w:val="18"/>
                <w:szCs w:val="18"/>
              </w:rPr>
              <w:t>0000</w:t>
            </w:r>
            <w:r>
              <w:rPr>
                <w:rFonts w:hint="eastAsia"/>
                <w:color w:val="auto"/>
                <w:sz w:val="18"/>
                <w:szCs w:val="18"/>
              </w:rPr>
              <w:t>10</w:t>
            </w:r>
            <w:r>
              <w:rPr>
                <w:color w:val="auto"/>
                <w:sz w:val="18"/>
                <w:szCs w:val="18"/>
              </w:rPr>
              <w:t>1</w:t>
            </w:r>
          </w:p>
        </w:tc>
        <w:tc>
          <w:tcPr>
            <w:tcW w:w="709" w:type="dxa"/>
            <w:vAlign w:val="center"/>
          </w:tcPr>
          <w:p w14:paraId="27448AB7">
            <w:pPr>
              <w:jc w:val="center"/>
              <w:rPr>
                <w:color w:val="auto"/>
                <w:sz w:val="18"/>
                <w:szCs w:val="18"/>
              </w:rPr>
            </w:pPr>
            <w:r>
              <w:rPr>
                <w:color w:val="auto"/>
                <w:sz w:val="18"/>
                <w:szCs w:val="18"/>
              </w:rPr>
              <w:t>1</w:t>
            </w:r>
          </w:p>
        </w:tc>
        <w:tc>
          <w:tcPr>
            <w:tcW w:w="709" w:type="dxa"/>
            <w:vAlign w:val="center"/>
          </w:tcPr>
          <w:p w14:paraId="4FF7AACF">
            <w:pPr>
              <w:jc w:val="center"/>
              <w:rPr>
                <w:color w:val="auto"/>
                <w:sz w:val="18"/>
                <w:szCs w:val="18"/>
              </w:rPr>
            </w:pPr>
            <w:r>
              <w:rPr>
                <w:color w:val="auto"/>
                <w:sz w:val="18"/>
                <w:szCs w:val="18"/>
              </w:rPr>
              <w:t>2</w:t>
            </w:r>
          </w:p>
        </w:tc>
        <w:tc>
          <w:tcPr>
            <w:tcW w:w="1045" w:type="dxa"/>
            <w:vAlign w:val="center"/>
          </w:tcPr>
          <w:p w14:paraId="27104373">
            <w:pPr>
              <w:jc w:val="center"/>
              <w:rPr>
                <w:color w:val="auto"/>
                <w:sz w:val="18"/>
                <w:szCs w:val="18"/>
              </w:rPr>
            </w:pPr>
            <w:r>
              <w:rPr>
                <w:rFonts w:hint="eastAsia"/>
                <w:color w:val="auto"/>
                <w:sz w:val="18"/>
                <w:szCs w:val="18"/>
              </w:rPr>
              <w:t>考查</w:t>
            </w:r>
          </w:p>
        </w:tc>
      </w:tr>
      <w:tr w14:paraId="001ABC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37FB3206">
            <w:pPr>
              <w:jc w:val="center"/>
              <w:rPr>
                <w:b/>
                <w:color w:val="auto"/>
                <w:sz w:val="18"/>
                <w:szCs w:val="18"/>
              </w:rPr>
            </w:pPr>
          </w:p>
        </w:tc>
        <w:tc>
          <w:tcPr>
            <w:tcW w:w="1504" w:type="dxa"/>
            <w:vMerge w:val="continue"/>
            <w:vAlign w:val="center"/>
          </w:tcPr>
          <w:p w14:paraId="33CA4E91">
            <w:pPr>
              <w:jc w:val="center"/>
              <w:rPr>
                <w:b/>
                <w:color w:val="auto"/>
                <w:sz w:val="18"/>
                <w:szCs w:val="18"/>
              </w:rPr>
            </w:pPr>
          </w:p>
        </w:tc>
        <w:tc>
          <w:tcPr>
            <w:tcW w:w="3238" w:type="dxa"/>
            <w:vAlign w:val="center"/>
          </w:tcPr>
          <w:p w14:paraId="1C4DEB02">
            <w:pPr>
              <w:rPr>
                <w:color w:val="auto"/>
                <w:sz w:val="18"/>
                <w:szCs w:val="18"/>
              </w:rPr>
            </w:pPr>
            <w:r>
              <w:rPr>
                <w:color w:val="auto"/>
                <w:sz w:val="18"/>
                <w:szCs w:val="18"/>
              </w:rPr>
              <w:t>马克思主义与社会科学方法论</w:t>
            </w:r>
          </w:p>
        </w:tc>
        <w:tc>
          <w:tcPr>
            <w:tcW w:w="1081" w:type="dxa"/>
            <w:shd w:val="clear" w:color="auto" w:fill="auto"/>
            <w:vAlign w:val="center"/>
          </w:tcPr>
          <w:p w14:paraId="7769E8DF">
            <w:pPr>
              <w:jc w:val="center"/>
              <w:rPr>
                <w:color w:val="auto"/>
                <w:sz w:val="18"/>
                <w:szCs w:val="18"/>
              </w:rPr>
            </w:pPr>
            <w:r>
              <w:rPr>
                <w:color w:val="auto"/>
                <w:sz w:val="18"/>
                <w:szCs w:val="18"/>
              </w:rPr>
              <w:t>T</w:t>
            </w:r>
            <w:r>
              <w:rPr>
                <w:rFonts w:hint="eastAsia"/>
                <w:color w:val="auto"/>
                <w:sz w:val="18"/>
                <w:szCs w:val="18"/>
              </w:rPr>
              <w:t>S</w:t>
            </w:r>
            <w:r>
              <w:rPr>
                <w:color w:val="auto"/>
                <w:sz w:val="18"/>
                <w:szCs w:val="18"/>
              </w:rPr>
              <w:t>000</w:t>
            </w:r>
            <w:r>
              <w:rPr>
                <w:rFonts w:hint="eastAsia"/>
                <w:color w:val="auto"/>
                <w:sz w:val="18"/>
                <w:szCs w:val="18"/>
              </w:rPr>
              <w:t>0101</w:t>
            </w:r>
          </w:p>
        </w:tc>
        <w:tc>
          <w:tcPr>
            <w:tcW w:w="709" w:type="dxa"/>
            <w:vAlign w:val="center"/>
          </w:tcPr>
          <w:p w14:paraId="3A8D438D">
            <w:pPr>
              <w:jc w:val="center"/>
              <w:rPr>
                <w:color w:val="auto"/>
                <w:sz w:val="18"/>
                <w:szCs w:val="18"/>
              </w:rPr>
            </w:pPr>
            <w:r>
              <w:rPr>
                <w:color w:val="auto"/>
                <w:sz w:val="18"/>
                <w:szCs w:val="18"/>
              </w:rPr>
              <w:t>1</w:t>
            </w:r>
            <w:bookmarkStart w:id="1" w:name="_GoBack"/>
            <w:bookmarkEnd w:id="1"/>
          </w:p>
        </w:tc>
        <w:tc>
          <w:tcPr>
            <w:tcW w:w="709" w:type="dxa"/>
            <w:vAlign w:val="center"/>
          </w:tcPr>
          <w:p w14:paraId="28A5017F">
            <w:pPr>
              <w:jc w:val="center"/>
              <w:rPr>
                <w:color w:val="auto"/>
                <w:sz w:val="18"/>
                <w:szCs w:val="18"/>
              </w:rPr>
            </w:pPr>
            <w:r>
              <w:rPr>
                <w:color w:val="auto"/>
                <w:sz w:val="18"/>
                <w:szCs w:val="18"/>
              </w:rPr>
              <w:t>2</w:t>
            </w:r>
          </w:p>
        </w:tc>
        <w:tc>
          <w:tcPr>
            <w:tcW w:w="1045" w:type="dxa"/>
            <w:vAlign w:val="center"/>
          </w:tcPr>
          <w:p w14:paraId="7656EB5C">
            <w:pPr>
              <w:jc w:val="center"/>
              <w:rPr>
                <w:color w:val="auto"/>
                <w:sz w:val="18"/>
                <w:szCs w:val="18"/>
              </w:rPr>
            </w:pPr>
            <w:r>
              <w:rPr>
                <w:rFonts w:hint="eastAsia"/>
                <w:color w:val="auto"/>
                <w:sz w:val="18"/>
                <w:szCs w:val="18"/>
              </w:rPr>
              <w:t>考查</w:t>
            </w:r>
          </w:p>
        </w:tc>
      </w:tr>
      <w:tr w14:paraId="1A7FBC8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2B889024">
            <w:pPr>
              <w:rPr>
                <w:b/>
                <w:color w:val="auto"/>
                <w:sz w:val="18"/>
                <w:szCs w:val="18"/>
              </w:rPr>
            </w:pPr>
          </w:p>
        </w:tc>
        <w:tc>
          <w:tcPr>
            <w:tcW w:w="1504" w:type="dxa"/>
            <w:vMerge w:val="restart"/>
            <w:vAlign w:val="center"/>
          </w:tcPr>
          <w:p w14:paraId="05F47970">
            <w:pPr>
              <w:adjustRightInd w:val="0"/>
              <w:snapToGrid w:val="0"/>
              <w:jc w:val="center"/>
              <w:rPr>
                <w:b/>
                <w:color w:val="auto"/>
                <w:sz w:val="18"/>
                <w:szCs w:val="18"/>
                <w:highlight w:val="yellow"/>
              </w:rPr>
            </w:pPr>
            <w:r>
              <w:rPr>
                <w:rFonts w:hint="eastAsia"/>
                <w:b/>
                <w:color w:val="auto"/>
                <w:sz w:val="18"/>
                <w:szCs w:val="18"/>
                <w:lang w:eastAsia="zh-CN"/>
              </w:rPr>
              <w:t>专业选修</w:t>
            </w:r>
            <w:r>
              <w:rPr>
                <w:rFonts w:hint="eastAsia"/>
                <w:b/>
                <w:color w:val="auto"/>
                <w:sz w:val="18"/>
                <w:szCs w:val="18"/>
              </w:rPr>
              <w:t>课</w:t>
            </w:r>
          </w:p>
        </w:tc>
        <w:tc>
          <w:tcPr>
            <w:tcW w:w="3238" w:type="dxa"/>
            <w:vAlign w:val="center"/>
          </w:tcPr>
          <w:p w14:paraId="17A58093">
            <w:pPr>
              <w:adjustRightInd w:val="0"/>
              <w:snapToGrid w:val="0"/>
              <w:rPr>
                <w:color w:val="auto"/>
                <w:sz w:val="18"/>
                <w:szCs w:val="18"/>
              </w:rPr>
            </w:pPr>
            <w:r>
              <w:rPr>
                <w:rFonts w:hint="eastAsia"/>
                <w:color w:val="auto"/>
                <w:sz w:val="18"/>
                <w:szCs w:val="18"/>
              </w:rPr>
              <w:t>宪法学专题</w:t>
            </w:r>
          </w:p>
        </w:tc>
        <w:tc>
          <w:tcPr>
            <w:tcW w:w="1081" w:type="dxa"/>
            <w:shd w:val="clear" w:color="auto" w:fill="auto"/>
            <w:vAlign w:val="center"/>
          </w:tcPr>
          <w:p w14:paraId="6ADFDB58">
            <w:pPr>
              <w:jc w:val="center"/>
              <w:rPr>
                <w:color w:val="auto"/>
                <w:sz w:val="18"/>
                <w:szCs w:val="18"/>
              </w:rPr>
            </w:pPr>
            <w:r>
              <w:rPr>
                <w:rFonts w:hint="eastAsia"/>
                <w:color w:val="auto"/>
                <w:sz w:val="18"/>
                <w:szCs w:val="18"/>
              </w:rPr>
              <w:t>XS07091</w:t>
            </w:r>
            <w:r>
              <w:rPr>
                <w:rFonts w:hint="eastAsia"/>
                <w:color w:val="auto"/>
                <w:sz w:val="18"/>
                <w:szCs w:val="18"/>
                <w:lang w:val="en-US" w:eastAsia="zh-CN"/>
              </w:rPr>
              <w:t>1</w:t>
            </w:r>
            <w:r>
              <w:rPr>
                <w:rFonts w:hint="eastAsia"/>
                <w:color w:val="auto"/>
                <w:sz w:val="18"/>
                <w:szCs w:val="18"/>
              </w:rPr>
              <w:t>1</w:t>
            </w:r>
          </w:p>
        </w:tc>
        <w:tc>
          <w:tcPr>
            <w:tcW w:w="709" w:type="dxa"/>
            <w:vAlign w:val="center"/>
          </w:tcPr>
          <w:p w14:paraId="43FA8A19">
            <w:pPr>
              <w:jc w:val="center"/>
              <w:rPr>
                <w:color w:val="auto"/>
              </w:rPr>
            </w:pPr>
            <w:r>
              <w:rPr>
                <w:rFonts w:hint="eastAsia"/>
                <w:color w:val="auto"/>
              </w:rPr>
              <w:t>3</w:t>
            </w:r>
          </w:p>
        </w:tc>
        <w:tc>
          <w:tcPr>
            <w:tcW w:w="709" w:type="dxa"/>
            <w:vAlign w:val="center"/>
          </w:tcPr>
          <w:p w14:paraId="5FB37B5E">
            <w:pPr>
              <w:jc w:val="center"/>
              <w:rPr>
                <w:color w:val="auto"/>
              </w:rPr>
            </w:pPr>
            <w:r>
              <w:rPr>
                <w:rFonts w:hint="eastAsia"/>
                <w:color w:val="auto"/>
              </w:rPr>
              <w:t>1</w:t>
            </w:r>
          </w:p>
        </w:tc>
        <w:tc>
          <w:tcPr>
            <w:tcW w:w="1045" w:type="dxa"/>
            <w:vMerge w:val="restart"/>
            <w:vAlign w:val="center"/>
          </w:tcPr>
          <w:p w14:paraId="32A12860">
            <w:pPr>
              <w:keepNext w:val="0"/>
              <w:keepLines w:val="0"/>
              <w:pageBreakBefore w:val="0"/>
              <w:kinsoku/>
              <w:wordWrap/>
              <w:overflowPunct/>
              <w:topLinePunct w:val="0"/>
              <w:autoSpaceDE/>
              <w:autoSpaceDN/>
              <w:bidi w:val="0"/>
              <w:adjustRightInd w:val="0"/>
              <w:snapToGrid w:val="0"/>
              <w:spacing w:beforeAutospacing="0" w:afterAutospacing="0" w:line="360" w:lineRule="auto"/>
              <w:ind w:left="0" w:leftChars="0" w:right="0"/>
              <w:jc w:val="center"/>
              <w:textAlignment w:val="auto"/>
              <w:rPr>
                <w:color w:val="auto"/>
                <w:sz w:val="18"/>
                <w:szCs w:val="18"/>
              </w:rPr>
            </w:pPr>
            <w:r>
              <w:rPr>
                <w:color w:val="auto"/>
                <w:sz w:val="18"/>
                <w:szCs w:val="18"/>
              </w:rPr>
              <w:t>本方向研究生至少选修</w:t>
            </w:r>
          </w:p>
          <w:p w14:paraId="4F6BBD59">
            <w:pPr>
              <w:jc w:val="center"/>
              <w:rPr>
                <w:i/>
                <w:color w:val="auto"/>
                <w:sz w:val="15"/>
                <w:szCs w:val="15"/>
                <w:highlight w:val="yellow"/>
              </w:rPr>
            </w:pPr>
            <w:r>
              <w:rPr>
                <w:rFonts w:hint="eastAsia"/>
                <w:color w:val="auto"/>
                <w:sz w:val="18"/>
                <w:szCs w:val="18"/>
                <w:lang w:val="en-US" w:eastAsia="zh-CN"/>
              </w:rPr>
              <w:t>10</w:t>
            </w:r>
            <w:r>
              <w:rPr>
                <w:color w:val="auto"/>
                <w:sz w:val="18"/>
                <w:szCs w:val="18"/>
              </w:rPr>
              <w:t>学分</w:t>
            </w:r>
          </w:p>
        </w:tc>
      </w:tr>
      <w:tr w14:paraId="0A222E1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139FDDEB">
            <w:pPr>
              <w:rPr>
                <w:b/>
                <w:color w:val="auto"/>
                <w:sz w:val="18"/>
                <w:szCs w:val="18"/>
              </w:rPr>
            </w:pPr>
          </w:p>
        </w:tc>
        <w:tc>
          <w:tcPr>
            <w:tcW w:w="1504" w:type="dxa"/>
            <w:vMerge w:val="continue"/>
          </w:tcPr>
          <w:p w14:paraId="29AEE668">
            <w:pPr>
              <w:jc w:val="center"/>
              <w:rPr>
                <w:b/>
                <w:color w:val="auto"/>
                <w:sz w:val="18"/>
                <w:szCs w:val="18"/>
              </w:rPr>
            </w:pPr>
          </w:p>
        </w:tc>
        <w:tc>
          <w:tcPr>
            <w:tcW w:w="3238" w:type="dxa"/>
            <w:vAlign w:val="center"/>
          </w:tcPr>
          <w:p w14:paraId="65165031">
            <w:pPr>
              <w:adjustRightInd w:val="0"/>
              <w:snapToGrid w:val="0"/>
              <w:rPr>
                <w:rFonts w:hint="eastAsia" w:eastAsia="宋体"/>
                <w:color w:val="auto"/>
                <w:sz w:val="18"/>
                <w:szCs w:val="18"/>
                <w:lang w:eastAsia="zh-CN"/>
              </w:rPr>
            </w:pPr>
            <w:r>
              <w:rPr>
                <w:rFonts w:hint="eastAsia"/>
                <w:color w:val="auto"/>
                <w:sz w:val="18"/>
                <w:szCs w:val="18"/>
              </w:rPr>
              <w:t>行政法学</w:t>
            </w:r>
            <w:r>
              <w:rPr>
                <w:rFonts w:hint="eastAsia"/>
                <w:color w:val="auto"/>
                <w:sz w:val="18"/>
                <w:szCs w:val="18"/>
                <w:lang w:eastAsia="zh-CN"/>
              </w:rPr>
              <w:t>专题</w:t>
            </w:r>
          </w:p>
        </w:tc>
        <w:tc>
          <w:tcPr>
            <w:tcW w:w="1081" w:type="dxa"/>
            <w:shd w:val="clear" w:color="auto" w:fill="auto"/>
            <w:vAlign w:val="center"/>
          </w:tcPr>
          <w:p w14:paraId="1AA934BB">
            <w:pPr>
              <w:jc w:val="center"/>
              <w:rPr>
                <w:color w:val="auto"/>
                <w:sz w:val="18"/>
                <w:szCs w:val="18"/>
              </w:rPr>
            </w:pPr>
            <w:r>
              <w:rPr>
                <w:rFonts w:hint="eastAsia"/>
                <w:color w:val="auto"/>
                <w:sz w:val="18"/>
                <w:szCs w:val="18"/>
              </w:rPr>
              <w:t>XS07091</w:t>
            </w:r>
            <w:r>
              <w:rPr>
                <w:rFonts w:hint="eastAsia"/>
                <w:color w:val="auto"/>
                <w:sz w:val="18"/>
                <w:szCs w:val="18"/>
                <w:lang w:val="en-US" w:eastAsia="zh-CN"/>
              </w:rPr>
              <w:t>1</w:t>
            </w:r>
            <w:r>
              <w:rPr>
                <w:rFonts w:hint="eastAsia"/>
                <w:color w:val="auto"/>
                <w:sz w:val="18"/>
                <w:szCs w:val="18"/>
              </w:rPr>
              <w:t>2</w:t>
            </w:r>
          </w:p>
        </w:tc>
        <w:tc>
          <w:tcPr>
            <w:tcW w:w="709" w:type="dxa"/>
            <w:vAlign w:val="center"/>
          </w:tcPr>
          <w:p w14:paraId="62754B4A">
            <w:pPr>
              <w:jc w:val="center"/>
              <w:rPr>
                <w:color w:val="auto"/>
                <w:sz w:val="18"/>
                <w:szCs w:val="18"/>
              </w:rPr>
            </w:pPr>
            <w:r>
              <w:rPr>
                <w:rFonts w:hint="eastAsia"/>
                <w:color w:val="auto"/>
                <w:sz w:val="18"/>
                <w:szCs w:val="18"/>
              </w:rPr>
              <w:t>3</w:t>
            </w:r>
          </w:p>
        </w:tc>
        <w:tc>
          <w:tcPr>
            <w:tcW w:w="709" w:type="dxa"/>
            <w:vAlign w:val="center"/>
          </w:tcPr>
          <w:p w14:paraId="4B489CEA">
            <w:pPr>
              <w:jc w:val="center"/>
              <w:rPr>
                <w:rFonts w:hint="eastAsia" w:eastAsia="宋体"/>
                <w:color w:val="auto"/>
                <w:sz w:val="18"/>
                <w:szCs w:val="18"/>
                <w:lang w:eastAsia="zh-CN"/>
              </w:rPr>
            </w:pPr>
            <w:r>
              <w:rPr>
                <w:rFonts w:hint="eastAsia"/>
                <w:color w:val="auto"/>
                <w:sz w:val="18"/>
                <w:szCs w:val="18"/>
                <w:lang w:val="en-US" w:eastAsia="zh-CN"/>
              </w:rPr>
              <w:t>2</w:t>
            </w:r>
          </w:p>
        </w:tc>
        <w:tc>
          <w:tcPr>
            <w:tcW w:w="1045" w:type="dxa"/>
            <w:vMerge w:val="continue"/>
            <w:vAlign w:val="center"/>
          </w:tcPr>
          <w:p w14:paraId="198B957D">
            <w:pPr>
              <w:jc w:val="center"/>
              <w:rPr>
                <w:color w:val="auto"/>
                <w:sz w:val="18"/>
                <w:szCs w:val="18"/>
                <w:highlight w:val="yellow"/>
              </w:rPr>
            </w:pPr>
          </w:p>
        </w:tc>
      </w:tr>
      <w:tr w14:paraId="0D7528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14E4BA45">
            <w:pPr>
              <w:rPr>
                <w:b/>
                <w:color w:val="auto"/>
                <w:sz w:val="18"/>
                <w:szCs w:val="18"/>
              </w:rPr>
            </w:pPr>
          </w:p>
        </w:tc>
        <w:tc>
          <w:tcPr>
            <w:tcW w:w="1504" w:type="dxa"/>
            <w:vMerge w:val="continue"/>
          </w:tcPr>
          <w:p w14:paraId="5AB887CB">
            <w:pPr>
              <w:jc w:val="center"/>
              <w:rPr>
                <w:b/>
                <w:color w:val="auto"/>
                <w:sz w:val="18"/>
                <w:szCs w:val="18"/>
              </w:rPr>
            </w:pPr>
          </w:p>
        </w:tc>
        <w:tc>
          <w:tcPr>
            <w:tcW w:w="3238" w:type="dxa"/>
            <w:vAlign w:val="center"/>
          </w:tcPr>
          <w:p w14:paraId="3F5D2A6E">
            <w:pPr>
              <w:adjustRightInd w:val="0"/>
              <w:snapToGrid w:val="0"/>
              <w:rPr>
                <w:color w:val="auto"/>
                <w:sz w:val="18"/>
                <w:szCs w:val="18"/>
              </w:rPr>
            </w:pPr>
            <w:r>
              <w:rPr>
                <w:rFonts w:hint="eastAsia"/>
                <w:color w:val="auto"/>
                <w:sz w:val="18"/>
                <w:szCs w:val="18"/>
              </w:rPr>
              <w:t>行政救济法专题</w:t>
            </w:r>
          </w:p>
        </w:tc>
        <w:tc>
          <w:tcPr>
            <w:tcW w:w="1081" w:type="dxa"/>
            <w:shd w:val="clear" w:color="auto" w:fill="auto"/>
            <w:vAlign w:val="center"/>
          </w:tcPr>
          <w:p w14:paraId="2153A01D">
            <w:pPr>
              <w:jc w:val="center"/>
              <w:rPr>
                <w:color w:val="auto"/>
                <w:sz w:val="18"/>
                <w:szCs w:val="18"/>
              </w:rPr>
            </w:pPr>
            <w:r>
              <w:rPr>
                <w:rFonts w:hint="eastAsia"/>
                <w:color w:val="auto"/>
                <w:sz w:val="18"/>
                <w:szCs w:val="18"/>
              </w:rPr>
              <w:t>XS0709</w:t>
            </w:r>
            <w:r>
              <w:rPr>
                <w:rFonts w:hint="eastAsia"/>
                <w:color w:val="auto"/>
                <w:sz w:val="18"/>
                <w:szCs w:val="18"/>
                <w:lang w:val="en-US" w:eastAsia="zh-CN"/>
              </w:rPr>
              <w:t>11</w:t>
            </w:r>
            <w:r>
              <w:rPr>
                <w:rFonts w:hint="eastAsia"/>
                <w:color w:val="auto"/>
                <w:sz w:val="18"/>
                <w:szCs w:val="18"/>
              </w:rPr>
              <w:t>3</w:t>
            </w:r>
          </w:p>
        </w:tc>
        <w:tc>
          <w:tcPr>
            <w:tcW w:w="709" w:type="dxa"/>
            <w:vAlign w:val="center"/>
          </w:tcPr>
          <w:p w14:paraId="56764FDF">
            <w:pPr>
              <w:jc w:val="center"/>
              <w:rPr>
                <w:color w:val="auto"/>
                <w:sz w:val="18"/>
                <w:szCs w:val="18"/>
              </w:rPr>
            </w:pPr>
            <w:r>
              <w:rPr>
                <w:rFonts w:hint="eastAsia"/>
                <w:color w:val="auto"/>
                <w:sz w:val="18"/>
                <w:szCs w:val="18"/>
              </w:rPr>
              <w:t>3</w:t>
            </w:r>
          </w:p>
        </w:tc>
        <w:tc>
          <w:tcPr>
            <w:tcW w:w="709" w:type="dxa"/>
            <w:vAlign w:val="center"/>
          </w:tcPr>
          <w:p w14:paraId="247947D9">
            <w:pPr>
              <w:jc w:val="center"/>
              <w:rPr>
                <w:rFonts w:hint="eastAsia" w:eastAsia="宋体"/>
                <w:color w:val="auto"/>
                <w:sz w:val="18"/>
                <w:szCs w:val="18"/>
                <w:lang w:eastAsia="zh-CN"/>
              </w:rPr>
            </w:pPr>
            <w:r>
              <w:rPr>
                <w:rFonts w:hint="eastAsia"/>
                <w:color w:val="auto"/>
                <w:sz w:val="18"/>
                <w:szCs w:val="18"/>
                <w:lang w:val="en-US" w:eastAsia="zh-CN"/>
              </w:rPr>
              <w:t>2</w:t>
            </w:r>
          </w:p>
        </w:tc>
        <w:tc>
          <w:tcPr>
            <w:tcW w:w="1045" w:type="dxa"/>
            <w:vMerge w:val="continue"/>
            <w:vAlign w:val="center"/>
          </w:tcPr>
          <w:p w14:paraId="437BE112">
            <w:pPr>
              <w:jc w:val="center"/>
              <w:rPr>
                <w:i/>
                <w:color w:val="auto"/>
                <w:sz w:val="15"/>
                <w:szCs w:val="15"/>
                <w:highlight w:val="yellow"/>
              </w:rPr>
            </w:pPr>
          </w:p>
        </w:tc>
      </w:tr>
      <w:tr w14:paraId="5A0DE8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3B8DEE33">
            <w:pPr>
              <w:rPr>
                <w:b/>
                <w:color w:val="auto"/>
                <w:sz w:val="18"/>
                <w:szCs w:val="18"/>
              </w:rPr>
            </w:pPr>
          </w:p>
        </w:tc>
        <w:tc>
          <w:tcPr>
            <w:tcW w:w="1504" w:type="dxa"/>
            <w:vMerge w:val="continue"/>
          </w:tcPr>
          <w:p w14:paraId="4157FAF0">
            <w:pPr>
              <w:jc w:val="center"/>
              <w:rPr>
                <w:b/>
                <w:color w:val="auto"/>
                <w:sz w:val="18"/>
                <w:szCs w:val="18"/>
              </w:rPr>
            </w:pPr>
          </w:p>
        </w:tc>
        <w:tc>
          <w:tcPr>
            <w:tcW w:w="3238" w:type="dxa"/>
            <w:vAlign w:val="center"/>
          </w:tcPr>
          <w:p w14:paraId="7F8A0277">
            <w:pPr>
              <w:adjustRightInd w:val="0"/>
              <w:snapToGrid w:val="0"/>
              <w:rPr>
                <w:rFonts w:hint="eastAsia" w:eastAsia="宋体"/>
                <w:color w:val="auto"/>
                <w:sz w:val="18"/>
                <w:szCs w:val="18"/>
                <w:lang w:eastAsia="zh-CN"/>
              </w:rPr>
            </w:pPr>
            <w:r>
              <w:rPr>
                <w:rFonts w:hint="eastAsia"/>
                <w:color w:val="auto"/>
                <w:sz w:val="18"/>
                <w:szCs w:val="18"/>
                <w:lang w:eastAsia="zh-CN"/>
              </w:rPr>
              <w:t>人民代表大会制度专题</w:t>
            </w:r>
          </w:p>
        </w:tc>
        <w:tc>
          <w:tcPr>
            <w:tcW w:w="1081" w:type="dxa"/>
            <w:shd w:val="clear" w:color="auto" w:fill="auto"/>
            <w:vAlign w:val="center"/>
          </w:tcPr>
          <w:p w14:paraId="37091D5F">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XS0709</w:t>
            </w:r>
            <w:r>
              <w:rPr>
                <w:rFonts w:hint="eastAsia"/>
                <w:color w:val="auto"/>
                <w:sz w:val="18"/>
                <w:szCs w:val="18"/>
                <w:lang w:val="en-US" w:eastAsia="zh-CN"/>
              </w:rPr>
              <w:t>114</w:t>
            </w:r>
          </w:p>
        </w:tc>
        <w:tc>
          <w:tcPr>
            <w:tcW w:w="709" w:type="dxa"/>
            <w:shd w:val="clear" w:color="auto" w:fill="auto"/>
            <w:vAlign w:val="center"/>
          </w:tcPr>
          <w:p w14:paraId="741D6867">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2</w:t>
            </w:r>
          </w:p>
        </w:tc>
        <w:tc>
          <w:tcPr>
            <w:tcW w:w="709" w:type="dxa"/>
            <w:shd w:val="clear" w:color="auto" w:fill="auto"/>
            <w:vAlign w:val="center"/>
          </w:tcPr>
          <w:p w14:paraId="6067F543">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lang w:val="en-US" w:eastAsia="zh-CN"/>
              </w:rPr>
              <w:t>3</w:t>
            </w:r>
          </w:p>
        </w:tc>
        <w:tc>
          <w:tcPr>
            <w:tcW w:w="1045" w:type="dxa"/>
            <w:vMerge w:val="continue"/>
            <w:vAlign w:val="center"/>
          </w:tcPr>
          <w:p w14:paraId="4E1A0055">
            <w:pPr>
              <w:jc w:val="center"/>
              <w:rPr>
                <w:i/>
                <w:color w:val="auto"/>
                <w:sz w:val="15"/>
                <w:szCs w:val="15"/>
                <w:highlight w:val="yellow"/>
              </w:rPr>
            </w:pPr>
          </w:p>
        </w:tc>
      </w:tr>
      <w:tr w14:paraId="0D038FF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323C925E">
            <w:pPr>
              <w:rPr>
                <w:b/>
                <w:color w:val="auto"/>
                <w:sz w:val="18"/>
                <w:szCs w:val="18"/>
              </w:rPr>
            </w:pPr>
          </w:p>
        </w:tc>
        <w:tc>
          <w:tcPr>
            <w:tcW w:w="1504" w:type="dxa"/>
            <w:vMerge w:val="continue"/>
          </w:tcPr>
          <w:p w14:paraId="5B4AE47C">
            <w:pPr>
              <w:jc w:val="center"/>
              <w:rPr>
                <w:b/>
                <w:color w:val="auto"/>
                <w:sz w:val="18"/>
                <w:szCs w:val="18"/>
              </w:rPr>
            </w:pPr>
          </w:p>
        </w:tc>
        <w:tc>
          <w:tcPr>
            <w:tcW w:w="3238" w:type="dxa"/>
            <w:vAlign w:val="center"/>
          </w:tcPr>
          <w:p w14:paraId="2E2FBD95">
            <w:pPr>
              <w:adjustRightInd w:val="0"/>
              <w:snapToGrid w:val="0"/>
              <w:rPr>
                <w:color w:val="auto"/>
                <w:sz w:val="18"/>
                <w:szCs w:val="18"/>
              </w:rPr>
            </w:pPr>
            <w:r>
              <w:rPr>
                <w:rFonts w:hint="eastAsia"/>
                <w:color w:val="auto"/>
                <w:sz w:val="18"/>
                <w:szCs w:val="18"/>
                <w:lang w:eastAsia="zh-CN"/>
              </w:rPr>
              <w:t>监察法</w:t>
            </w:r>
            <w:r>
              <w:rPr>
                <w:rFonts w:hint="eastAsia"/>
                <w:color w:val="auto"/>
                <w:sz w:val="18"/>
                <w:szCs w:val="18"/>
              </w:rPr>
              <w:t>专题</w:t>
            </w:r>
          </w:p>
        </w:tc>
        <w:tc>
          <w:tcPr>
            <w:tcW w:w="1081" w:type="dxa"/>
            <w:shd w:val="clear" w:color="auto" w:fill="auto"/>
            <w:vAlign w:val="center"/>
          </w:tcPr>
          <w:p w14:paraId="03D42EED">
            <w:pPr>
              <w:jc w:val="center"/>
              <w:rPr>
                <w:rFonts w:hint="eastAsia" w:eastAsia="宋体"/>
                <w:color w:val="auto"/>
                <w:sz w:val="18"/>
                <w:szCs w:val="18"/>
                <w:lang w:eastAsia="zh-CN"/>
              </w:rPr>
            </w:pPr>
            <w:r>
              <w:rPr>
                <w:rFonts w:hint="eastAsia"/>
                <w:color w:val="auto"/>
                <w:sz w:val="18"/>
                <w:szCs w:val="18"/>
              </w:rPr>
              <w:t>XS0709</w:t>
            </w:r>
            <w:r>
              <w:rPr>
                <w:rFonts w:hint="eastAsia"/>
                <w:color w:val="auto"/>
                <w:sz w:val="18"/>
                <w:szCs w:val="18"/>
                <w:lang w:val="en-US" w:eastAsia="zh-CN"/>
              </w:rPr>
              <w:t>115</w:t>
            </w:r>
          </w:p>
        </w:tc>
        <w:tc>
          <w:tcPr>
            <w:tcW w:w="709" w:type="dxa"/>
            <w:vAlign w:val="center"/>
          </w:tcPr>
          <w:p w14:paraId="31EB15F8">
            <w:pPr>
              <w:jc w:val="center"/>
              <w:rPr>
                <w:color w:val="auto"/>
                <w:sz w:val="18"/>
                <w:szCs w:val="18"/>
              </w:rPr>
            </w:pPr>
            <w:r>
              <w:rPr>
                <w:rFonts w:hint="eastAsia"/>
                <w:color w:val="auto"/>
                <w:sz w:val="18"/>
                <w:szCs w:val="18"/>
              </w:rPr>
              <w:t>2</w:t>
            </w:r>
          </w:p>
        </w:tc>
        <w:tc>
          <w:tcPr>
            <w:tcW w:w="709" w:type="dxa"/>
            <w:vAlign w:val="center"/>
          </w:tcPr>
          <w:p w14:paraId="5D3F2C36">
            <w:pPr>
              <w:jc w:val="center"/>
              <w:rPr>
                <w:rFonts w:hint="eastAsia" w:eastAsia="宋体"/>
                <w:color w:val="auto"/>
                <w:sz w:val="18"/>
                <w:szCs w:val="18"/>
                <w:lang w:eastAsia="zh-CN"/>
              </w:rPr>
            </w:pPr>
            <w:r>
              <w:rPr>
                <w:rFonts w:hint="eastAsia"/>
                <w:color w:val="auto"/>
                <w:sz w:val="18"/>
                <w:szCs w:val="18"/>
                <w:lang w:val="en-US" w:eastAsia="zh-CN"/>
              </w:rPr>
              <w:t>3</w:t>
            </w:r>
          </w:p>
        </w:tc>
        <w:tc>
          <w:tcPr>
            <w:tcW w:w="1045" w:type="dxa"/>
            <w:vMerge w:val="continue"/>
            <w:vAlign w:val="center"/>
          </w:tcPr>
          <w:p w14:paraId="2FE409A5">
            <w:pPr>
              <w:jc w:val="center"/>
              <w:rPr>
                <w:i/>
                <w:color w:val="auto"/>
                <w:sz w:val="15"/>
                <w:szCs w:val="15"/>
                <w:highlight w:val="yellow"/>
              </w:rPr>
            </w:pPr>
          </w:p>
        </w:tc>
      </w:tr>
      <w:tr w14:paraId="2988966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11DE98FD">
            <w:pPr>
              <w:jc w:val="center"/>
              <w:rPr>
                <w:b/>
                <w:color w:val="auto"/>
                <w:sz w:val="18"/>
                <w:szCs w:val="18"/>
              </w:rPr>
            </w:pPr>
            <w:r>
              <w:rPr>
                <w:b/>
                <w:color w:val="auto"/>
                <w:sz w:val="18"/>
                <w:szCs w:val="18"/>
              </w:rPr>
              <w:t>必</w:t>
            </w:r>
          </w:p>
          <w:p w14:paraId="2B8EECB4">
            <w:pPr>
              <w:jc w:val="center"/>
              <w:rPr>
                <w:b/>
                <w:color w:val="auto"/>
                <w:sz w:val="18"/>
                <w:szCs w:val="18"/>
              </w:rPr>
            </w:pPr>
            <w:r>
              <w:rPr>
                <w:b/>
                <w:color w:val="auto"/>
                <w:sz w:val="18"/>
                <w:szCs w:val="18"/>
              </w:rPr>
              <w:t>修</w:t>
            </w:r>
          </w:p>
          <w:p w14:paraId="5666827E">
            <w:pPr>
              <w:jc w:val="center"/>
              <w:rPr>
                <w:b/>
                <w:color w:val="auto"/>
                <w:sz w:val="18"/>
                <w:szCs w:val="18"/>
              </w:rPr>
            </w:pPr>
            <w:r>
              <w:rPr>
                <w:b/>
                <w:color w:val="auto"/>
                <w:sz w:val="18"/>
                <w:szCs w:val="18"/>
              </w:rPr>
              <w:t>环</w:t>
            </w:r>
          </w:p>
          <w:p w14:paraId="6E8FEF7F">
            <w:pPr>
              <w:jc w:val="center"/>
              <w:rPr>
                <w:b/>
                <w:color w:val="auto"/>
                <w:sz w:val="18"/>
                <w:szCs w:val="18"/>
              </w:rPr>
            </w:pPr>
            <w:r>
              <w:rPr>
                <w:b/>
                <w:color w:val="auto"/>
                <w:sz w:val="18"/>
                <w:szCs w:val="18"/>
              </w:rPr>
              <w:t>节</w:t>
            </w:r>
          </w:p>
        </w:tc>
        <w:tc>
          <w:tcPr>
            <w:tcW w:w="1504" w:type="dxa"/>
            <w:vMerge w:val="restart"/>
            <w:vAlign w:val="center"/>
          </w:tcPr>
          <w:p w14:paraId="109D87B6">
            <w:pPr>
              <w:jc w:val="center"/>
              <w:rPr>
                <w:rFonts w:hint="eastAsia" w:eastAsia="宋体"/>
                <w:b/>
                <w:color w:val="auto"/>
                <w:sz w:val="18"/>
                <w:szCs w:val="18"/>
                <w:lang w:eastAsia="zh-CN"/>
              </w:rPr>
            </w:pPr>
            <w:r>
              <w:rPr>
                <w:rFonts w:hint="eastAsia"/>
                <w:b/>
                <w:color w:val="auto"/>
                <w:sz w:val="18"/>
                <w:szCs w:val="18"/>
                <w:lang w:eastAsia="zh-CN"/>
              </w:rPr>
              <w:t>素质拓展</w:t>
            </w:r>
          </w:p>
        </w:tc>
        <w:tc>
          <w:tcPr>
            <w:tcW w:w="3238" w:type="dxa"/>
            <w:vAlign w:val="center"/>
          </w:tcPr>
          <w:p w14:paraId="67A84CE4">
            <w:pPr>
              <w:rPr>
                <w:color w:val="auto"/>
                <w:sz w:val="18"/>
                <w:szCs w:val="18"/>
              </w:rPr>
            </w:pPr>
            <w:r>
              <w:rPr>
                <w:color w:val="auto"/>
                <w:sz w:val="18"/>
                <w:szCs w:val="18"/>
              </w:rPr>
              <w:t>入学教育</w:t>
            </w:r>
          </w:p>
        </w:tc>
        <w:tc>
          <w:tcPr>
            <w:tcW w:w="1081" w:type="dxa"/>
            <w:vAlign w:val="center"/>
          </w:tcPr>
          <w:p w14:paraId="54F22C97">
            <w:pPr>
              <w:jc w:val="center"/>
              <w:rPr>
                <w:color w:val="auto"/>
                <w:sz w:val="18"/>
                <w:szCs w:val="18"/>
              </w:rPr>
            </w:pPr>
          </w:p>
        </w:tc>
        <w:tc>
          <w:tcPr>
            <w:tcW w:w="709" w:type="dxa"/>
            <w:vAlign w:val="center"/>
          </w:tcPr>
          <w:p w14:paraId="5F8A50DD">
            <w:pPr>
              <w:jc w:val="center"/>
              <w:rPr>
                <w:color w:val="auto"/>
                <w:sz w:val="18"/>
                <w:szCs w:val="18"/>
              </w:rPr>
            </w:pPr>
          </w:p>
        </w:tc>
        <w:tc>
          <w:tcPr>
            <w:tcW w:w="709" w:type="dxa"/>
            <w:vAlign w:val="center"/>
          </w:tcPr>
          <w:p w14:paraId="5AABFA5C">
            <w:pPr>
              <w:jc w:val="center"/>
              <w:rPr>
                <w:color w:val="auto"/>
                <w:sz w:val="18"/>
                <w:szCs w:val="18"/>
              </w:rPr>
            </w:pPr>
            <w:r>
              <w:rPr>
                <w:rFonts w:hint="eastAsia"/>
                <w:color w:val="auto"/>
                <w:sz w:val="18"/>
                <w:szCs w:val="18"/>
              </w:rPr>
              <w:t>1</w:t>
            </w:r>
          </w:p>
        </w:tc>
        <w:tc>
          <w:tcPr>
            <w:tcW w:w="1045" w:type="dxa"/>
            <w:vMerge w:val="restart"/>
            <w:vAlign w:val="center"/>
          </w:tcPr>
          <w:p w14:paraId="66254D78">
            <w:pPr>
              <w:adjustRightInd w:val="0"/>
              <w:snapToGrid w:val="0"/>
              <w:jc w:val="center"/>
              <w:rPr>
                <w:i/>
                <w:color w:val="auto"/>
                <w:sz w:val="18"/>
                <w:szCs w:val="18"/>
              </w:rPr>
            </w:pPr>
          </w:p>
        </w:tc>
      </w:tr>
      <w:tr w14:paraId="1A1A6F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26B579AC">
            <w:pPr>
              <w:jc w:val="center"/>
              <w:rPr>
                <w:b/>
                <w:color w:val="auto"/>
                <w:sz w:val="18"/>
                <w:szCs w:val="18"/>
              </w:rPr>
            </w:pPr>
          </w:p>
        </w:tc>
        <w:tc>
          <w:tcPr>
            <w:tcW w:w="1504" w:type="dxa"/>
            <w:vMerge w:val="continue"/>
            <w:vAlign w:val="center"/>
          </w:tcPr>
          <w:p w14:paraId="18C68216">
            <w:pPr>
              <w:jc w:val="center"/>
              <w:rPr>
                <w:b/>
                <w:color w:val="auto"/>
                <w:sz w:val="18"/>
                <w:szCs w:val="18"/>
              </w:rPr>
            </w:pPr>
          </w:p>
        </w:tc>
        <w:tc>
          <w:tcPr>
            <w:tcW w:w="3238" w:type="dxa"/>
            <w:shd w:val="clear" w:color="auto" w:fill="auto"/>
            <w:vAlign w:val="center"/>
          </w:tcPr>
          <w:p w14:paraId="688F0B0C">
            <w:pPr>
              <w:rPr>
                <w:rFonts w:ascii="Times New Roman" w:hAnsi="Times New Roman" w:eastAsia="宋体" w:cs="Times New Roman"/>
                <w:color w:val="auto"/>
                <w:kern w:val="2"/>
                <w:sz w:val="18"/>
                <w:szCs w:val="18"/>
                <w:lang w:val="en-US" w:eastAsia="zh-CN" w:bidi="ar-SA"/>
              </w:rPr>
            </w:pPr>
            <w:r>
              <w:rPr>
                <w:color w:val="auto"/>
                <w:sz w:val="18"/>
                <w:szCs w:val="18"/>
              </w:rPr>
              <w:t>学术活动</w:t>
            </w:r>
          </w:p>
        </w:tc>
        <w:tc>
          <w:tcPr>
            <w:tcW w:w="1081" w:type="dxa"/>
            <w:shd w:val="clear" w:color="auto" w:fill="auto"/>
            <w:vAlign w:val="center"/>
          </w:tcPr>
          <w:p w14:paraId="127560C3">
            <w:pPr>
              <w:jc w:val="center"/>
              <w:rPr>
                <w:rFonts w:ascii="Times New Roman" w:hAnsi="Times New Roman" w:eastAsia="宋体" w:cs="Times New Roman"/>
                <w:color w:val="auto"/>
                <w:kern w:val="2"/>
                <w:sz w:val="18"/>
                <w:szCs w:val="18"/>
                <w:lang w:val="en-US" w:eastAsia="zh-CN" w:bidi="ar-SA"/>
              </w:rPr>
            </w:pPr>
          </w:p>
        </w:tc>
        <w:tc>
          <w:tcPr>
            <w:tcW w:w="709" w:type="dxa"/>
            <w:shd w:val="clear" w:color="auto" w:fill="auto"/>
            <w:vAlign w:val="center"/>
          </w:tcPr>
          <w:p w14:paraId="259498C3">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kern w:val="2"/>
                <w:sz w:val="18"/>
                <w:szCs w:val="18"/>
                <w:lang w:val="en-US" w:eastAsia="zh-CN" w:bidi="ar-SA"/>
              </w:rPr>
              <w:t>1</w:t>
            </w:r>
          </w:p>
        </w:tc>
        <w:tc>
          <w:tcPr>
            <w:tcW w:w="709" w:type="dxa"/>
            <w:shd w:val="clear" w:color="auto" w:fill="auto"/>
            <w:vAlign w:val="center"/>
          </w:tcPr>
          <w:p w14:paraId="05F464F8">
            <w:pPr>
              <w:jc w:val="center"/>
              <w:rPr>
                <w:rFonts w:hint="eastAsia" w:ascii="Times New Roman" w:hAnsi="Times New Roman" w:eastAsia="宋体" w:cs="Times New Roman"/>
                <w:color w:val="auto"/>
                <w:kern w:val="2"/>
                <w:sz w:val="18"/>
                <w:szCs w:val="18"/>
                <w:lang w:val="en-US" w:eastAsia="zh-CN" w:bidi="ar-SA"/>
              </w:rPr>
            </w:pPr>
            <w:r>
              <w:rPr>
                <w:rFonts w:hint="eastAsia"/>
                <w:color w:val="auto"/>
                <w:sz w:val="18"/>
                <w:szCs w:val="18"/>
              </w:rPr>
              <w:t>1-</w:t>
            </w:r>
            <w:r>
              <w:rPr>
                <w:rFonts w:hint="eastAsia"/>
                <w:color w:val="auto"/>
                <w:sz w:val="18"/>
                <w:szCs w:val="18"/>
                <w:lang w:val="en-US" w:eastAsia="zh-CN"/>
              </w:rPr>
              <w:t>5</w:t>
            </w:r>
          </w:p>
        </w:tc>
        <w:tc>
          <w:tcPr>
            <w:tcW w:w="1045" w:type="dxa"/>
            <w:vMerge w:val="continue"/>
            <w:vAlign w:val="center"/>
          </w:tcPr>
          <w:p w14:paraId="307652FD">
            <w:pPr>
              <w:jc w:val="center"/>
              <w:rPr>
                <w:color w:val="auto"/>
                <w:sz w:val="18"/>
                <w:szCs w:val="18"/>
              </w:rPr>
            </w:pPr>
          </w:p>
        </w:tc>
      </w:tr>
      <w:tr w14:paraId="44EC619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0FE6122A">
            <w:pPr>
              <w:rPr>
                <w:b/>
                <w:color w:val="auto"/>
                <w:sz w:val="18"/>
                <w:szCs w:val="18"/>
              </w:rPr>
            </w:pPr>
          </w:p>
        </w:tc>
        <w:tc>
          <w:tcPr>
            <w:tcW w:w="1504" w:type="dxa"/>
            <w:vMerge w:val="restart"/>
            <w:vAlign w:val="center"/>
          </w:tcPr>
          <w:p w14:paraId="7BA785EF">
            <w:pPr>
              <w:jc w:val="center"/>
              <w:rPr>
                <w:rFonts w:hint="eastAsia" w:eastAsia="宋体"/>
                <w:b/>
                <w:color w:val="auto"/>
                <w:sz w:val="18"/>
                <w:szCs w:val="18"/>
                <w:lang w:eastAsia="zh-CN"/>
              </w:rPr>
            </w:pPr>
            <w:r>
              <w:rPr>
                <w:rFonts w:hint="eastAsia"/>
                <w:b/>
                <w:color w:val="auto"/>
                <w:sz w:val="18"/>
                <w:szCs w:val="18"/>
                <w:lang w:eastAsia="zh-CN"/>
              </w:rPr>
              <w:t>学术训练</w:t>
            </w:r>
          </w:p>
        </w:tc>
        <w:tc>
          <w:tcPr>
            <w:tcW w:w="3238" w:type="dxa"/>
            <w:shd w:val="clear" w:color="auto" w:fill="auto"/>
            <w:vAlign w:val="center"/>
          </w:tcPr>
          <w:p w14:paraId="268AD1D6">
            <w:pPr>
              <w:rPr>
                <w:rFonts w:ascii="Times New Roman" w:hAnsi="Times New Roman" w:eastAsia="宋体" w:cs="Times New Roman"/>
                <w:color w:val="auto"/>
                <w:kern w:val="2"/>
                <w:sz w:val="18"/>
                <w:szCs w:val="18"/>
                <w:lang w:val="en-US" w:eastAsia="zh-CN" w:bidi="ar-SA"/>
              </w:rPr>
            </w:pPr>
            <w:r>
              <w:rPr>
                <w:color w:val="auto"/>
                <w:sz w:val="18"/>
                <w:szCs w:val="18"/>
              </w:rPr>
              <w:t>中期筛选</w:t>
            </w:r>
          </w:p>
        </w:tc>
        <w:tc>
          <w:tcPr>
            <w:tcW w:w="1081" w:type="dxa"/>
            <w:shd w:val="clear" w:color="auto" w:fill="auto"/>
            <w:vAlign w:val="center"/>
          </w:tcPr>
          <w:p w14:paraId="55B9F73C">
            <w:pPr>
              <w:jc w:val="center"/>
              <w:rPr>
                <w:rFonts w:ascii="Times New Roman" w:hAnsi="Times New Roman" w:eastAsia="宋体" w:cs="Times New Roman"/>
                <w:color w:val="auto"/>
                <w:kern w:val="2"/>
                <w:sz w:val="18"/>
                <w:szCs w:val="18"/>
                <w:lang w:val="en-US" w:eastAsia="zh-CN" w:bidi="ar-SA"/>
              </w:rPr>
            </w:pPr>
          </w:p>
        </w:tc>
        <w:tc>
          <w:tcPr>
            <w:tcW w:w="709" w:type="dxa"/>
            <w:shd w:val="clear" w:color="auto" w:fill="auto"/>
            <w:vAlign w:val="center"/>
          </w:tcPr>
          <w:p w14:paraId="329EF906">
            <w:pPr>
              <w:jc w:val="center"/>
              <w:rPr>
                <w:rFonts w:ascii="Times New Roman" w:hAnsi="Times New Roman" w:eastAsia="宋体" w:cs="Times New Roman"/>
                <w:color w:val="auto"/>
                <w:kern w:val="2"/>
                <w:sz w:val="18"/>
                <w:szCs w:val="18"/>
                <w:lang w:val="en-US" w:eastAsia="zh-CN" w:bidi="ar-SA"/>
              </w:rPr>
            </w:pPr>
          </w:p>
        </w:tc>
        <w:tc>
          <w:tcPr>
            <w:tcW w:w="709" w:type="dxa"/>
            <w:shd w:val="clear" w:color="auto" w:fill="auto"/>
            <w:vAlign w:val="center"/>
          </w:tcPr>
          <w:p w14:paraId="02DDFB58">
            <w:pPr>
              <w:jc w:val="center"/>
              <w:rPr>
                <w:rFonts w:hint="default" w:ascii="Times New Roman" w:hAnsi="Times New Roman" w:eastAsia="宋体" w:cs="Times New Roman"/>
                <w:color w:val="auto"/>
                <w:kern w:val="2"/>
                <w:sz w:val="18"/>
                <w:szCs w:val="18"/>
                <w:lang w:val="en-US" w:eastAsia="zh-CN" w:bidi="ar-SA"/>
              </w:rPr>
            </w:pPr>
            <w:r>
              <w:rPr>
                <w:rFonts w:hint="eastAsia" w:cs="Times New Roman"/>
                <w:color w:val="auto"/>
                <w:kern w:val="2"/>
                <w:sz w:val="18"/>
                <w:szCs w:val="18"/>
                <w:lang w:val="en-US" w:eastAsia="zh-CN" w:bidi="ar-SA"/>
              </w:rPr>
              <w:t>4</w:t>
            </w:r>
          </w:p>
        </w:tc>
        <w:tc>
          <w:tcPr>
            <w:tcW w:w="1045" w:type="dxa"/>
            <w:vMerge w:val="restart"/>
            <w:vAlign w:val="center"/>
          </w:tcPr>
          <w:p w14:paraId="381BDA28">
            <w:pPr>
              <w:jc w:val="center"/>
              <w:rPr>
                <w:color w:val="auto"/>
                <w:sz w:val="18"/>
                <w:szCs w:val="18"/>
              </w:rPr>
            </w:pPr>
            <w:r>
              <w:rPr>
                <w:color w:val="auto"/>
                <w:sz w:val="18"/>
                <w:szCs w:val="18"/>
              </w:rPr>
              <w:t>过程管理</w:t>
            </w:r>
          </w:p>
          <w:p w14:paraId="04957DCC">
            <w:pPr>
              <w:jc w:val="center"/>
              <w:rPr>
                <w:color w:val="auto"/>
                <w:sz w:val="18"/>
                <w:szCs w:val="18"/>
              </w:rPr>
            </w:pPr>
            <w:r>
              <w:rPr>
                <w:color w:val="auto"/>
                <w:sz w:val="18"/>
                <w:szCs w:val="18"/>
              </w:rPr>
              <w:t>无学分</w:t>
            </w:r>
          </w:p>
        </w:tc>
      </w:tr>
      <w:tr w14:paraId="73236A5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582C06B4">
            <w:pPr>
              <w:rPr>
                <w:b/>
                <w:color w:val="auto"/>
                <w:sz w:val="18"/>
                <w:szCs w:val="18"/>
              </w:rPr>
            </w:pPr>
          </w:p>
        </w:tc>
        <w:tc>
          <w:tcPr>
            <w:tcW w:w="1504" w:type="dxa"/>
            <w:vMerge w:val="continue"/>
            <w:vAlign w:val="center"/>
          </w:tcPr>
          <w:p w14:paraId="76D2BB2C">
            <w:pPr>
              <w:jc w:val="center"/>
              <w:rPr>
                <w:rFonts w:hint="eastAsia" w:eastAsia="宋体"/>
                <w:b/>
                <w:color w:val="auto"/>
                <w:sz w:val="18"/>
                <w:szCs w:val="18"/>
                <w:lang w:eastAsia="zh-CN"/>
              </w:rPr>
            </w:pPr>
          </w:p>
        </w:tc>
        <w:tc>
          <w:tcPr>
            <w:tcW w:w="3238" w:type="dxa"/>
            <w:vAlign w:val="center"/>
          </w:tcPr>
          <w:p w14:paraId="104C9A69">
            <w:pPr>
              <w:rPr>
                <w:color w:val="auto"/>
                <w:sz w:val="18"/>
                <w:szCs w:val="18"/>
              </w:rPr>
            </w:pPr>
            <w:r>
              <w:rPr>
                <w:color w:val="auto"/>
                <w:sz w:val="18"/>
                <w:szCs w:val="18"/>
              </w:rPr>
              <w:t>论文开题</w:t>
            </w:r>
          </w:p>
        </w:tc>
        <w:tc>
          <w:tcPr>
            <w:tcW w:w="1081" w:type="dxa"/>
            <w:vAlign w:val="center"/>
          </w:tcPr>
          <w:p w14:paraId="6A0033FF">
            <w:pPr>
              <w:jc w:val="center"/>
              <w:rPr>
                <w:color w:val="auto"/>
                <w:sz w:val="18"/>
                <w:szCs w:val="18"/>
              </w:rPr>
            </w:pPr>
          </w:p>
        </w:tc>
        <w:tc>
          <w:tcPr>
            <w:tcW w:w="709" w:type="dxa"/>
            <w:vAlign w:val="center"/>
          </w:tcPr>
          <w:p w14:paraId="7DF7A4D4">
            <w:pPr>
              <w:jc w:val="center"/>
              <w:rPr>
                <w:color w:val="auto"/>
                <w:sz w:val="18"/>
                <w:szCs w:val="18"/>
              </w:rPr>
            </w:pPr>
          </w:p>
        </w:tc>
        <w:tc>
          <w:tcPr>
            <w:tcW w:w="709" w:type="dxa"/>
            <w:vAlign w:val="center"/>
          </w:tcPr>
          <w:p w14:paraId="69319518">
            <w:pPr>
              <w:jc w:val="center"/>
              <w:rPr>
                <w:rFonts w:hint="eastAsia" w:eastAsia="宋体"/>
                <w:color w:val="auto"/>
                <w:sz w:val="18"/>
                <w:szCs w:val="18"/>
                <w:lang w:eastAsia="zh-CN"/>
              </w:rPr>
            </w:pPr>
            <w:r>
              <w:rPr>
                <w:rFonts w:hint="eastAsia"/>
                <w:color w:val="auto"/>
                <w:sz w:val="18"/>
                <w:szCs w:val="18"/>
                <w:lang w:val="en-US" w:eastAsia="zh-CN"/>
              </w:rPr>
              <w:t>4</w:t>
            </w:r>
          </w:p>
        </w:tc>
        <w:tc>
          <w:tcPr>
            <w:tcW w:w="1045" w:type="dxa"/>
            <w:vMerge w:val="continue"/>
            <w:vAlign w:val="center"/>
          </w:tcPr>
          <w:p w14:paraId="2046D0EE">
            <w:pPr>
              <w:jc w:val="center"/>
              <w:rPr>
                <w:color w:val="auto"/>
                <w:sz w:val="18"/>
                <w:szCs w:val="18"/>
              </w:rPr>
            </w:pPr>
          </w:p>
        </w:tc>
      </w:tr>
      <w:tr w14:paraId="5673D6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503E5907">
            <w:pPr>
              <w:rPr>
                <w:b/>
                <w:color w:val="auto"/>
                <w:sz w:val="18"/>
                <w:szCs w:val="18"/>
              </w:rPr>
            </w:pPr>
          </w:p>
        </w:tc>
        <w:tc>
          <w:tcPr>
            <w:tcW w:w="1504" w:type="dxa"/>
            <w:vMerge w:val="continue"/>
            <w:vAlign w:val="center"/>
          </w:tcPr>
          <w:p w14:paraId="45FB69AF">
            <w:pPr>
              <w:jc w:val="center"/>
              <w:rPr>
                <w:rFonts w:hint="eastAsia" w:eastAsia="宋体"/>
                <w:b/>
                <w:color w:val="auto"/>
                <w:sz w:val="18"/>
                <w:szCs w:val="18"/>
                <w:lang w:eastAsia="zh-CN"/>
              </w:rPr>
            </w:pPr>
          </w:p>
        </w:tc>
        <w:tc>
          <w:tcPr>
            <w:tcW w:w="3238" w:type="dxa"/>
            <w:vAlign w:val="center"/>
          </w:tcPr>
          <w:p w14:paraId="3930DCA8">
            <w:pPr>
              <w:rPr>
                <w:rFonts w:hint="eastAsia" w:eastAsia="宋体"/>
                <w:color w:val="auto"/>
                <w:sz w:val="18"/>
                <w:szCs w:val="18"/>
                <w:lang w:eastAsia="zh-CN"/>
              </w:rPr>
            </w:pPr>
            <w:r>
              <w:rPr>
                <w:rFonts w:hint="eastAsia"/>
                <w:color w:val="auto"/>
                <w:sz w:val="18"/>
                <w:szCs w:val="18"/>
                <w:lang w:eastAsia="zh-CN"/>
              </w:rPr>
              <w:t>论文中期进展报告</w:t>
            </w:r>
          </w:p>
        </w:tc>
        <w:tc>
          <w:tcPr>
            <w:tcW w:w="1081" w:type="dxa"/>
            <w:vAlign w:val="center"/>
          </w:tcPr>
          <w:p w14:paraId="5ED375A3">
            <w:pPr>
              <w:jc w:val="center"/>
              <w:rPr>
                <w:color w:val="auto"/>
                <w:sz w:val="18"/>
                <w:szCs w:val="18"/>
              </w:rPr>
            </w:pPr>
          </w:p>
        </w:tc>
        <w:tc>
          <w:tcPr>
            <w:tcW w:w="709" w:type="dxa"/>
            <w:vAlign w:val="center"/>
          </w:tcPr>
          <w:p w14:paraId="568493A4">
            <w:pPr>
              <w:jc w:val="center"/>
              <w:rPr>
                <w:color w:val="auto"/>
                <w:sz w:val="18"/>
                <w:szCs w:val="18"/>
              </w:rPr>
            </w:pPr>
          </w:p>
        </w:tc>
        <w:tc>
          <w:tcPr>
            <w:tcW w:w="709" w:type="dxa"/>
            <w:vAlign w:val="center"/>
          </w:tcPr>
          <w:p w14:paraId="1555B83F">
            <w:pPr>
              <w:jc w:val="center"/>
              <w:rPr>
                <w:rFonts w:hint="eastAsia" w:eastAsia="宋体"/>
                <w:color w:val="auto"/>
                <w:sz w:val="18"/>
                <w:szCs w:val="18"/>
                <w:lang w:val="en-US" w:eastAsia="zh-CN"/>
              </w:rPr>
            </w:pPr>
            <w:r>
              <w:rPr>
                <w:rFonts w:hint="eastAsia"/>
                <w:color w:val="auto"/>
                <w:sz w:val="18"/>
                <w:szCs w:val="18"/>
                <w:lang w:val="en-US" w:eastAsia="zh-CN"/>
              </w:rPr>
              <w:t>4</w:t>
            </w:r>
          </w:p>
        </w:tc>
        <w:tc>
          <w:tcPr>
            <w:tcW w:w="1045" w:type="dxa"/>
            <w:vMerge w:val="continue"/>
            <w:vAlign w:val="center"/>
          </w:tcPr>
          <w:p w14:paraId="5024B7E6">
            <w:pPr>
              <w:jc w:val="center"/>
              <w:rPr>
                <w:color w:val="auto"/>
                <w:sz w:val="18"/>
                <w:szCs w:val="18"/>
              </w:rPr>
            </w:pPr>
          </w:p>
        </w:tc>
      </w:tr>
      <w:tr w14:paraId="3DC290A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39519080">
            <w:pPr>
              <w:rPr>
                <w:b/>
                <w:color w:val="auto"/>
                <w:sz w:val="18"/>
                <w:szCs w:val="18"/>
              </w:rPr>
            </w:pPr>
          </w:p>
        </w:tc>
        <w:tc>
          <w:tcPr>
            <w:tcW w:w="1504" w:type="dxa"/>
            <w:vMerge w:val="continue"/>
            <w:vAlign w:val="center"/>
          </w:tcPr>
          <w:p w14:paraId="44237026">
            <w:pPr>
              <w:jc w:val="center"/>
              <w:rPr>
                <w:b/>
                <w:color w:val="auto"/>
                <w:sz w:val="18"/>
                <w:szCs w:val="18"/>
              </w:rPr>
            </w:pPr>
          </w:p>
        </w:tc>
        <w:tc>
          <w:tcPr>
            <w:tcW w:w="3238" w:type="dxa"/>
            <w:vAlign w:val="center"/>
          </w:tcPr>
          <w:p w14:paraId="6A4BD85C">
            <w:pPr>
              <w:rPr>
                <w:color w:val="auto"/>
                <w:sz w:val="18"/>
                <w:szCs w:val="18"/>
              </w:rPr>
            </w:pPr>
            <w:r>
              <w:rPr>
                <w:rFonts w:hint="eastAsia"/>
                <w:color w:val="auto"/>
                <w:sz w:val="18"/>
                <w:szCs w:val="18"/>
              </w:rPr>
              <w:t>论文</w:t>
            </w:r>
            <w:r>
              <w:rPr>
                <w:color w:val="auto"/>
                <w:sz w:val="18"/>
                <w:szCs w:val="18"/>
              </w:rPr>
              <w:t>预答辩</w:t>
            </w:r>
          </w:p>
        </w:tc>
        <w:tc>
          <w:tcPr>
            <w:tcW w:w="1081" w:type="dxa"/>
            <w:vAlign w:val="center"/>
          </w:tcPr>
          <w:p w14:paraId="44F8FA5F">
            <w:pPr>
              <w:jc w:val="center"/>
              <w:rPr>
                <w:color w:val="auto"/>
                <w:sz w:val="18"/>
                <w:szCs w:val="18"/>
              </w:rPr>
            </w:pPr>
          </w:p>
        </w:tc>
        <w:tc>
          <w:tcPr>
            <w:tcW w:w="709" w:type="dxa"/>
            <w:vAlign w:val="center"/>
          </w:tcPr>
          <w:p w14:paraId="41BAEB23">
            <w:pPr>
              <w:jc w:val="center"/>
              <w:rPr>
                <w:color w:val="auto"/>
                <w:sz w:val="18"/>
                <w:szCs w:val="18"/>
              </w:rPr>
            </w:pPr>
          </w:p>
        </w:tc>
        <w:tc>
          <w:tcPr>
            <w:tcW w:w="709" w:type="dxa"/>
            <w:vAlign w:val="center"/>
          </w:tcPr>
          <w:p w14:paraId="10F85D14">
            <w:pPr>
              <w:jc w:val="center"/>
              <w:rPr>
                <w:color w:val="auto"/>
                <w:sz w:val="18"/>
                <w:szCs w:val="18"/>
              </w:rPr>
            </w:pPr>
            <w:r>
              <w:rPr>
                <w:rFonts w:hint="eastAsia"/>
                <w:color w:val="auto"/>
                <w:sz w:val="18"/>
                <w:szCs w:val="18"/>
              </w:rPr>
              <w:t>6</w:t>
            </w:r>
          </w:p>
        </w:tc>
        <w:tc>
          <w:tcPr>
            <w:tcW w:w="1045" w:type="dxa"/>
            <w:vMerge w:val="continue"/>
          </w:tcPr>
          <w:p w14:paraId="193E4374">
            <w:pPr>
              <w:jc w:val="center"/>
              <w:rPr>
                <w:color w:val="auto"/>
                <w:sz w:val="18"/>
                <w:szCs w:val="18"/>
              </w:rPr>
            </w:pPr>
          </w:p>
        </w:tc>
      </w:tr>
      <w:tr w14:paraId="70D8402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4EDEFEA4">
            <w:pPr>
              <w:rPr>
                <w:color w:val="auto"/>
                <w:sz w:val="18"/>
                <w:szCs w:val="18"/>
              </w:rPr>
            </w:pPr>
          </w:p>
        </w:tc>
        <w:tc>
          <w:tcPr>
            <w:tcW w:w="1504" w:type="dxa"/>
            <w:vMerge w:val="continue"/>
          </w:tcPr>
          <w:p w14:paraId="29B598F5">
            <w:pPr>
              <w:jc w:val="center"/>
              <w:rPr>
                <w:color w:val="auto"/>
                <w:sz w:val="18"/>
                <w:szCs w:val="18"/>
              </w:rPr>
            </w:pPr>
          </w:p>
        </w:tc>
        <w:tc>
          <w:tcPr>
            <w:tcW w:w="3238" w:type="dxa"/>
            <w:vAlign w:val="center"/>
          </w:tcPr>
          <w:p w14:paraId="70E178D0">
            <w:pPr>
              <w:rPr>
                <w:color w:val="auto"/>
                <w:sz w:val="18"/>
                <w:szCs w:val="18"/>
              </w:rPr>
            </w:pPr>
            <w:r>
              <w:rPr>
                <w:rFonts w:hint="eastAsia"/>
                <w:color w:val="auto"/>
                <w:sz w:val="18"/>
                <w:szCs w:val="18"/>
              </w:rPr>
              <w:t>论文</w:t>
            </w:r>
            <w:r>
              <w:rPr>
                <w:color w:val="auto"/>
                <w:sz w:val="18"/>
                <w:szCs w:val="18"/>
              </w:rPr>
              <w:t>评审</w:t>
            </w:r>
          </w:p>
        </w:tc>
        <w:tc>
          <w:tcPr>
            <w:tcW w:w="1081" w:type="dxa"/>
            <w:vAlign w:val="center"/>
          </w:tcPr>
          <w:p w14:paraId="66C6BF6A">
            <w:pPr>
              <w:jc w:val="center"/>
              <w:rPr>
                <w:color w:val="auto"/>
                <w:sz w:val="18"/>
                <w:szCs w:val="18"/>
              </w:rPr>
            </w:pPr>
          </w:p>
        </w:tc>
        <w:tc>
          <w:tcPr>
            <w:tcW w:w="709" w:type="dxa"/>
            <w:vAlign w:val="center"/>
          </w:tcPr>
          <w:p w14:paraId="58F454FF">
            <w:pPr>
              <w:jc w:val="center"/>
              <w:rPr>
                <w:color w:val="auto"/>
                <w:sz w:val="18"/>
                <w:szCs w:val="18"/>
              </w:rPr>
            </w:pPr>
          </w:p>
        </w:tc>
        <w:tc>
          <w:tcPr>
            <w:tcW w:w="709" w:type="dxa"/>
            <w:vAlign w:val="center"/>
          </w:tcPr>
          <w:p w14:paraId="46CA8E6E">
            <w:pPr>
              <w:jc w:val="center"/>
              <w:rPr>
                <w:color w:val="auto"/>
                <w:sz w:val="18"/>
                <w:szCs w:val="18"/>
              </w:rPr>
            </w:pPr>
            <w:r>
              <w:rPr>
                <w:rFonts w:hint="eastAsia"/>
                <w:color w:val="auto"/>
                <w:sz w:val="18"/>
                <w:szCs w:val="18"/>
              </w:rPr>
              <w:t>6</w:t>
            </w:r>
          </w:p>
        </w:tc>
        <w:tc>
          <w:tcPr>
            <w:tcW w:w="1045" w:type="dxa"/>
            <w:vMerge w:val="continue"/>
          </w:tcPr>
          <w:p w14:paraId="40FCD7FA">
            <w:pPr>
              <w:jc w:val="center"/>
              <w:rPr>
                <w:color w:val="auto"/>
                <w:sz w:val="18"/>
                <w:szCs w:val="18"/>
              </w:rPr>
            </w:pPr>
          </w:p>
        </w:tc>
      </w:tr>
      <w:tr w14:paraId="5F41909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7C96A715">
            <w:pPr>
              <w:rPr>
                <w:color w:val="auto"/>
                <w:sz w:val="18"/>
                <w:szCs w:val="18"/>
              </w:rPr>
            </w:pPr>
          </w:p>
        </w:tc>
        <w:tc>
          <w:tcPr>
            <w:tcW w:w="1504" w:type="dxa"/>
            <w:vMerge w:val="continue"/>
          </w:tcPr>
          <w:p w14:paraId="29113CDE">
            <w:pPr>
              <w:jc w:val="center"/>
              <w:rPr>
                <w:color w:val="auto"/>
                <w:sz w:val="18"/>
                <w:szCs w:val="18"/>
              </w:rPr>
            </w:pPr>
          </w:p>
        </w:tc>
        <w:tc>
          <w:tcPr>
            <w:tcW w:w="3238" w:type="dxa"/>
            <w:vAlign w:val="center"/>
          </w:tcPr>
          <w:p w14:paraId="64A1BD3F">
            <w:pPr>
              <w:rPr>
                <w:color w:val="auto"/>
                <w:sz w:val="18"/>
                <w:szCs w:val="18"/>
              </w:rPr>
            </w:pPr>
            <w:r>
              <w:rPr>
                <w:rFonts w:hint="eastAsia"/>
                <w:color w:val="auto"/>
                <w:sz w:val="18"/>
                <w:szCs w:val="18"/>
              </w:rPr>
              <w:t>论文</w:t>
            </w:r>
            <w:r>
              <w:rPr>
                <w:color w:val="auto"/>
                <w:sz w:val="18"/>
                <w:szCs w:val="18"/>
              </w:rPr>
              <w:t>答辩</w:t>
            </w:r>
          </w:p>
        </w:tc>
        <w:tc>
          <w:tcPr>
            <w:tcW w:w="1081" w:type="dxa"/>
            <w:vAlign w:val="center"/>
          </w:tcPr>
          <w:p w14:paraId="70F6E8A2">
            <w:pPr>
              <w:jc w:val="center"/>
              <w:rPr>
                <w:color w:val="auto"/>
                <w:sz w:val="18"/>
                <w:szCs w:val="18"/>
              </w:rPr>
            </w:pPr>
          </w:p>
        </w:tc>
        <w:tc>
          <w:tcPr>
            <w:tcW w:w="709" w:type="dxa"/>
            <w:vAlign w:val="center"/>
          </w:tcPr>
          <w:p w14:paraId="6AC90145">
            <w:pPr>
              <w:jc w:val="center"/>
              <w:rPr>
                <w:color w:val="auto"/>
                <w:sz w:val="18"/>
                <w:szCs w:val="18"/>
              </w:rPr>
            </w:pPr>
          </w:p>
        </w:tc>
        <w:tc>
          <w:tcPr>
            <w:tcW w:w="709" w:type="dxa"/>
            <w:vAlign w:val="center"/>
          </w:tcPr>
          <w:p w14:paraId="65691C96">
            <w:pPr>
              <w:jc w:val="center"/>
              <w:rPr>
                <w:color w:val="auto"/>
                <w:sz w:val="18"/>
                <w:szCs w:val="18"/>
              </w:rPr>
            </w:pPr>
            <w:r>
              <w:rPr>
                <w:rFonts w:hint="eastAsia"/>
                <w:color w:val="auto"/>
                <w:sz w:val="18"/>
                <w:szCs w:val="18"/>
              </w:rPr>
              <w:t>6</w:t>
            </w:r>
          </w:p>
        </w:tc>
        <w:tc>
          <w:tcPr>
            <w:tcW w:w="1045" w:type="dxa"/>
            <w:vMerge w:val="continue"/>
          </w:tcPr>
          <w:p w14:paraId="27FDFE11">
            <w:pPr>
              <w:jc w:val="center"/>
              <w:rPr>
                <w:color w:val="auto"/>
                <w:sz w:val="18"/>
                <w:szCs w:val="18"/>
              </w:rPr>
            </w:pPr>
          </w:p>
        </w:tc>
      </w:tr>
    </w:tbl>
    <w:p w14:paraId="143FBD9D">
      <w:pPr>
        <w:keepNext w:val="0"/>
        <w:keepLines w:val="0"/>
        <w:pageBreakBefore w:val="0"/>
        <w:kinsoku/>
        <w:wordWrap/>
        <w:overflowPunct/>
        <w:topLinePunct w:val="0"/>
        <w:autoSpaceDE/>
        <w:autoSpaceDN/>
        <w:bidi w:val="0"/>
        <w:spacing w:beforeAutospacing="0" w:afterAutospacing="0" w:line="360" w:lineRule="auto"/>
        <w:ind w:left="0" w:leftChars="0" w:right="0" w:firstLine="560" w:firstLineChars="200"/>
        <w:textAlignment w:val="auto"/>
        <w:rPr>
          <w:rFonts w:eastAsia="黑体"/>
          <w:bCs/>
          <w:sz w:val="28"/>
          <w:szCs w:val="28"/>
        </w:rPr>
      </w:pPr>
    </w:p>
    <w:p w14:paraId="7DB2945A">
      <w:pPr>
        <w:keepNext w:val="0"/>
        <w:keepLines w:val="0"/>
        <w:pageBreakBefore w:val="0"/>
        <w:kinsoku/>
        <w:wordWrap/>
        <w:overflowPunct/>
        <w:topLinePunct w:val="0"/>
        <w:autoSpaceDE/>
        <w:autoSpaceDN/>
        <w:bidi w:val="0"/>
        <w:spacing w:beforeAutospacing="0" w:afterAutospacing="0" w:line="360" w:lineRule="auto"/>
        <w:ind w:left="0" w:leftChars="0" w:right="0" w:firstLine="560" w:firstLineChars="200"/>
        <w:textAlignment w:val="auto"/>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31EC3445">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1、学位课为一级学科下所有专业方向的必修课程。必修环节为研究生培养过程中必须完成的培养活动。</w:t>
      </w:r>
    </w:p>
    <w:p w14:paraId="4EF27CE1">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2、公共必修课中的外语课程按入学时的外国语考试科目修读相关语种。</w:t>
      </w:r>
    </w:p>
    <w:p w14:paraId="6B4D19E8">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3、公共通识课程中的通修为必选课程。</w:t>
      </w:r>
    </w:p>
    <w:p w14:paraId="5B075322">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4、按专业方向设置的非学位课方向课应至少按录取专业所对应的方向完成其中一个方向的修读要求。</w:t>
      </w:r>
    </w:p>
    <w:p w14:paraId="3AB18204">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eastAsia="黑体"/>
          <w:bCs/>
          <w:sz w:val="24"/>
        </w:rPr>
      </w:pPr>
      <w:r>
        <w:rPr>
          <w:rFonts w:hint="eastAsia" w:eastAsiaTheme="minorEastAsia"/>
          <w:bCs/>
          <w:sz w:val="24"/>
          <w:lang w:val="en-US" w:eastAsia="zh-CN"/>
        </w:rPr>
        <w:t>5、</w:t>
      </w:r>
      <w:r>
        <w:rPr>
          <w:rFonts w:eastAsiaTheme="minorEastAsia"/>
          <w:bCs/>
          <w:sz w:val="24"/>
        </w:rPr>
        <w:t>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楷体">
    <w:panose1 w:val="02010609060101010101"/>
    <w:charset w:val="86"/>
    <w:family w:val="modern"/>
    <w:pitch w:val="default"/>
    <w:sig w:usb0="800002BF" w:usb1="38CF7CFA" w:usb2="00000016" w:usb3="00000000" w:csb0="00040001"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3AAA20"/>
    <w:multiLevelType w:val="singleLevel"/>
    <w:tmpl w:val="C83AAA2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4310280"/>
    <w:rsid w:val="05545FD4"/>
    <w:rsid w:val="098053EB"/>
    <w:rsid w:val="09B36B5F"/>
    <w:rsid w:val="09C27ACD"/>
    <w:rsid w:val="0AB318A3"/>
    <w:rsid w:val="0B037C8A"/>
    <w:rsid w:val="0C1D0EEF"/>
    <w:rsid w:val="0C611ACF"/>
    <w:rsid w:val="0F5F0397"/>
    <w:rsid w:val="12687563"/>
    <w:rsid w:val="15374954"/>
    <w:rsid w:val="18137F71"/>
    <w:rsid w:val="182D7794"/>
    <w:rsid w:val="18DB5C7B"/>
    <w:rsid w:val="1BB70BD2"/>
    <w:rsid w:val="1CC655B2"/>
    <w:rsid w:val="1CEA4336"/>
    <w:rsid w:val="1E515134"/>
    <w:rsid w:val="1EF7468E"/>
    <w:rsid w:val="1F4E0726"/>
    <w:rsid w:val="1FE96C05"/>
    <w:rsid w:val="22A24F21"/>
    <w:rsid w:val="268169ED"/>
    <w:rsid w:val="29995DFC"/>
    <w:rsid w:val="2CDF621C"/>
    <w:rsid w:val="2D1B36F8"/>
    <w:rsid w:val="2E0028ED"/>
    <w:rsid w:val="31A9402D"/>
    <w:rsid w:val="32C1089D"/>
    <w:rsid w:val="3316226B"/>
    <w:rsid w:val="331C24AB"/>
    <w:rsid w:val="35066A3B"/>
    <w:rsid w:val="368C56C3"/>
    <w:rsid w:val="36E25286"/>
    <w:rsid w:val="374603E0"/>
    <w:rsid w:val="3A805908"/>
    <w:rsid w:val="3B722D63"/>
    <w:rsid w:val="3BC02F15"/>
    <w:rsid w:val="3D112421"/>
    <w:rsid w:val="3D54230E"/>
    <w:rsid w:val="3E437C8C"/>
    <w:rsid w:val="402F14D9"/>
    <w:rsid w:val="4070701F"/>
    <w:rsid w:val="43A63197"/>
    <w:rsid w:val="43AE01DC"/>
    <w:rsid w:val="45E10996"/>
    <w:rsid w:val="47574082"/>
    <w:rsid w:val="47A53E92"/>
    <w:rsid w:val="483A4E10"/>
    <w:rsid w:val="49935F6C"/>
    <w:rsid w:val="4AEC7759"/>
    <w:rsid w:val="4AFF2FB8"/>
    <w:rsid w:val="4B3C7300"/>
    <w:rsid w:val="4C997D3D"/>
    <w:rsid w:val="4E1458CD"/>
    <w:rsid w:val="510936E3"/>
    <w:rsid w:val="52295C4A"/>
    <w:rsid w:val="5385202A"/>
    <w:rsid w:val="54CF02BE"/>
    <w:rsid w:val="57626F51"/>
    <w:rsid w:val="599A10F5"/>
    <w:rsid w:val="5A364E1D"/>
    <w:rsid w:val="5A924D04"/>
    <w:rsid w:val="5E111EA6"/>
    <w:rsid w:val="5E343D6A"/>
    <w:rsid w:val="606357F4"/>
    <w:rsid w:val="6129748A"/>
    <w:rsid w:val="61891CD7"/>
    <w:rsid w:val="639249FC"/>
    <w:rsid w:val="64F733FB"/>
    <w:rsid w:val="66A053F6"/>
    <w:rsid w:val="678F5E93"/>
    <w:rsid w:val="67DF6AF4"/>
    <w:rsid w:val="6850354E"/>
    <w:rsid w:val="69166546"/>
    <w:rsid w:val="6CB3602B"/>
    <w:rsid w:val="6D0B038C"/>
    <w:rsid w:val="6E280AB8"/>
    <w:rsid w:val="6E69536A"/>
    <w:rsid w:val="6FAD590D"/>
    <w:rsid w:val="705941FD"/>
    <w:rsid w:val="709A3F00"/>
    <w:rsid w:val="70F359C4"/>
    <w:rsid w:val="71073EF9"/>
    <w:rsid w:val="72AC1CC9"/>
    <w:rsid w:val="73AC5899"/>
    <w:rsid w:val="73FC5A68"/>
    <w:rsid w:val="75091655"/>
    <w:rsid w:val="75B94E29"/>
    <w:rsid w:val="766A7ED1"/>
    <w:rsid w:val="76E41A31"/>
    <w:rsid w:val="77FC724F"/>
    <w:rsid w:val="78515A11"/>
    <w:rsid w:val="788A03B6"/>
    <w:rsid w:val="7A9674E6"/>
    <w:rsid w:val="7B9003DA"/>
    <w:rsid w:val="7C372603"/>
    <w:rsid w:val="7FC70D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8"/>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unhideWhenUsed/>
    <w:qFormat/>
    <w:uiPriority w:val="99"/>
    <w:pPr>
      <w:jc w:val="left"/>
    </w:pPr>
  </w:style>
  <w:style w:type="paragraph" w:styleId="6">
    <w:name w:val="Body Text"/>
    <w:basedOn w:val="1"/>
    <w:qFormat/>
    <w:uiPriority w:val="1"/>
    <w:rPr>
      <w:rFonts w:ascii="楷体" w:hAnsi="楷体" w:eastAsia="楷体" w:cs="楷体"/>
      <w:szCs w:val="21"/>
      <w:lang w:val="zh-CN" w:bidi="zh-CN"/>
    </w:rPr>
  </w:style>
  <w:style w:type="paragraph" w:styleId="7">
    <w:name w:val="Balloon Text"/>
    <w:basedOn w:val="1"/>
    <w:link w:val="22"/>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5"/>
    <w:next w:val="5"/>
    <w:link w:val="21"/>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customStyle="1" w:styleId="17">
    <w:name w:val="标题 1 Char"/>
    <w:basedOn w:val="14"/>
    <w:link w:val="2"/>
    <w:qFormat/>
    <w:uiPriority w:val="0"/>
    <w:rPr>
      <w:rFonts w:ascii="Times New Roman" w:hAnsi="Times New Roman" w:eastAsia="华文行楷" w:cs="Times New Roman"/>
      <w:kern w:val="44"/>
      <w:sz w:val="44"/>
      <w:szCs w:val="20"/>
    </w:rPr>
  </w:style>
  <w:style w:type="character" w:customStyle="1" w:styleId="18">
    <w:name w:val="标题 2 Char"/>
    <w:basedOn w:val="14"/>
    <w:link w:val="3"/>
    <w:qFormat/>
    <w:uiPriority w:val="99"/>
    <w:rPr>
      <w:rFonts w:ascii="Cambria" w:hAnsi="Cambria" w:eastAsia="宋体" w:cs="Times New Roman"/>
      <w:b/>
      <w:bCs/>
      <w:sz w:val="32"/>
      <w:szCs w:val="32"/>
    </w:rPr>
  </w:style>
  <w:style w:type="paragraph" w:customStyle="1" w:styleId="19">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0">
    <w:name w:val="批注文字 Char"/>
    <w:basedOn w:val="14"/>
    <w:link w:val="5"/>
    <w:semiHidden/>
    <w:qFormat/>
    <w:uiPriority w:val="99"/>
    <w:rPr>
      <w:rFonts w:ascii="Times New Roman" w:hAnsi="Times New Roman" w:eastAsia="宋体" w:cs="Times New Roman"/>
      <w:szCs w:val="24"/>
    </w:rPr>
  </w:style>
  <w:style w:type="character" w:customStyle="1" w:styleId="21">
    <w:name w:val="批注主题 Char"/>
    <w:basedOn w:val="20"/>
    <w:link w:val="11"/>
    <w:semiHidden/>
    <w:qFormat/>
    <w:uiPriority w:val="99"/>
    <w:rPr>
      <w:rFonts w:ascii="Times New Roman" w:hAnsi="Times New Roman" w:eastAsia="宋体" w:cs="Times New Roman"/>
      <w:b/>
      <w:bCs/>
      <w:szCs w:val="24"/>
    </w:rPr>
  </w:style>
  <w:style w:type="character" w:customStyle="1" w:styleId="22">
    <w:name w:val="批注框文本 Char"/>
    <w:basedOn w:val="14"/>
    <w:link w:val="7"/>
    <w:semiHidden/>
    <w:qFormat/>
    <w:uiPriority w:val="99"/>
    <w:rPr>
      <w:rFonts w:ascii="Times New Roman" w:hAnsi="Times New Roman" w:eastAsia="宋体" w:cs="Times New Roman"/>
      <w:sz w:val="18"/>
      <w:szCs w:val="18"/>
    </w:rPr>
  </w:style>
  <w:style w:type="character" w:customStyle="1" w:styleId="23">
    <w:name w:val="页眉 Char"/>
    <w:basedOn w:val="14"/>
    <w:link w:val="9"/>
    <w:qFormat/>
    <w:uiPriority w:val="99"/>
    <w:rPr>
      <w:rFonts w:ascii="Times New Roman" w:hAnsi="Times New Roman" w:eastAsia="宋体" w:cs="Times New Roman"/>
      <w:sz w:val="18"/>
      <w:szCs w:val="18"/>
    </w:rPr>
  </w:style>
  <w:style w:type="character" w:customStyle="1" w:styleId="24">
    <w:name w:val="页脚 Char"/>
    <w:basedOn w:val="14"/>
    <w:link w:val="8"/>
    <w:qFormat/>
    <w:uiPriority w:val="99"/>
    <w:rPr>
      <w:rFonts w:ascii="Times New Roman" w:hAnsi="Times New Roman" w:eastAsia="宋体" w:cs="Times New Roman"/>
      <w:sz w:val="18"/>
      <w:szCs w:val="18"/>
    </w:rPr>
  </w:style>
  <w:style w:type="paragraph" w:customStyle="1" w:styleId="25">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6">
    <w:name w:val="List Paragraph"/>
    <w:basedOn w:val="1"/>
    <w:qFormat/>
    <w:uiPriority w:val="99"/>
    <w:pPr>
      <w:ind w:firstLine="420" w:firstLineChars="200"/>
    </w:pPr>
  </w:style>
  <w:style w:type="character" w:customStyle="1" w:styleId="27">
    <w:name w:val="标题 4 Char"/>
    <w:basedOn w:val="14"/>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6</Pages>
  <Words>3991</Words>
  <Characters>4211</Characters>
  <Lines>137</Lines>
  <Paragraphs>38</Paragraphs>
  <TotalTime>3</TotalTime>
  <ScaleCrop>false</ScaleCrop>
  <LinksUpToDate>false</LinksUpToDate>
  <CharactersWithSpaces>4222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卞雪梅</cp:lastModifiedBy>
  <cp:lastPrinted>2025-03-14T03:17:00Z</cp:lastPrinted>
  <dcterms:modified xsi:type="dcterms:W3CDTF">2025-07-09T08:53:16Z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eyJoZGlkIjoiOWY1Yjc4ZmVhZDFmY2I3YzYxOWRiYzk2YWRkOTc3YTQiLCJ1c2VySWQiOiI1MTUyNzkwNzYifQ==</vt:lpwstr>
  </property>
  <property fmtid="{D5CDD505-2E9C-101B-9397-08002B2CF9AE}" pid="4" name="ICV">
    <vt:lpwstr>9BBEBE536C07410F9858389B863993C6_12</vt:lpwstr>
  </property>
</Properties>
</file>