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C92ED2">
      <w:pPr>
        <w:ind w:left="321" w:leftChars="153" w:right="227"/>
        <w:jc w:val="center"/>
        <w:rPr>
          <w:rFonts w:eastAsia="黑体"/>
          <w:b/>
          <w:bCs/>
          <w:sz w:val="36"/>
          <w:szCs w:val="36"/>
        </w:rPr>
      </w:pPr>
      <w:r>
        <w:rPr>
          <w:rFonts w:hint="eastAsia" w:eastAsia="黑体"/>
          <w:b/>
          <w:bCs/>
          <w:sz w:val="36"/>
          <w:szCs w:val="36"/>
        </w:rPr>
        <w:t>教育史</w:t>
      </w:r>
      <w:r>
        <w:rPr>
          <w:rFonts w:eastAsia="黑体"/>
          <w:b/>
          <w:bCs/>
          <w:sz w:val="36"/>
          <w:szCs w:val="36"/>
        </w:rPr>
        <w:t>专业学术学位硕士研究生培养方案</w:t>
      </w:r>
    </w:p>
    <w:p w14:paraId="5A55FD55">
      <w:pPr>
        <w:ind w:left="321" w:leftChars="153" w:right="227"/>
        <w:jc w:val="center"/>
        <w:rPr>
          <w:rFonts w:hint="eastAsia" w:eastAsia="黑体"/>
          <w:b/>
          <w:bCs/>
          <w:sz w:val="28"/>
          <w:szCs w:val="28"/>
          <w:lang w:eastAsia="zh-CN"/>
        </w:rPr>
      </w:pPr>
      <w:r>
        <w:rPr>
          <w:rFonts w:eastAsia="黑体"/>
          <w:b/>
          <w:bCs/>
          <w:sz w:val="28"/>
          <w:szCs w:val="28"/>
        </w:rPr>
        <w:t>（</w:t>
      </w:r>
      <w:r>
        <w:rPr>
          <w:rFonts w:hint="eastAsia" w:eastAsia="黑体"/>
          <w:b/>
          <w:bCs/>
          <w:sz w:val="28"/>
          <w:szCs w:val="28"/>
        </w:rPr>
        <w:t>教育</w:t>
      </w:r>
      <w:r>
        <w:rPr>
          <w:rFonts w:eastAsia="黑体"/>
          <w:b/>
          <w:bCs/>
          <w:sz w:val="28"/>
          <w:szCs w:val="28"/>
        </w:rPr>
        <w:t>学院</w:t>
      </w:r>
      <w:r>
        <w:rPr>
          <w:rFonts w:hint="eastAsia" w:eastAsia="黑体"/>
          <w:b/>
          <w:bCs/>
          <w:sz w:val="28"/>
          <w:szCs w:val="28"/>
          <w:lang w:eastAsia="zh-CN"/>
        </w:rPr>
        <w:t>）</w:t>
      </w:r>
    </w:p>
    <w:p w14:paraId="5508D96B">
      <w:pPr>
        <w:spacing w:line="440" w:lineRule="exact"/>
        <w:ind w:firstLine="560"/>
        <w:rPr>
          <w:rFonts w:eastAsia="黑体"/>
          <w:bCs/>
          <w:sz w:val="28"/>
          <w:szCs w:val="28"/>
        </w:rPr>
      </w:pPr>
      <w:r>
        <w:rPr>
          <w:rFonts w:eastAsia="黑体"/>
          <w:bCs/>
          <w:sz w:val="28"/>
          <w:szCs w:val="28"/>
        </w:rPr>
        <w:t>一、专业名称、代码</w:t>
      </w:r>
    </w:p>
    <w:p w14:paraId="47679A10">
      <w:pPr>
        <w:widowControl/>
        <w:spacing w:line="360" w:lineRule="auto"/>
        <w:ind w:firstLine="960" w:firstLineChars="400"/>
        <w:jc w:val="left"/>
        <w:rPr>
          <w:rFonts w:ascii="宋体" w:hAnsi="宋体" w:cs="宋体"/>
          <w:color w:val="222222"/>
          <w:kern w:val="0"/>
          <w:sz w:val="24"/>
        </w:rPr>
      </w:pPr>
      <w:r>
        <w:rPr>
          <w:rFonts w:hint="eastAsia" w:ascii="宋体" w:hAnsi="宋体" w:cs="宋体"/>
          <w:color w:val="222222"/>
          <w:kern w:val="0"/>
          <w:sz w:val="24"/>
        </w:rPr>
        <w:t>专业名称：教育史</w:t>
      </w:r>
    </w:p>
    <w:p w14:paraId="3D6514FD">
      <w:pPr>
        <w:widowControl/>
        <w:spacing w:line="360" w:lineRule="auto"/>
        <w:ind w:firstLine="960" w:firstLineChars="400"/>
        <w:jc w:val="left"/>
        <w:rPr>
          <w:rFonts w:ascii="宋体" w:hAnsi="宋体" w:cs="宋体"/>
          <w:color w:val="222222"/>
          <w:kern w:val="0"/>
          <w:sz w:val="24"/>
        </w:rPr>
      </w:pPr>
      <w:r>
        <w:rPr>
          <w:rFonts w:hint="eastAsia" w:ascii="宋体" w:hAnsi="宋体" w:cs="宋体"/>
          <w:color w:val="222222"/>
          <w:kern w:val="0"/>
          <w:sz w:val="24"/>
        </w:rPr>
        <w:t>专业代码：040103</w:t>
      </w:r>
    </w:p>
    <w:p w14:paraId="6830A68D">
      <w:pPr>
        <w:spacing w:line="440" w:lineRule="exact"/>
        <w:ind w:firstLine="560" w:firstLineChars="200"/>
        <w:rPr>
          <w:rFonts w:eastAsia="黑体"/>
          <w:bCs/>
          <w:i/>
          <w:color w:val="FF0000"/>
          <w:sz w:val="28"/>
          <w:szCs w:val="28"/>
        </w:rPr>
      </w:pPr>
      <w:r>
        <w:rPr>
          <w:rFonts w:eastAsia="黑体"/>
          <w:bCs/>
          <w:sz w:val="28"/>
          <w:szCs w:val="28"/>
        </w:rPr>
        <w:t>二、</w:t>
      </w:r>
      <w:r>
        <w:rPr>
          <w:rFonts w:eastAsia="黑体"/>
          <w:bCs/>
          <w:color w:val="000000" w:themeColor="text1"/>
          <w:sz w:val="28"/>
          <w:szCs w:val="28"/>
          <w14:textFill>
            <w14:solidFill>
              <w14:schemeClr w14:val="tx1"/>
            </w14:solidFill>
          </w14:textFill>
        </w:rPr>
        <w:t>专业简介</w:t>
      </w:r>
    </w:p>
    <w:p w14:paraId="04A9F7FF">
      <w:pPr>
        <w:spacing w:line="360" w:lineRule="auto"/>
        <w:ind w:firstLine="480" w:firstLineChars="200"/>
        <w:rPr>
          <w:rFonts w:ascii="宋体" w:hAnsi="宋体"/>
          <w:color w:val="000000"/>
          <w:sz w:val="24"/>
        </w:rPr>
      </w:pPr>
      <w:r>
        <w:rPr>
          <w:rFonts w:hint="eastAsia" w:ascii="宋体" w:hAnsi="宋体"/>
          <w:color w:val="000000"/>
          <w:sz w:val="24"/>
        </w:rPr>
        <w:t>教育史是教育学与历史学的交叉学科，既是教育学的基础学科，又是历史学的分支学科。教育史学科的研究对象是古今中外的教育现象，包括理论层面的教育思想、教育思潮和实践层面的教育制度、教育活动等。教育史研究有助于正确理解教育发展的内在规律，揭示不同历史时期教育与社会、政治、经济、文化等因素的互动关系。从实践层面来看，教育史研究可以为当代教育改革提供历史借鉴，避免重蹈历史覆辙。</w:t>
      </w:r>
    </w:p>
    <w:p w14:paraId="21B95154">
      <w:pPr>
        <w:spacing w:line="360" w:lineRule="auto"/>
        <w:ind w:firstLine="480" w:firstLineChars="200"/>
        <w:rPr>
          <w:rFonts w:ascii="宋体" w:hAnsi="宋体"/>
          <w:color w:val="000000"/>
          <w:sz w:val="24"/>
        </w:rPr>
      </w:pPr>
      <w:r>
        <w:rPr>
          <w:rFonts w:hint="eastAsia" w:ascii="宋体" w:hAnsi="宋体"/>
          <w:color w:val="000000"/>
          <w:sz w:val="24"/>
        </w:rPr>
        <w:t>教育史研究主要采用历史研究法，包括文献分析法、比较研究法、口述史方法等。在研究过程中，研究者需要注重史料的收集、整理和考证，力求客观、全面地还原历史真相。同时，也要注意运用教育学理论对历史现象进行解释和分析。</w:t>
      </w:r>
    </w:p>
    <w:p w14:paraId="5DDB25A4">
      <w:pPr>
        <w:spacing w:line="360" w:lineRule="auto"/>
        <w:ind w:firstLine="480" w:firstLineChars="200"/>
        <w:rPr>
          <w:rFonts w:ascii="宋体" w:hAnsi="宋体" w:cs="宋体"/>
          <w:sz w:val="24"/>
        </w:rPr>
      </w:pPr>
      <w:r>
        <w:rPr>
          <w:rFonts w:hint="eastAsia" w:ascii="宋体" w:hAnsi="宋体"/>
          <w:color w:val="000000"/>
          <w:sz w:val="24"/>
        </w:rPr>
        <w:t>作为河北大学的传统优势学科</w:t>
      </w:r>
      <w:r>
        <w:rPr>
          <w:rFonts w:hint="eastAsia" w:ascii="宋体" w:hAnsi="宋体" w:cs="宋体"/>
          <w:sz w:val="24"/>
        </w:rPr>
        <w:t>，教育史专业自20世纪80年代即开始培养硕士研究生，1986年获批建成我国首个外国教育史博士学位点，1994年被遴选为河北省首批省级重点学科。经过多年建设，河北大学已成为在全国有较大学术影响力的教育史专业人才培养和科学研究的重要基地。</w:t>
      </w:r>
    </w:p>
    <w:p w14:paraId="050D5FC7">
      <w:pPr>
        <w:spacing w:line="440" w:lineRule="exact"/>
        <w:ind w:firstLine="560" w:firstLineChars="200"/>
        <w:rPr>
          <w:rFonts w:eastAsia="黑体"/>
          <w:bCs/>
          <w:sz w:val="28"/>
          <w:szCs w:val="28"/>
        </w:rPr>
      </w:pPr>
      <w:r>
        <w:rPr>
          <w:rFonts w:eastAsia="黑体"/>
          <w:bCs/>
          <w:sz w:val="28"/>
          <w:szCs w:val="28"/>
        </w:rPr>
        <w:t>三、研究方向</w:t>
      </w:r>
    </w:p>
    <w:p w14:paraId="62D8B1EA">
      <w:pPr>
        <w:spacing w:line="360" w:lineRule="auto"/>
        <w:ind w:firstLine="480" w:firstLineChars="200"/>
        <w:rPr>
          <w:rFonts w:ascii="宋体" w:hAnsi="宋体"/>
          <w:color w:val="000000"/>
          <w:sz w:val="24"/>
        </w:rPr>
      </w:pPr>
      <w:r>
        <w:rPr>
          <w:rFonts w:hint="eastAsia" w:ascii="宋体" w:hAnsi="宋体"/>
          <w:color w:val="000000"/>
          <w:sz w:val="24"/>
        </w:rPr>
        <w:t>教育史专业设有中国教育史和外国教育史两个研究方向。</w:t>
      </w:r>
    </w:p>
    <w:p w14:paraId="53AA4041">
      <w:pPr>
        <w:spacing w:line="360" w:lineRule="auto"/>
        <w:ind w:firstLine="480" w:firstLineChars="200"/>
        <w:rPr>
          <w:rFonts w:ascii="宋体" w:hAnsi="宋体"/>
          <w:color w:val="000000"/>
          <w:sz w:val="24"/>
        </w:rPr>
      </w:pPr>
      <w:r>
        <w:rPr>
          <w:rFonts w:hint="eastAsia" w:ascii="宋体" w:hAnsi="宋体"/>
          <w:color w:val="000000"/>
          <w:sz w:val="24"/>
        </w:rPr>
        <w:t>中国教育史方向通过研究中国教育制度、教育思想的发展演变的历史，探究中国发展的规律和不同阶段教育发展的特征。研究内容大体包括：中国著名教育家、教育流派、教育改革运动，中国各级各类教育的发展历史，如初等、中等、高等、师范教育史等。使学生在掌握基本的中国教育发展过程及史实的基础上，结合中国社会不同历史时期的经济、政治和文化状况，分析、阐释影响教育发展的因素，揭示教育发展的规律。本方向在中国近代职业教育史、中小学教材史、民国大学史、区域教育史、近现代教育家研究等领域已形成较为突出的学术特色。</w:t>
      </w:r>
      <w:bookmarkStart w:id="1" w:name="_GoBack"/>
      <w:bookmarkEnd w:id="1"/>
    </w:p>
    <w:p w14:paraId="3218130F">
      <w:pPr>
        <w:spacing w:line="360" w:lineRule="auto"/>
        <w:ind w:firstLine="480" w:firstLineChars="200"/>
        <w:rPr>
          <w:rFonts w:ascii="宋体" w:hAnsi="宋体"/>
          <w:color w:val="000000"/>
          <w:sz w:val="24"/>
        </w:rPr>
      </w:pPr>
      <w:r>
        <w:rPr>
          <w:rFonts w:hint="eastAsia" w:ascii="宋体" w:hAnsi="宋体"/>
          <w:color w:val="000000"/>
          <w:sz w:val="24"/>
        </w:rPr>
        <w:t>外国教育史方向以除中国以外的其他国家历史上的教育现象为研究对象，通过系统、全面、分阶段地学习外国主要国家和地区各历史发展阶段的教育实践活动和教育思想，探究教育发展变化的规律。使学生掌握外国教育发展的历史过程及史实的基本知识；总结教育史上的经验、教训，以供借鉴，古为今用、洋为中用；从人类教育的发生、发展和演变的过程中，总结、揭示教育固有的客观规律。美国教育史、日本教育史和外国高等教育史</w:t>
      </w:r>
      <w:r>
        <w:rPr>
          <w:rFonts w:hint="eastAsia" w:ascii="宋体" w:hAnsi="宋体"/>
          <w:color w:val="000000"/>
          <w:sz w:val="24"/>
          <w:lang w:eastAsia="zh-CN"/>
        </w:rPr>
        <w:t>、</w:t>
      </w:r>
      <w:r>
        <w:rPr>
          <w:rFonts w:hint="eastAsia" w:ascii="宋体" w:hAnsi="宋体"/>
          <w:color w:val="000000"/>
          <w:sz w:val="24"/>
        </w:rPr>
        <w:t>外国职业教育史是本方向的传统特色。</w:t>
      </w:r>
    </w:p>
    <w:p w14:paraId="6BF9045B">
      <w:pPr>
        <w:spacing w:line="440" w:lineRule="exact"/>
        <w:ind w:firstLine="560" w:firstLineChars="200"/>
        <w:rPr>
          <w:rFonts w:eastAsia="黑体"/>
          <w:bCs/>
          <w:sz w:val="28"/>
          <w:szCs w:val="28"/>
        </w:rPr>
      </w:pPr>
      <w:r>
        <w:rPr>
          <w:rFonts w:eastAsia="黑体"/>
          <w:bCs/>
          <w:sz w:val="28"/>
          <w:szCs w:val="28"/>
        </w:rPr>
        <w:t>四、学制及学习年限</w:t>
      </w:r>
    </w:p>
    <w:p w14:paraId="2E26281E">
      <w:pPr>
        <w:spacing w:line="440" w:lineRule="exact"/>
        <w:ind w:firstLine="480" w:firstLineChars="200"/>
        <w:rPr>
          <w:rFonts w:ascii="宋体" w:hAnsi="宋体" w:cs="宋体"/>
          <w:i/>
          <w:color w:val="FF0000"/>
          <w:sz w:val="24"/>
        </w:rPr>
      </w:pPr>
      <w:r>
        <w:rPr>
          <w:rFonts w:hint="eastAsia" w:ascii="宋体" w:hAnsi="宋体" w:cs="宋体"/>
          <w:color w:val="000000"/>
          <w:sz w:val="24"/>
        </w:rPr>
        <w:t>本专业学制为3年，在校最长学习年限（含休学）不超过6年。</w:t>
      </w:r>
    </w:p>
    <w:p w14:paraId="037C349A">
      <w:pPr>
        <w:spacing w:line="440" w:lineRule="exact"/>
        <w:ind w:firstLine="560" w:firstLineChars="200"/>
        <w:rPr>
          <w:rFonts w:eastAsia="黑体"/>
          <w:bCs/>
          <w:sz w:val="28"/>
          <w:szCs w:val="28"/>
        </w:rPr>
      </w:pPr>
      <w:r>
        <w:rPr>
          <w:rFonts w:eastAsia="黑体"/>
          <w:bCs/>
          <w:sz w:val="28"/>
          <w:szCs w:val="28"/>
        </w:rPr>
        <w:t>五、培养目标</w:t>
      </w:r>
    </w:p>
    <w:p w14:paraId="388597D2">
      <w:pPr>
        <w:spacing w:line="420" w:lineRule="exact"/>
        <w:ind w:firstLine="480" w:firstLineChars="200"/>
        <w:rPr>
          <w:rFonts w:ascii="宋体" w:hAnsi="宋体"/>
          <w:sz w:val="24"/>
        </w:rPr>
      </w:pPr>
      <w:r>
        <w:rPr>
          <w:rFonts w:hint="eastAsia" w:ascii="宋体" w:hAnsi="宋体"/>
          <w:sz w:val="24"/>
        </w:rPr>
        <w:t>1、全面、准确地掌握马克思主义的基本理论，拥护中国共产党的领导，拥护社会主义制度，热爱祖国，遵纪守法，品行端正，</w:t>
      </w:r>
      <w:r>
        <w:rPr>
          <w:rFonts w:eastAsiaTheme="minorEastAsia"/>
          <w:sz w:val="24"/>
        </w:rPr>
        <w:t>树立正确的中国特色社会主义核心价值观，具有坚定的理想信念，高尚的道德情操，优良的学术作风，高度的社会责任感</w:t>
      </w:r>
      <w:r>
        <w:rPr>
          <w:rFonts w:hint="eastAsia" w:eastAsiaTheme="minorEastAsia"/>
          <w:sz w:val="24"/>
        </w:rPr>
        <w:t>，</w:t>
      </w:r>
      <w:r>
        <w:rPr>
          <w:rFonts w:hint="eastAsia" w:ascii="宋体" w:hAnsi="宋体"/>
          <w:sz w:val="24"/>
        </w:rPr>
        <w:t>具有自觉献身教育事业的专业精神和职业修养。</w:t>
      </w:r>
    </w:p>
    <w:p w14:paraId="0C674986">
      <w:pPr>
        <w:spacing w:line="420" w:lineRule="exact"/>
        <w:ind w:firstLine="480"/>
        <w:rPr>
          <w:rFonts w:ascii="宋体" w:hAnsi="宋体"/>
          <w:color w:val="000000"/>
          <w:sz w:val="24"/>
        </w:rPr>
      </w:pPr>
      <w:r>
        <w:rPr>
          <w:rFonts w:hint="eastAsia" w:ascii="宋体" w:hAnsi="宋体"/>
          <w:color w:val="000000"/>
          <w:sz w:val="24"/>
        </w:rPr>
        <w:t>2、掌握坚实的教育学理论基础；具有从事教育科学研究工作、独立承担教育史及相关领域教学管理能力；在专业学习和研究中，自觉运用辩证唯物主义和历史唯物主义的立场、观点和方法，并贯彻“古为今用”和“洋为中用”的方针。</w:t>
      </w:r>
    </w:p>
    <w:p w14:paraId="51430DCE">
      <w:pPr>
        <w:spacing w:line="420" w:lineRule="exact"/>
        <w:ind w:firstLine="480"/>
        <w:rPr>
          <w:rFonts w:ascii="宋体" w:hAnsi="宋体"/>
          <w:color w:val="000000"/>
          <w:sz w:val="24"/>
        </w:rPr>
      </w:pPr>
      <w:r>
        <w:rPr>
          <w:rFonts w:hint="eastAsia" w:ascii="宋体" w:hAnsi="宋体"/>
          <w:color w:val="000000"/>
          <w:sz w:val="24"/>
        </w:rPr>
        <w:t>3、掌握扎实的教育史专业知识，深入了解本学科发展方向，具有独立思考、分析问题和解决问题的能力，具备进行创新性研究的初步能力，具有良好的团队意识和团队合作精神。</w:t>
      </w:r>
    </w:p>
    <w:p w14:paraId="5D9508CA">
      <w:pPr>
        <w:spacing w:line="420" w:lineRule="exact"/>
        <w:ind w:firstLine="480"/>
        <w:rPr>
          <w:rFonts w:ascii="宋体" w:hAnsi="宋体"/>
          <w:color w:val="000000"/>
          <w:sz w:val="24"/>
        </w:rPr>
      </w:pPr>
      <w:r>
        <w:rPr>
          <w:rFonts w:hint="eastAsia" w:ascii="宋体" w:hAnsi="宋体"/>
          <w:color w:val="000000"/>
          <w:sz w:val="24"/>
        </w:rPr>
        <w:t>4、熟练掌握一门外国语，能较熟练地运用外国语阅读教育史专业的外文资料，具有撰写学术论文和进行国际学术交流的能力。</w:t>
      </w:r>
    </w:p>
    <w:p w14:paraId="09543AEA">
      <w:pPr>
        <w:spacing w:line="420" w:lineRule="exact"/>
        <w:ind w:firstLine="480"/>
        <w:rPr>
          <w:rFonts w:ascii="宋体" w:hAnsi="宋体"/>
          <w:color w:val="000000"/>
          <w:sz w:val="24"/>
        </w:rPr>
      </w:pPr>
      <w:r>
        <w:rPr>
          <w:rFonts w:hint="eastAsia" w:ascii="宋体" w:hAnsi="宋体"/>
          <w:color w:val="000000"/>
          <w:sz w:val="24"/>
        </w:rPr>
        <w:t>5、身心健康。</w:t>
      </w:r>
    </w:p>
    <w:p w14:paraId="0BB7D9BD">
      <w:pPr>
        <w:spacing w:line="440" w:lineRule="exact"/>
        <w:ind w:firstLine="560" w:firstLineChars="200"/>
        <w:rPr>
          <w:rFonts w:eastAsia="黑体"/>
          <w:bCs/>
          <w:sz w:val="28"/>
          <w:szCs w:val="28"/>
        </w:rPr>
      </w:pPr>
      <w:r>
        <w:rPr>
          <w:rFonts w:eastAsia="黑体"/>
          <w:bCs/>
          <w:sz w:val="28"/>
          <w:szCs w:val="28"/>
        </w:rPr>
        <w:t>六、培养方式</w:t>
      </w:r>
    </w:p>
    <w:p w14:paraId="40DF2DFA">
      <w:pPr>
        <w:spacing w:line="440" w:lineRule="exact"/>
        <w:ind w:firstLine="480" w:firstLineChars="200"/>
        <w:rPr>
          <w:rFonts w:ascii="宋体" w:hAnsi="宋体"/>
          <w:color w:val="000000"/>
          <w:sz w:val="24"/>
        </w:rPr>
      </w:pPr>
      <w:r>
        <w:rPr>
          <w:rFonts w:hint="eastAsia" w:ascii="宋体" w:hAnsi="宋体"/>
          <w:color w:val="000000"/>
          <w:sz w:val="24"/>
        </w:rPr>
        <w:t>本专业实行导师负责制与指导小组集体培养相结合的模式。导师作为第一责任人，全面指导学生的学术研究、论文写作及专业发展；同时成立由3-5名教育史专业教师组成的指导小组，定期开展读书会、专题研讨和学术评议，充分发挥学科团队在史料分析、史学理论及教育思想史研究中的集体优势。培养过程中注重理论与实践结合，通过档案研习、田野调查、跨学科工作坊等形式，强化学生的史料批判能力与历史解释力。实行师生双向选择机制，鼓励学生根据研究方向与导师学术专长灵活匹配，形成个性化培养路径。最终通过导师引领、小组协作与自主探究的多元互动，培养兼具扎实史学功底与教育学科视野的研究人才。</w:t>
      </w:r>
    </w:p>
    <w:p w14:paraId="36E8266C">
      <w:pPr>
        <w:spacing w:line="440" w:lineRule="exact"/>
        <w:ind w:firstLine="560" w:firstLineChars="200"/>
        <w:rPr>
          <w:rFonts w:eastAsia="黑体"/>
          <w:bCs/>
          <w:sz w:val="28"/>
          <w:szCs w:val="28"/>
        </w:rPr>
      </w:pPr>
      <w:r>
        <w:rPr>
          <w:rFonts w:eastAsia="黑体"/>
          <w:bCs/>
          <w:sz w:val="28"/>
          <w:szCs w:val="28"/>
        </w:rPr>
        <w:t>七、中期筛选</w:t>
      </w:r>
    </w:p>
    <w:p w14:paraId="68882209">
      <w:pPr>
        <w:spacing w:line="360" w:lineRule="auto"/>
        <w:ind w:firstLine="480" w:firstLineChars="200"/>
        <w:rPr>
          <w:rFonts w:ascii="宋体" w:hAnsi="宋体"/>
          <w:color w:val="000000"/>
          <w:sz w:val="24"/>
        </w:rPr>
      </w:pPr>
      <w:bookmarkStart w:id="0" w:name="_Toc59002625"/>
      <w:r>
        <w:rPr>
          <w:rFonts w:hint="eastAsia" w:ascii="宋体" w:hAnsi="宋体"/>
          <w:color w:val="000000"/>
          <w:sz w:val="24"/>
        </w:rPr>
        <w:t>在完成培养方案规定的课程学习、考核成绩合格、获得规定的学分后，</w:t>
      </w:r>
      <w:bookmarkEnd w:id="0"/>
      <w:r>
        <w:rPr>
          <w:rFonts w:hint="eastAsia" w:ascii="宋体" w:hAnsi="宋体"/>
          <w:color w:val="000000"/>
          <w:sz w:val="24"/>
        </w:rPr>
        <w:t>按照《河北大学研究生中期筛选管理办法》（校政字〔2021〕15号）的相关规定，组织开展中期筛选工作。</w:t>
      </w:r>
    </w:p>
    <w:p w14:paraId="10AA47A6">
      <w:pPr>
        <w:spacing w:line="440" w:lineRule="exact"/>
        <w:ind w:firstLine="560" w:firstLineChars="200"/>
        <w:rPr>
          <w:rFonts w:eastAsia="黑体"/>
          <w:bCs/>
          <w:sz w:val="28"/>
          <w:szCs w:val="28"/>
        </w:rPr>
      </w:pPr>
      <w:r>
        <w:rPr>
          <w:rFonts w:hint="eastAsia" w:eastAsia="黑体"/>
          <w:bCs/>
          <w:sz w:val="28"/>
          <w:szCs w:val="28"/>
        </w:rPr>
        <w:t>八</w:t>
      </w:r>
      <w:r>
        <w:rPr>
          <w:rFonts w:eastAsia="黑体"/>
          <w:bCs/>
          <w:sz w:val="28"/>
          <w:szCs w:val="28"/>
        </w:rPr>
        <w:t>、学位（毕业）论文</w:t>
      </w:r>
    </w:p>
    <w:p w14:paraId="6A404F75">
      <w:pPr>
        <w:spacing w:line="360" w:lineRule="auto"/>
        <w:ind w:firstLine="480" w:firstLineChars="200"/>
        <w:rPr>
          <w:rFonts w:ascii="宋体" w:hAnsi="宋体"/>
          <w:color w:val="000000"/>
          <w:sz w:val="24"/>
        </w:rPr>
      </w:pPr>
      <w:r>
        <w:rPr>
          <w:rFonts w:hint="eastAsia" w:ascii="宋体" w:hAnsi="宋体"/>
          <w:color w:val="000000"/>
          <w:sz w:val="24"/>
        </w:rPr>
        <w:t>1.总体要求：按照《河北大学关于开展2025版研究生培养方案修订工作的指导意见》（校政字〔2025〕9号）规定，硕士研究生论文开题与答辩时间间隔原则上不少于12个月。学位（毕业）论文应当表明作者具有独立从事学术研究工作的能力，鼓励硕士研究生参与科学研究，取得创新性成果。</w:t>
      </w:r>
    </w:p>
    <w:p w14:paraId="72CF4B23">
      <w:pPr>
        <w:spacing w:line="360" w:lineRule="auto"/>
        <w:ind w:firstLine="480" w:firstLineChars="200"/>
        <w:rPr>
          <w:rFonts w:ascii="宋体" w:hAnsi="宋体"/>
          <w:color w:val="000000"/>
          <w:sz w:val="24"/>
        </w:rPr>
      </w:pPr>
      <w:r>
        <w:rPr>
          <w:rFonts w:hint="eastAsia" w:ascii="宋体" w:hAnsi="宋体"/>
          <w:color w:val="000000"/>
          <w:sz w:val="24"/>
        </w:rPr>
        <w:t>2.开题：开题是研究生培养过程中开展学位（毕业）论文工作的首要环节，要求研究生充分阅读国内外相关文献，撰写开题报告。开题报告应包含文献综述、论文选题依据、研究方案、预期目标与成果、工作计划等关键问题。</w:t>
      </w:r>
    </w:p>
    <w:p w14:paraId="7764BD80">
      <w:pPr>
        <w:spacing w:line="360" w:lineRule="auto"/>
        <w:ind w:firstLine="480" w:firstLineChars="200"/>
        <w:rPr>
          <w:rFonts w:ascii="宋体" w:hAnsi="宋体"/>
          <w:color w:val="000000"/>
          <w:sz w:val="24"/>
        </w:rPr>
      </w:pPr>
      <w:r>
        <w:rPr>
          <w:rFonts w:hint="eastAsia" w:ascii="宋体" w:hAnsi="宋体"/>
          <w:color w:val="000000"/>
          <w:sz w:val="24"/>
        </w:rPr>
        <w:t>入学后第4学期完成开题。开题由3-5名具有高级专业技术职务人员参加，以学术报告的方式进行。</w:t>
      </w:r>
    </w:p>
    <w:p w14:paraId="2B92DF54">
      <w:pPr>
        <w:spacing w:line="360" w:lineRule="auto"/>
        <w:ind w:firstLine="480" w:firstLineChars="200"/>
        <w:rPr>
          <w:rFonts w:ascii="宋体" w:hAnsi="宋体"/>
          <w:color w:val="000000"/>
          <w:sz w:val="24"/>
        </w:rPr>
      </w:pPr>
      <w:r>
        <w:rPr>
          <w:rFonts w:hint="eastAsia" w:ascii="宋体" w:hAnsi="宋体"/>
          <w:color w:val="000000"/>
          <w:sz w:val="24"/>
        </w:rPr>
        <w:t>3.中期进展报告：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27696433">
      <w:pPr>
        <w:spacing w:line="360" w:lineRule="auto"/>
        <w:ind w:firstLine="480" w:firstLineChars="200"/>
        <w:rPr>
          <w:rFonts w:ascii="宋体" w:hAnsi="宋体"/>
          <w:color w:val="000000"/>
          <w:sz w:val="24"/>
        </w:rPr>
      </w:pPr>
      <w:r>
        <w:rPr>
          <w:rFonts w:hint="eastAsia" w:ascii="宋体" w:hAnsi="宋体"/>
          <w:color w:val="000000"/>
          <w:sz w:val="24"/>
        </w:rPr>
        <w:t>4.学位申请：达到学位授予条件的申请人，经导师同意后，应于答辩前三个月，向所属学位评定分委员会提出学位申请，提交学位申请材料。</w:t>
      </w:r>
    </w:p>
    <w:p w14:paraId="68545EF5">
      <w:pPr>
        <w:spacing w:line="360" w:lineRule="auto"/>
        <w:ind w:firstLine="480" w:firstLineChars="200"/>
        <w:rPr>
          <w:rFonts w:ascii="宋体" w:hAnsi="宋体"/>
          <w:color w:val="000000"/>
          <w:sz w:val="24"/>
        </w:rPr>
      </w:pPr>
      <w:r>
        <w:rPr>
          <w:rFonts w:hint="eastAsia" w:ascii="宋体" w:hAnsi="宋体"/>
          <w:color w:val="000000"/>
          <w:sz w:val="24"/>
        </w:rPr>
        <w:t>5.预答辩：学位申请人须进行学位论文预答辩。预答辩通过者，方可进入学位论文评阅、学位论文答辩等环节。学位（毕业）论文预答辩在正式答辩前3个月进行。</w:t>
      </w:r>
    </w:p>
    <w:p w14:paraId="33A332BE">
      <w:pPr>
        <w:spacing w:line="360" w:lineRule="auto"/>
        <w:ind w:firstLine="480" w:firstLineChars="200"/>
        <w:rPr>
          <w:rFonts w:ascii="宋体" w:hAnsi="宋体"/>
          <w:color w:val="000000"/>
          <w:sz w:val="24"/>
        </w:rPr>
      </w:pPr>
      <w:r>
        <w:rPr>
          <w:rFonts w:hint="eastAsia" w:ascii="宋体" w:hAnsi="宋体"/>
          <w:color w:val="000000"/>
          <w:sz w:val="24"/>
        </w:rPr>
        <w:t>6.论文评阅：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14:paraId="59D67515">
      <w:pPr>
        <w:spacing w:line="360" w:lineRule="auto"/>
        <w:ind w:firstLine="480" w:firstLineChars="200"/>
        <w:rPr>
          <w:rFonts w:ascii="宋体" w:hAnsi="宋体"/>
          <w:color w:val="000000"/>
          <w:sz w:val="24"/>
        </w:rPr>
      </w:pPr>
      <w:r>
        <w:rPr>
          <w:rFonts w:hint="eastAsia" w:ascii="宋体" w:hAnsi="宋体"/>
          <w:color w:val="000000"/>
          <w:sz w:val="24"/>
        </w:rPr>
        <w:t>7.答辩：学位（毕业）论文答辩按照《河北大学博士、硕士学位授予工作实施细则》（校政字〔2025〕7号）执行。</w:t>
      </w:r>
    </w:p>
    <w:p w14:paraId="2C5088C4">
      <w:pPr>
        <w:spacing w:line="440" w:lineRule="exact"/>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425E8468">
      <w:pPr>
        <w:spacing w:line="360" w:lineRule="auto"/>
        <w:ind w:firstLine="480" w:firstLineChars="200"/>
        <w:rPr>
          <w:rFonts w:ascii="宋体" w:hAnsi="宋体"/>
          <w:color w:val="000000"/>
          <w:sz w:val="24"/>
        </w:rPr>
      </w:pPr>
      <w:r>
        <w:rPr>
          <w:rFonts w:hint="eastAsia" w:ascii="宋体" w:hAnsi="宋体"/>
          <w:color w:val="000000"/>
          <w:sz w:val="24"/>
        </w:rPr>
        <w:t>1. 课程学习。研究生在规定修业年限内完成培养方案规定的课程学习，考核成绩合格，获得规定的学分。</w:t>
      </w:r>
    </w:p>
    <w:p w14:paraId="4E098F0D">
      <w:pPr>
        <w:spacing w:line="360" w:lineRule="auto"/>
        <w:ind w:firstLine="480" w:firstLineChars="200"/>
        <w:rPr>
          <w:rFonts w:ascii="宋体" w:hAnsi="宋体"/>
          <w:color w:val="000000"/>
          <w:sz w:val="24"/>
        </w:rPr>
      </w:pPr>
      <w:r>
        <w:rPr>
          <w:rFonts w:hint="eastAsia" w:ascii="宋体" w:hAnsi="宋体"/>
          <w:color w:val="000000"/>
          <w:sz w:val="24"/>
        </w:rPr>
        <w:t>2. 学术活动。研究生在读期间参加不少于10次学术活动，并撰写学术报告小结；以主讲人或宣讲人身份，参加在校内外举行的学术报告或学术讲座不少于1次。</w:t>
      </w:r>
    </w:p>
    <w:p w14:paraId="6C639AF2">
      <w:pPr>
        <w:spacing w:line="360" w:lineRule="auto"/>
        <w:ind w:firstLine="480" w:firstLineChars="200"/>
        <w:rPr>
          <w:rFonts w:ascii="宋体" w:hAnsi="宋体"/>
          <w:color w:val="000000"/>
          <w:sz w:val="24"/>
        </w:rPr>
      </w:pPr>
      <w:r>
        <w:rPr>
          <w:rFonts w:hint="eastAsia" w:ascii="宋体" w:hAnsi="宋体"/>
          <w:color w:val="000000"/>
          <w:sz w:val="24"/>
        </w:rPr>
        <w:t>3. 符合提前毕业条件的研究生，可按照学校相关规定申请提前毕业。</w:t>
      </w:r>
    </w:p>
    <w:p w14:paraId="7BC20407">
      <w:pPr>
        <w:spacing w:line="360" w:lineRule="auto"/>
        <w:ind w:firstLine="480" w:firstLineChars="200"/>
        <w:rPr>
          <w:rFonts w:ascii="宋体" w:hAnsi="宋体"/>
          <w:color w:val="000000"/>
          <w:sz w:val="24"/>
        </w:rPr>
      </w:pPr>
      <w:r>
        <w:rPr>
          <w:rFonts w:hint="eastAsia" w:ascii="宋体" w:hAnsi="宋体"/>
          <w:color w:val="000000"/>
          <w:sz w:val="24"/>
        </w:rPr>
        <w:t>4. 论文答辩。学位（毕业）论文经专家评审合格、通过学位（毕业）答辩，符合毕业资格审查后，准予毕业。</w:t>
      </w:r>
    </w:p>
    <w:p w14:paraId="009F208A">
      <w:pPr>
        <w:spacing w:line="440" w:lineRule="exact"/>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6B796023">
      <w:pPr>
        <w:spacing w:line="360" w:lineRule="auto"/>
        <w:ind w:firstLine="480" w:firstLineChars="200"/>
        <w:rPr>
          <w:rFonts w:ascii="宋体" w:hAnsi="宋体"/>
          <w:color w:val="000000"/>
          <w:sz w:val="24"/>
        </w:rPr>
      </w:pPr>
      <w:r>
        <w:rPr>
          <w:rFonts w:hint="eastAsia" w:ascii="宋体" w:hAnsi="宋体"/>
          <w:color w:val="000000"/>
          <w:sz w:val="24"/>
        </w:rPr>
        <w:t>本专业鼓励研究生在读期间根据专业特点与个人学术旨趣开展创新性研究并取得创新性成果，研究活动与成果形式包括（不限于）：参与本专业教师主持的科研项目；独立或合作发表学术论文；撰写专业相关的学术著作、教材；撰写咨政建言报告等。</w:t>
      </w:r>
    </w:p>
    <w:p w14:paraId="770D992A">
      <w:pPr>
        <w:spacing w:line="440" w:lineRule="exact"/>
        <w:ind w:firstLine="560" w:firstLineChars="200"/>
        <w:rPr>
          <w:rFonts w:eastAsia="黑体"/>
          <w:bCs/>
          <w:sz w:val="28"/>
          <w:szCs w:val="28"/>
        </w:rPr>
      </w:pPr>
      <w:r>
        <w:rPr>
          <w:rFonts w:eastAsia="黑体"/>
          <w:bCs/>
          <w:sz w:val="28"/>
          <w:szCs w:val="28"/>
        </w:rPr>
        <w:t>十一、学位授予</w:t>
      </w:r>
    </w:p>
    <w:p w14:paraId="2AD30E10">
      <w:pPr>
        <w:spacing w:line="360" w:lineRule="auto"/>
        <w:ind w:firstLine="480" w:firstLineChars="200"/>
        <w:rPr>
          <w:rFonts w:ascii="宋体" w:hAnsi="宋体"/>
          <w:color w:val="000000"/>
          <w:sz w:val="24"/>
        </w:rPr>
      </w:pPr>
      <w:r>
        <w:rPr>
          <w:rFonts w:hint="eastAsia" w:ascii="宋体" w:hAnsi="宋体"/>
          <w:color w:val="000000"/>
          <w:sz w:val="24"/>
        </w:rPr>
        <w:t>研究生通过毕业资格审查，满足本学院制定的创新性成果要求，符合《河北大学博士、硕士学位授予工作实施细则》（校政字〔2025〕7号）的有关规定，达到学校学位授予标准，经学校学位评定委员会审议，授予硕士学位。</w:t>
      </w:r>
    </w:p>
    <w:p w14:paraId="6FE25A68">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08E1A041">
      <w:pPr>
        <w:spacing w:line="440" w:lineRule="exact"/>
        <w:ind w:firstLine="480" w:firstLineChars="200"/>
        <w:rPr>
          <w:rFonts w:ascii="宋体" w:hAnsi="宋体" w:cs="宋体"/>
          <w:sz w:val="24"/>
        </w:rPr>
      </w:pPr>
      <w:r>
        <w:rPr>
          <w:rFonts w:hint="eastAsia" w:ascii="宋体" w:hAnsi="宋体" w:cs="宋体"/>
          <w:sz w:val="24"/>
        </w:rPr>
        <w:t>本专业最低毕业学分为25分，其中学位课1</w:t>
      </w:r>
      <w:r>
        <w:rPr>
          <w:rFonts w:hint="eastAsia" w:ascii="宋体" w:hAnsi="宋体" w:cs="宋体"/>
          <w:sz w:val="24"/>
          <w:lang w:val="en-US" w:eastAsia="zh-CN"/>
        </w:rPr>
        <w:t>7</w:t>
      </w:r>
      <w:r>
        <w:rPr>
          <w:rFonts w:hint="eastAsia" w:ascii="宋体" w:hAnsi="宋体" w:cs="宋体"/>
          <w:sz w:val="24"/>
        </w:rPr>
        <w:t>学分，非学位课8学分。</w:t>
      </w:r>
    </w:p>
    <w:p w14:paraId="45A377E0">
      <w:pPr>
        <w:spacing w:line="420" w:lineRule="exact"/>
        <w:ind w:firstLine="480" w:firstLineChars="200"/>
        <w:rPr>
          <w:rFonts w:ascii="宋体" w:hAnsi="宋体" w:cs="宋体"/>
          <w:color w:val="FF0000"/>
          <w:sz w:val="24"/>
        </w:rPr>
      </w:pPr>
      <w:r>
        <w:rPr>
          <w:rFonts w:hint="eastAsia" w:ascii="宋体" w:hAnsi="宋体" w:cs="宋体"/>
          <w:color w:val="000000"/>
          <w:sz w:val="24"/>
        </w:rPr>
        <w:t>课程</w:t>
      </w:r>
      <w:r>
        <w:rPr>
          <w:rFonts w:hint="eastAsia" w:ascii="宋体" w:hAnsi="宋体" w:cs="宋体"/>
          <w:color w:val="000000"/>
          <w:sz w:val="24"/>
          <w:lang w:val="en-US" w:eastAsia="zh-CN"/>
        </w:rPr>
        <w:t>考核</w:t>
      </w:r>
      <w:r>
        <w:rPr>
          <w:rFonts w:hint="eastAsia" w:ascii="宋体" w:hAnsi="宋体" w:cs="宋体"/>
          <w:color w:val="000000"/>
          <w:sz w:val="24"/>
        </w:rPr>
        <w:t>不设补考，成绩低于60分的需重修。</w:t>
      </w:r>
    </w:p>
    <w:p w14:paraId="4FF4178B">
      <w:pPr>
        <w:spacing w:line="440" w:lineRule="exact"/>
        <w:ind w:firstLine="480" w:firstLineChars="200"/>
        <w:rPr>
          <w:rFonts w:eastAsiaTheme="minorEastAsia"/>
          <w:b/>
          <w:bCs/>
          <w:sz w:val="24"/>
        </w:rPr>
      </w:pPr>
      <w:r>
        <w:rPr>
          <w:rFonts w:hint="eastAsia" w:ascii="宋体" w:hAnsi="宋体" w:cs="宋体"/>
          <w:color w:val="000000"/>
          <w:sz w:val="24"/>
        </w:rPr>
        <w:t>课程考核采用口试、笔试或写读书报告、论文的形式，力求能真实反映学生对所学课程掌握的程度及运用知识的能力。</w:t>
      </w:r>
    </w:p>
    <w:p w14:paraId="3823000F">
      <w:pPr>
        <w:spacing w:afterLines="50" w:line="440" w:lineRule="exact"/>
        <w:ind w:firstLine="482" w:firstLineChars="200"/>
        <w:jc w:val="center"/>
        <w:rPr>
          <w:rFonts w:eastAsiaTheme="minorEastAsia"/>
          <w:b/>
          <w:bCs/>
          <w:sz w:val="24"/>
        </w:rPr>
      </w:pPr>
      <w:r>
        <w:rPr>
          <w:rFonts w:hint="eastAsia" w:eastAsiaTheme="minorEastAsia"/>
          <w:b/>
          <w:bCs/>
          <w:sz w:val="24"/>
        </w:rPr>
        <w:t>教育史</w:t>
      </w:r>
      <w:r>
        <w:rPr>
          <w:rFonts w:eastAsiaTheme="minorEastAsia"/>
          <w:b/>
          <w:bCs/>
          <w:sz w:val="24"/>
        </w:rPr>
        <w:t>专业学术学位硕士研究生课程及培养环节设置一览表</w:t>
      </w:r>
    </w:p>
    <w:tbl>
      <w:tblPr>
        <w:tblStyle w:val="11"/>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709"/>
        <w:gridCol w:w="1045"/>
      </w:tblGrid>
      <w:tr w14:paraId="7B86760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33BDEC33">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课程类别</w:t>
            </w:r>
          </w:p>
        </w:tc>
        <w:tc>
          <w:tcPr>
            <w:tcW w:w="3516" w:type="dxa"/>
            <w:vAlign w:val="center"/>
          </w:tcPr>
          <w:p w14:paraId="7E1FFA65">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课程说明</w:t>
            </w:r>
          </w:p>
        </w:tc>
        <w:tc>
          <w:tcPr>
            <w:tcW w:w="1081" w:type="dxa"/>
            <w:vAlign w:val="center"/>
          </w:tcPr>
          <w:p w14:paraId="7A41F0C9">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课程编号</w:t>
            </w:r>
          </w:p>
        </w:tc>
        <w:tc>
          <w:tcPr>
            <w:tcW w:w="709" w:type="dxa"/>
            <w:vAlign w:val="center"/>
          </w:tcPr>
          <w:p w14:paraId="3D1788A4">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学分</w:t>
            </w:r>
          </w:p>
        </w:tc>
        <w:tc>
          <w:tcPr>
            <w:tcW w:w="709" w:type="dxa"/>
            <w:vAlign w:val="center"/>
          </w:tcPr>
          <w:p w14:paraId="6B0D7703">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学期</w:t>
            </w:r>
          </w:p>
        </w:tc>
        <w:tc>
          <w:tcPr>
            <w:tcW w:w="1045" w:type="dxa"/>
            <w:vAlign w:val="center"/>
          </w:tcPr>
          <w:p w14:paraId="5544E261">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备注</w:t>
            </w:r>
          </w:p>
        </w:tc>
      </w:tr>
      <w:tr w14:paraId="47EC54B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568742AD">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学位课</w:t>
            </w:r>
          </w:p>
        </w:tc>
        <w:tc>
          <w:tcPr>
            <w:tcW w:w="1226" w:type="dxa"/>
            <w:vMerge w:val="restart"/>
            <w:vAlign w:val="center"/>
          </w:tcPr>
          <w:p w14:paraId="100F1058">
            <w:pPr>
              <w:jc w:val="center"/>
              <w:rPr>
                <w:b/>
                <w:sz w:val="18"/>
                <w:szCs w:val="18"/>
              </w:rPr>
            </w:pPr>
            <w:r>
              <w:rPr>
                <w:b/>
                <w:sz w:val="18"/>
                <w:szCs w:val="18"/>
              </w:rPr>
              <w:t>公共必修课</w:t>
            </w:r>
          </w:p>
          <w:p w14:paraId="26F62C36">
            <w:pPr>
              <w:jc w:val="center"/>
              <w:rPr>
                <w:b/>
                <w:sz w:val="18"/>
                <w:szCs w:val="18"/>
              </w:rPr>
            </w:pPr>
            <w:r>
              <w:rPr>
                <w:b/>
                <w:sz w:val="18"/>
                <w:szCs w:val="18"/>
              </w:rPr>
              <w:t>（</w:t>
            </w:r>
            <w:r>
              <w:rPr>
                <w:rFonts w:hint="eastAsia"/>
                <w:b/>
                <w:sz w:val="18"/>
                <w:szCs w:val="18"/>
              </w:rPr>
              <w:t>4</w:t>
            </w:r>
            <w:r>
              <w:rPr>
                <w:b/>
                <w:sz w:val="18"/>
                <w:szCs w:val="18"/>
              </w:rPr>
              <w:t>学分）</w:t>
            </w:r>
          </w:p>
        </w:tc>
        <w:tc>
          <w:tcPr>
            <w:tcW w:w="3516" w:type="dxa"/>
            <w:vAlign w:val="center"/>
          </w:tcPr>
          <w:p w14:paraId="2D12FFDF">
            <w:pPr>
              <w:rPr>
                <w:sz w:val="18"/>
                <w:szCs w:val="18"/>
              </w:rPr>
            </w:pPr>
            <w:r>
              <w:rPr>
                <w:sz w:val="18"/>
                <w:szCs w:val="18"/>
              </w:rPr>
              <w:t>新时代中国特色社会主义理论与实践</w:t>
            </w:r>
          </w:p>
        </w:tc>
        <w:tc>
          <w:tcPr>
            <w:tcW w:w="1081" w:type="dxa"/>
            <w:vAlign w:val="center"/>
          </w:tcPr>
          <w:p w14:paraId="5757A96B">
            <w:pPr>
              <w:jc w:val="center"/>
              <w:rPr>
                <w:sz w:val="18"/>
                <w:szCs w:val="18"/>
              </w:rPr>
            </w:pPr>
            <w:r>
              <w:rPr>
                <w:sz w:val="18"/>
                <w:szCs w:val="18"/>
              </w:rPr>
              <w:t>TS0000001</w:t>
            </w:r>
          </w:p>
        </w:tc>
        <w:tc>
          <w:tcPr>
            <w:tcW w:w="709" w:type="dxa"/>
            <w:vAlign w:val="center"/>
          </w:tcPr>
          <w:p w14:paraId="26A7AB1F">
            <w:pPr>
              <w:jc w:val="center"/>
              <w:rPr>
                <w:sz w:val="18"/>
                <w:szCs w:val="18"/>
              </w:rPr>
            </w:pPr>
            <w:r>
              <w:rPr>
                <w:sz w:val="18"/>
                <w:szCs w:val="18"/>
              </w:rPr>
              <w:t>2</w:t>
            </w:r>
          </w:p>
        </w:tc>
        <w:tc>
          <w:tcPr>
            <w:tcW w:w="709" w:type="dxa"/>
            <w:vAlign w:val="center"/>
          </w:tcPr>
          <w:p w14:paraId="35462646">
            <w:pPr>
              <w:jc w:val="center"/>
              <w:rPr>
                <w:sz w:val="18"/>
                <w:szCs w:val="18"/>
              </w:rPr>
            </w:pPr>
            <w:r>
              <w:rPr>
                <w:sz w:val="18"/>
                <w:szCs w:val="18"/>
              </w:rPr>
              <w:t>1</w:t>
            </w:r>
          </w:p>
        </w:tc>
        <w:tc>
          <w:tcPr>
            <w:tcW w:w="1045" w:type="dxa"/>
            <w:vAlign w:val="center"/>
          </w:tcPr>
          <w:p w14:paraId="2B244D6A">
            <w:pPr>
              <w:jc w:val="center"/>
              <w:rPr>
                <w:sz w:val="18"/>
                <w:szCs w:val="18"/>
              </w:rPr>
            </w:pPr>
            <w:r>
              <w:rPr>
                <w:rFonts w:hint="eastAsia"/>
                <w:sz w:val="18"/>
                <w:szCs w:val="18"/>
              </w:rPr>
              <w:t>考查</w:t>
            </w:r>
          </w:p>
        </w:tc>
      </w:tr>
      <w:tr w14:paraId="6B59593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29" w:hRule="atLeast"/>
          <w:jc w:val="center"/>
        </w:trPr>
        <w:tc>
          <w:tcPr>
            <w:tcW w:w="571" w:type="dxa"/>
            <w:vMerge w:val="continue"/>
            <w:vAlign w:val="center"/>
          </w:tcPr>
          <w:p w14:paraId="386D812D">
            <w:pPr>
              <w:jc w:val="center"/>
              <w:rPr>
                <w:b/>
                <w:color w:val="000000" w:themeColor="text1"/>
                <w:sz w:val="18"/>
                <w:szCs w:val="18"/>
                <w14:textFill>
                  <w14:solidFill>
                    <w14:schemeClr w14:val="tx1"/>
                  </w14:solidFill>
                </w14:textFill>
              </w:rPr>
            </w:pPr>
          </w:p>
        </w:tc>
        <w:tc>
          <w:tcPr>
            <w:tcW w:w="1226" w:type="dxa"/>
            <w:vMerge w:val="continue"/>
            <w:vAlign w:val="center"/>
          </w:tcPr>
          <w:p w14:paraId="259EC235">
            <w:pPr>
              <w:jc w:val="center"/>
              <w:rPr>
                <w:b/>
                <w:sz w:val="18"/>
                <w:szCs w:val="18"/>
              </w:rPr>
            </w:pPr>
          </w:p>
        </w:tc>
        <w:tc>
          <w:tcPr>
            <w:tcW w:w="3516" w:type="dxa"/>
            <w:vAlign w:val="center"/>
          </w:tcPr>
          <w:p w14:paraId="5C227D7D">
            <w:pPr>
              <w:rPr>
                <w:sz w:val="18"/>
                <w:szCs w:val="18"/>
              </w:rPr>
            </w:pPr>
            <w:r>
              <w:rPr>
                <w:sz w:val="18"/>
                <w:szCs w:val="18"/>
              </w:rPr>
              <w:t>通用学术英语</w:t>
            </w:r>
          </w:p>
        </w:tc>
        <w:tc>
          <w:tcPr>
            <w:tcW w:w="1081" w:type="dxa"/>
            <w:vAlign w:val="center"/>
          </w:tcPr>
          <w:p w14:paraId="33EAE7F7">
            <w:pPr>
              <w:jc w:val="center"/>
              <w:rPr>
                <w:sz w:val="18"/>
                <w:szCs w:val="18"/>
              </w:rPr>
            </w:pPr>
            <w:r>
              <w:rPr>
                <w:sz w:val="18"/>
                <w:szCs w:val="18"/>
              </w:rPr>
              <w:t>TS0000002</w:t>
            </w:r>
          </w:p>
        </w:tc>
        <w:tc>
          <w:tcPr>
            <w:tcW w:w="709" w:type="dxa"/>
            <w:vAlign w:val="center"/>
          </w:tcPr>
          <w:p w14:paraId="31749FA4">
            <w:pPr>
              <w:jc w:val="center"/>
              <w:rPr>
                <w:sz w:val="18"/>
                <w:szCs w:val="18"/>
              </w:rPr>
            </w:pPr>
            <w:r>
              <w:rPr>
                <w:sz w:val="18"/>
                <w:szCs w:val="18"/>
              </w:rPr>
              <w:t>2</w:t>
            </w:r>
          </w:p>
        </w:tc>
        <w:tc>
          <w:tcPr>
            <w:tcW w:w="709" w:type="dxa"/>
            <w:vAlign w:val="center"/>
          </w:tcPr>
          <w:p w14:paraId="62D585F9">
            <w:pPr>
              <w:jc w:val="center"/>
              <w:rPr>
                <w:sz w:val="18"/>
                <w:szCs w:val="18"/>
              </w:rPr>
            </w:pPr>
            <w:r>
              <w:rPr>
                <w:sz w:val="18"/>
                <w:szCs w:val="18"/>
              </w:rPr>
              <w:t>1</w:t>
            </w:r>
          </w:p>
        </w:tc>
        <w:tc>
          <w:tcPr>
            <w:tcW w:w="1045" w:type="dxa"/>
            <w:vAlign w:val="center"/>
          </w:tcPr>
          <w:p w14:paraId="331FDAAD">
            <w:pPr>
              <w:jc w:val="center"/>
              <w:rPr>
                <w:sz w:val="18"/>
                <w:szCs w:val="18"/>
              </w:rPr>
            </w:pPr>
            <w:r>
              <w:rPr>
                <w:rFonts w:hint="eastAsia"/>
                <w:sz w:val="18"/>
                <w:szCs w:val="18"/>
              </w:rPr>
              <w:t>考查</w:t>
            </w:r>
          </w:p>
        </w:tc>
      </w:tr>
      <w:tr w14:paraId="2E0FA6D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4" w:hRule="atLeast"/>
          <w:jc w:val="center"/>
        </w:trPr>
        <w:tc>
          <w:tcPr>
            <w:tcW w:w="571" w:type="dxa"/>
            <w:vMerge w:val="continue"/>
            <w:vAlign w:val="center"/>
          </w:tcPr>
          <w:p w14:paraId="4E67FF42">
            <w:pPr>
              <w:jc w:val="center"/>
              <w:rPr>
                <w:b/>
                <w:color w:val="000000" w:themeColor="text1"/>
                <w:sz w:val="18"/>
                <w:szCs w:val="18"/>
                <w14:textFill>
                  <w14:solidFill>
                    <w14:schemeClr w14:val="tx1"/>
                  </w14:solidFill>
                </w14:textFill>
              </w:rPr>
            </w:pPr>
          </w:p>
        </w:tc>
        <w:tc>
          <w:tcPr>
            <w:tcW w:w="1226" w:type="dxa"/>
            <w:vMerge w:val="restart"/>
            <w:vAlign w:val="center"/>
          </w:tcPr>
          <w:p w14:paraId="3FB50083">
            <w:pPr>
              <w:jc w:val="center"/>
              <w:rPr>
                <w:b/>
                <w:sz w:val="18"/>
                <w:szCs w:val="18"/>
              </w:rPr>
            </w:pPr>
            <w:r>
              <w:rPr>
                <w:rFonts w:hint="eastAsia"/>
                <w:b/>
                <w:sz w:val="18"/>
                <w:szCs w:val="18"/>
              </w:rPr>
              <w:t>学科基础课</w:t>
            </w:r>
          </w:p>
          <w:p w14:paraId="41161C29">
            <w:pPr>
              <w:jc w:val="center"/>
              <w:rPr>
                <w:b/>
                <w:sz w:val="18"/>
                <w:szCs w:val="18"/>
              </w:rPr>
            </w:pPr>
            <w:r>
              <w:rPr>
                <w:rFonts w:hint="eastAsia"/>
                <w:b/>
                <w:sz w:val="18"/>
                <w:szCs w:val="18"/>
              </w:rPr>
              <w:t>（7</w:t>
            </w:r>
            <w:r>
              <w:rPr>
                <w:b/>
                <w:sz w:val="18"/>
                <w:szCs w:val="18"/>
              </w:rPr>
              <w:t>学分</w:t>
            </w:r>
            <w:r>
              <w:rPr>
                <w:rFonts w:hint="eastAsia"/>
                <w:b/>
                <w:sz w:val="18"/>
                <w:szCs w:val="18"/>
              </w:rPr>
              <w:t>）</w:t>
            </w:r>
          </w:p>
        </w:tc>
        <w:tc>
          <w:tcPr>
            <w:tcW w:w="3516" w:type="dxa"/>
            <w:shd w:val="clear" w:color="auto" w:fill="auto"/>
            <w:vAlign w:val="center"/>
          </w:tcPr>
          <w:p w14:paraId="6452B993">
            <w:pPr>
              <w:adjustRightInd w:val="0"/>
              <w:snapToGrid w:val="0"/>
              <w:rPr>
                <w:iCs/>
                <w:sz w:val="18"/>
                <w:szCs w:val="18"/>
              </w:rPr>
            </w:pPr>
            <w:r>
              <w:rPr>
                <w:rFonts w:hint="eastAsia"/>
                <w:iCs/>
                <w:sz w:val="18"/>
                <w:szCs w:val="18"/>
              </w:rPr>
              <w:t>习近平总书记关于教育的重要论述研究</w:t>
            </w:r>
          </w:p>
        </w:tc>
        <w:tc>
          <w:tcPr>
            <w:tcW w:w="1081" w:type="dxa"/>
            <w:shd w:val="clear" w:color="auto" w:fill="auto"/>
            <w:vAlign w:val="center"/>
          </w:tcPr>
          <w:p w14:paraId="5E68E369">
            <w:pPr>
              <w:jc w:val="center"/>
              <w:rPr>
                <w:sz w:val="18"/>
                <w:szCs w:val="18"/>
              </w:rPr>
            </w:pPr>
            <w:r>
              <w:rPr>
                <w:rFonts w:hint="eastAsia"/>
                <w:sz w:val="18"/>
                <w:szCs w:val="18"/>
              </w:rPr>
              <w:t>TJ0600102</w:t>
            </w:r>
          </w:p>
        </w:tc>
        <w:tc>
          <w:tcPr>
            <w:tcW w:w="709" w:type="dxa"/>
            <w:shd w:val="clear" w:color="auto" w:fill="auto"/>
            <w:vAlign w:val="center"/>
          </w:tcPr>
          <w:p w14:paraId="0B9CF2ED">
            <w:pPr>
              <w:jc w:val="center"/>
            </w:pPr>
            <w:r>
              <w:rPr>
                <w:rFonts w:hint="eastAsia"/>
              </w:rPr>
              <w:t>1</w:t>
            </w:r>
          </w:p>
        </w:tc>
        <w:tc>
          <w:tcPr>
            <w:tcW w:w="709" w:type="dxa"/>
            <w:shd w:val="clear" w:color="auto" w:fill="auto"/>
            <w:vAlign w:val="center"/>
          </w:tcPr>
          <w:p w14:paraId="32DB53DC">
            <w:pPr>
              <w:jc w:val="center"/>
            </w:pPr>
            <w:r>
              <w:rPr>
                <w:rFonts w:hint="eastAsia"/>
              </w:rPr>
              <w:t>2</w:t>
            </w:r>
          </w:p>
        </w:tc>
        <w:tc>
          <w:tcPr>
            <w:tcW w:w="1045" w:type="dxa"/>
            <w:shd w:val="clear" w:color="auto" w:fill="auto"/>
            <w:vAlign w:val="center"/>
          </w:tcPr>
          <w:p w14:paraId="18464458">
            <w:pPr>
              <w:jc w:val="center"/>
              <w:rPr>
                <w:sz w:val="18"/>
                <w:szCs w:val="18"/>
              </w:rPr>
            </w:pPr>
            <w:r>
              <w:rPr>
                <w:rFonts w:hint="eastAsia"/>
                <w:sz w:val="18"/>
                <w:szCs w:val="18"/>
              </w:rPr>
              <w:t>通修/考查</w:t>
            </w:r>
          </w:p>
        </w:tc>
      </w:tr>
      <w:tr w14:paraId="7471470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F627B08">
            <w:pPr>
              <w:jc w:val="center"/>
              <w:rPr>
                <w:b/>
                <w:color w:val="000000" w:themeColor="text1"/>
                <w:sz w:val="18"/>
                <w:szCs w:val="18"/>
                <w14:textFill>
                  <w14:solidFill>
                    <w14:schemeClr w14:val="tx1"/>
                  </w14:solidFill>
                </w14:textFill>
              </w:rPr>
            </w:pPr>
          </w:p>
        </w:tc>
        <w:tc>
          <w:tcPr>
            <w:tcW w:w="1226" w:type="dxa"/>
            <w:vMerge w:val="continue"/>
            <w:vAlign w:val="center"/>
          </w:tcPr>
          <w:p w14:paraId="691781BE">
            <w:pPr>
              <w:jc w:val="center"/>
              <w:rPr>
                <w:b/>
                <w:sz w:val="18"/>
                <w:szCs w:val="18"/>
              </w:rPr>
            </w:pPr>
          </w:p>
        </w:tc>
        <w:tc>
          <w:tcPr>
            <w:tcW w:w="3516" w:type="dxa"/>
            <w:shd w:val="clear" w:color="auto" w:fill="auto"/>
            <w:vAlign w:val="center"/>
          </w:tcPr>
          <w:p w14:paraId="63071528">
            <w:pPr>
              <w:adjustRightInd w:val="0"/>
              <w:snapToGrid w:val="0"/>
              <w:rPr>
                <w:sz w:val="18"/>
                <w:szCs w:val="18"/>
              </w:rPr>
            </w:pPr>
            <w:r>
              <w:rPr>
                <w:rFonts w:hint="eastAsia"/>
                <w:sz w:val="18"/>
                <w:szCs w:val="18"/>
              </w:rPr>
              <w:t>学术道德与论文写作</w:t>
            </w:r>
          </w:p>
        </w:tc>
        <w:tc>
          <w:tcPr>
            <w:tcW w:w="1081" w:type="dxa"/>
            <w:vAlign w:val="center"/>
          </w:tcPr>
          <w:p w14:paraId="6D604214">
            <w:pPr>
              <w:jc w:val="center"/>
              <w:rPr>
                <w:sz w:val="18"/>
                <w:szCs w:val="18"/>
              </w:rPr>
            </w:pPr>
            <w:r>
              <w:rPr>
                <w:rFonts w:hint="eastAsia"/>
                <w:sz w:val="18"/>
                <w:szCs w:val="18"/>
              </w:rPr>
              <w:t>XS0600003</w:t>
            </w:r>
          </w:p>
        </w:tc>
        <w:tc>
          <w:tcPr>
            <w:tcW w:w="709" w:type="dxa"/>
            <w:shd w:val="clear" w:color="auto" w:fill="auto"/>
            <w:vAlign w:val="center"/>
          </w:tcPr>
          <w:p w14:paraId="4535E50F">
            <w:pPr>
              <w:jc w:val="center"/>
            </w:pPr>
            <w:r>
              <w:rPr>
                <w:rFonts w:hint="eastAsia"/>
              </w:rPr>
              <w:t>3</w:t>
            </w:r>
          </w:p>
        </w:tc>
        <w:tc>
          <w:tcPr>
            <w:tcW w:w="709" w:type="dxa"/>
            <w:shd w:val="clear" w:color="auto" w:fill="auto"/>
            <w:vAlign w:val="center"/>
          </w:tcPr>
          <w:p w14:paraId="36BAA89A">
            <w:pPr>
              <w:jc w:val="center"/>
            </w:pPr>
            <w:r>
              <w:rPr>
                <w:rFonts w:hint="eastAsia"/>
              </w:rPr>
              <w:t>1</w:t>
            </w:r>
          </w:p>
        </w:tc>
        <w:tc>
          <w:tcPr>
            <w:tcW w:w="1045" w:type="dxa"/>
            <w:shd w:val="clear" w:color="auto" w:fill="auto"/>
            <w:vAlign w:val="center"/>
          </w:tcPr>
          <w:p w14:paraId="6E68CB60">
            <w:pPr>
              <w:jc w:val="center"/>
              <w:rPr>
                <w:sz w:val="18"/>
                <w:szCs w:val="18"/>
              </w:rPr>
            </w:pPr>
            <w:r>
              <w:rPr>
                <w:rFonts w:hint="eastAsia"/>
                <w:sz w:val="18"/>
                <w:szCs w:val="18"/>
              </w:rPr>
              <w:t>通修/考查</w:t>
            </w:r>
          </w:p>
        </w:tc>
      </w:tr>
      <w:tr w14:paraId="3218620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2EFC334">
            <w:pPr>
              <w:jc w:val="center"/>
              <w:rPr>
                <w:b/>
                <w:color w:val="000000" w:themeColor="text1"/>
                <w:sz w:val="18"/>
                <w:szCs w:val="18"/>
                <w14:textFill>
                  <w14:solidFill>
                    <w14:schemeClr w14:val="tx1"/>
                  </w14:solidFill>
                </w14:textFill>
              </w:rPr>
            </w:pPr>
          </w:p>
        </w:tc>
        <w:tc>
          <w:tcPr>
            <w:tcW w:w="1226" w:type="dxa"/>
            <w:vMerge w:val="continue"/>
            <w:vAlign w:val="center"/>
          </w:tcPr>
          <w:p w14:paraId="2CEC7E22">
            <w:pPr>
              <w:jc w:val="center"/>
              <w:rPr>
                <w:b/>
                <w:sz w:val="18"/>
                <w:szCs w:val="18"/>
              </w:rPr>
            </w:pPr>
          </w:p>
        </w:tc>
        <w:tc>
          <w:tcPr>
            <w:tcW w:w="3516" w:type="dxa"/>
            <w:shd w:val="clear" w:color="auto" w:fill="auto"/>
            <w:vAlign w:val="center"/>
          </w:tcPr>
          <w:p w14:paraId="0EAF168B">
            <w:pPr>
              <w:adjustRightInd w:val="0"/>
              <w:snapToGrid w:val="0"/>
              <w:rPr>
                <w:iCs/>
                <w:sz w:val="18"/>
                <w:szCs w:val="18"/>
              </w:rPr>
            </w:pPr>
            <w:r>
              <w:rPr>
                <w:rFonts w:hint="eastAsia"/>
                <w:iCs/>
                <w:sz w:val="18"/>
                <w:szCs w:val="18"/>
              </w:rPr>
              <w:t>教育量化与质性研究方法</w:t>
            </w:r>
          </w:p>
        </w:tc>
        <w:tc>
          <w:tcPr>
            <w:tcW w:w="1081" w:type="dxa"/>
            <w:vAlign w:val="center"/>
          </w:tcPr>
          <w:p w14:paraId="1301B544">
            <w:pPr>
              <w:jc w:val="center"/>
              <w:rPr>
                <w:sz w:val="18"/>
                <w:szCs w:val="18"/>
              </w:rPr>
            </w:pPr>
            <w:r>
              <w:rPr>
                <w:rFonts w:hint="eastAsia"/>
                <w:sz w:val="18"/>
                <w:szCs w:val="18"/>
              </w:rPr>
              <w:t>XS0600004</w:t>
            </w:r>
          </w:p>
        </w:tc>
        <w:tc>
          <w:tcPr>
            <w:tcW w:w="709" w:type="dxa"/>
            <w:shd w:val="clear" w:color="auto" w:fill="auto"/>
            <w:vAlign w:val="center"/>
          </w:tcPr>
          <w:p w14:paraId="6A1C5C5A">
            <w:pPr>
              <w:jc w:val="center"/>
            </w:pPr>
            <w:r>
              <w:rPr>
                <w:rFonts w:hint="eastAsia"/>
              </w:rPr>
              <w:t>3</w:t>
            </w:r>
          </w:p>
        </w:tc>
        <w:tc>
          <w:tcPr>
            <w:tcW w:w="709" w:type="dxa"/>
            <w:shd w:val="clear" w:color="auto" w:fill="auto"/>
            <w:vAlign w:val="center"/>
          </w:tcPr>
          <w:p w14:paraId="6ABC69C2">
            <w:pPr>
              <w:jc w:val="center"/>
            </w:pPr>
            <w:r>
              <w:rPr>
                <w:rFonts w:hint="eastAsia"/>
              </w:rPr>
              <w:t>1</w:t>
            </w:r>
          </w:p>
        </w:tc>
        <w:tc>
          <w:tcPr>
            <w:tcW w:w="1045" w:type="dxa"/>
            <w:shd w:val="clear" w:color="auto" w:fill="auto"/>
            <w:vAlign w:val="center"/>
          </w:tcPr>
          <w:p w14:paraId="2BDFBC6C">
            <w:pPr>
              <w:jc w:val="center"/>
              <w:rPr>
                <w:sz w:val="18"/>
                <w:szCs w:val="18"/>
              </w:rPr>
            </w:pPr>
            <w:r>
              <w:rPr>
                <w:rFonts w:hint="eastAsia"/>
                <w:sz w:val="18"/>
                <w:szCs w:val="18"/>
              </w:rPr>
              <w:t>通修/考查</w:t>
            </w:r>
          </w:p>
        </w:tc>
      </w:tr>
      <w:tr w14:paraId="48FBCF2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5B03FA00">
            <w:pPr>
              <w:jc w:val="center"/>
              <w:rPr>
                <w:b/>
                <w:color w:val="000000" w:themeColor="text1"/>
                <w:sz w:val="18"/>
                <w:szCs w:val="18"/>
                <w14:textFill>
                  <w14:solidFill>
                    <w14:schemeClr w14:val="tx1"/>
                  </w14:solidFill>
                </w14:textFill>
              </w:rPr>
            </w:pPr>
          </w:p>
        </w:tc>
        <w:tc>
          <w:tcPr>
            <w:tcW w:w="1226" w:type="dxa"/>
            <w:vMerge w:val="restart"/>
            <w:vAlign w:val="center"/>
          </w:tcPr>
          <w:p w14:paraId="4C2511D9">
            <w:pPr>
              <w:jc w:val="center"/>
              <w:rPr>
                <w:b/>
                <w:sz w:val="18"/>
                <w:szCs w:val="18"/>
              </w:rPr>
            </w:pPr>
            <w:r>
              <w:rPr>
                <w:b/>
                <w:sz w:val="18"/>
                <w:szCs w:val="18"/>
              </w:rPr>
              <w:t>专业必修课</w:t>
            </w:r>
          </w:p>
          <w:p w14:paraId="62287D6F">
            <w:pPr>
              <w:jc w:val="center"/>
              <w:rPr>
                <w:b/>
                <w:sz w:val="18"/>
                <w:szCs w:val="18"/>
              </w:rPr>
            </w:pPr>
            <w:r>
              <w:rPr>
                <w:b/>
                <w:sz w:val="18"/>
                <w:szCs w:val="18"/>
              </w:rPr>
              <w:t>（</w:t>
            </w:r>
            <w:r>
              <w:rPr>
                <w:rFonts w:hint="eastAsia"/>
                <w:b/>
                <w:sz w:val="18"/>
                <w:szCs w:val="18"/>
              </w:rPr>
              <w:t>6</w:t>
            </w:r>
            <w:r>
              <w:rPr>
                <w:b/>
                <w:sz w:val="18"/>
                <w:szCs w:val="18"/>
              </w:rPr>
              <w:t>学分）</w:t>
            </w:r>
          </w:p>
        </w:tc>
        <w:tc>
          <w:tcPr>
            <w:tcW w:w="3516" w:type="dxa"/>
          </w:tcPr>
          <w:p w14:paraId="573A15B7">
            <w:pPr>
              <w:rPr>
                <w:sz w:val="18"/>
                <w:szCs w:val="18"/>
              </w:rPr>
            </w:pPr>
            <w:r>
              <w:rPr>
                <w:rFonts w:hint="eastAsia"/>
                <w:sz w:val="18"/>
                <w:szCs w:val="18"/>
              </w:rPr>
              <w:t>中国教育史专题</w:t>
            </w:r>
          </w:p>
        </w:tc>
        <w:tc>
          <w:tcPr>
            <w:tcW w:w="1081" w:type="dxa"/>
            <w:vAlign w:val="center"/>
          </w:tcPr>
          <w:p w14:paraId="12E6453C">
            <w:pPr>
              <w:jc w:val="center"/>
              <w:rPr>
                <w:sz w:val="18"/>
                <w:szCs w:val="18"/>
              </w:rPr>
            </w:pPr>
            <w:r>
              <w:rPr>
                <w:rFonts w:hint="eastAsia"/>
                <w:sz w:val="18"/>
                <w:szCs w:val="18"/>
              </w:rPr>
              <w:t>XS0682001</w:t>
            </w:r>
          </w:p>
        </w:tc>
        <w:tc>
          <w:tcPr>
            <w:tcW w:w="709" w:type="dxa"/>
            <w:vAlign w:val="center"/>
          </w:tcPr>
          <w:p w14:paraId="06E7786E">
            <w:pPr>
              <w:jc w:val="center"/>
            </w:pPr>
            <w:r>
              <w:rPr>
                <w:rFonts w:hint="eastAsia"/>
              </w:rPr>
              <w:t>3</w:t>
            </w:r>
          </w:p>
        </w:tc>
        <w:tc>
          <w:tcPr>
            <w:tcW w:w="709" w:type="dxa"/>
            <w:vAlign w:val="center"/>
          </w:tcPr>
          <w:p w14:paraId="482DCAB0">
            <w:pPr>
              <w:jc w:val="center"/>
            </w:pPr>
            <w:r>
              <w:rPr>
                <w:rFonts w:hint="eastAsia"/>
              </w:rPr>
              <w:t>1</w:t>
            </w:r>
          </w:p>
        </w:tc>
        <w:tc>
          <w:tcPr>
            <w:tcW w:w="1045" w:type="dxa"/>
            <w:shd w:val="clear" w:color="auto" w:fill="auto"/>
            <w:vAlign w:val="center"/>
          </w:tcPr>
          <w:p w14:paraId="78C8811D">
            <w:pPr>
              <w:jc w:val="center"/>
              <w:rPr>
                <w:sz w:val="18"/>
                <w:szCs w:val="18"/>
              </w:rPr>
            </w:pPr>
            <w:r>
              <w:rPr>
                <w:rFonts w:hint="eastAsia"/>
                <w:sz w:val="18"/>
                <w:szCs w:val="18"/>
              </w:rPr>
              <w:t>考查</w:t>
            </w:r>
          </w:p>
        </w:tc>
      </w:tr>
      <w:tr w14:paraId="2AC9D19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528B171">
            <w:pPr>
              <w:jc w:val="center"/>
              <w:rPr>
                <w:b/>
                <w:color w:val="000000" w:themeColor="text1"/>
                <w:sz w:val="18"/>
                <w:szCs w:val="18"/>
                <w14:textFill>
                  <w14:solidFill>
                    <w14:schemeClr w14:val="tx1"/>
                  </w14:solidFill>
                </w14:textFill>
              </w:rPr>
            </w:pPr>
          </w:p>
        </w:tc>
        <w:tc>
          <w:tcPr>
            <w:tcW w:w="1226" w:type="dxa"/>
            <w:vMerge w:val="continue"/>
            <w:vAlign w:val="center"/>
          </w:tcPr>
          <w:p w14:paraId="2979C4B8">
            <w:pPr>
              <w:jc w:val="center"/>
              <w:rPr>
                <w:b/>
                <w:sz w:val="18"/>
                <w:szCs w:val="18"/>
              </w:rPr>
            </w:pPr>
          </w:p>
        </w:tc>
        <w:tc>
          <w:tcPr>
            <w:tcW w:w="3516" w:type="dxa"/>
          </w:tcPr>
          <w:p w14:paraId="3792F108">
            <w:pPr>
              <w:rPr>
                <w:sz w:val="18"/>
                <w:szCs w:val="18"/>
              </w:rPr>
            </w:pPr>
            <w:r>
              <w:rPr>
                <w:rFonts w:hint="eastAsia"/>
                <w:sz w:val="18"/>
                <w:szCs w:val="18"/>
              </w:rPr>
              <w:t>外国教育史专题</w:t>
            </w:r>
          </w:p>
        </w:tc>
        <w:tc>
          <w:tcPr>
            <w:tcW w:w="1081" w:type="dxa"/>
            <w:vAlign w:val="center"/>
          </w:tcPr>
          <w:p w14:paraId="0CA1E123">
            <w:pPr>
              <w:jc w:val="center"/>
              <w:rPr>
                <w:sz w:val="18"/>
                <w:szCs w:val="18"/>
              </w:rPr>
            </w:pPr>
            <w:r>
              <w:rPr>
                <w:rFonts w:hint="eastAsia"/>
                <w:sz w:val="18"/>
                <w:szCs w:val="18"/>
              </w:rPr>
              <w:t>XS0682002</w:t>
            </w:r>
          </w:p>
        </w:tc>
        <w:tc>
          <w:tcPr>
            <w:tcW w:w="709" w:type="dxa"/>
            <w:vAlign w:val="center"/>
          </w:tcPr>
          <w:p w14:paraId="0E604E69">
            <w:pPr>
              <w:jc w:val="center"/>
            </w:pPr>
            <w:r>
              <w:rPr>
                <w:rFonts w:hint="eastAsia"/>
              </w:rPr>
              <w:t>3</w:t>
            </w:r>
          </w:p>
        </w:tc>
        <w:tc>
          <w:tcPr>
            <w:tcW w:w="709" w:type="dxa"/>
            <w:vAlign w:val="center"/>
          </w:tcPr>
          <w:p w14:paraId="5FE7A3B6">
            <w:pPr>
              <w:jc w:val="center"/>
            </w:pPr>
            <w:r>
              <w:rPr>
                <w:rFonts w:hint="eastAsia"/>
              </w:rPr>
              <w:t>1</w:t>
            </w:r>
          </w:p>
        </w:tc>
        <w:tc>
          <w:tcPr>
            <w:tcW w:w="1045" w:type="dxa"/>
            <w:shd w:val="clear" w:color="auto" w:fill="auto"/>
            <w:vAlign w:val="center"/>
          </w:tcPr>
          <w:p w14:paraId="74DEE296">
            <w:pPr>
              <w:jc w:val="center"/>
              <w:rPr>
                <w:sz w:val="18"/>
                <w:szCs w:val="18"/>
              </w:rPr>
            </w:pPr>
            <w:r>
              <w:rPr>
                <w:rFonts w:hint="eastAsia"/>
                <w:sz w:val="18"/>
                <w:szCs w:val="18"/>
              </w:rPr>
              <w:t>考查</w:t>
            </w:r>
          </w:p>
        </w:tc>
      </w:tr>
      <w:tr w14:paraId="301FFB2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38" w:hRule="atLeast"/>
          <w:jc w:val="center"/>
        </w:trPr>
        <w:tc>
          <w:tcPr>
            <w:tcW w:w="571" w:type="dxa"/>
            <w:vMerge w:val="restart"/>
            <w:vAlign w:val="center"/>
          </w:tcPr>
          <w:p w14:paraId="2109D02E">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非学位课</w:t>
            </w:r>
          </w:p>
        </w:tc>
        <w:tc>
          <w:tcPr>
            <w:tcW w:w="1226" w:type="dxa"/>
            <w:vMerge w:val="restart"/>
            <w:vAlign w:val="center"/>
          </w:tcPr>
          <w:p w14:paraId="53245C38">
            <w:pPr>
              <w:jc w:val="center"/>
              <w:rPr>
                <w:b/>
                <w:sz w:val="18"/>
                <w:szCs w:val="18"/>
              </w:rPr>
            </w:pPr>
            <w:r>
              <w:rPr>
                <w:b/>
                <w:sz w:val="18"/>
                <w:szCs w:val="18"/>
              </w:rPr>
              <w:t>公共通识课</w:t>
            </w:r>
          </w:p>
          <w:p w14:paraId="466EF1E5">
            <w:pPr>
              <w:jc w:val="center"/>
              <w:rPr>
                <w:b/>
                <w:sz w:val="18"/>
                <w:szCs w:val="18"/>
              </w:rPr>
            </w:pPr>
            <w:r>
              <w:rPr>
                <w:b/>
                <w:sz w:val="18"/>
                <w:szCs w:val="18"/>
              </w:rPr>
              <w:t>（2学分）</w:t>
            </w:r>
          </w:p>
        </w:tc>
        <w:tc>
          <w:tcPr>
            <w:tcW w:w="3516" w:type="dxa"/>
            <w:vAlign w:val="center"/>
          </w:tcPr>
          <w:p w14:paraId="570E6E40">
            <w:pPr>
              <w:rPr>
                <w:sz w:val="18"/>
                <w:szCs w:val="18"/>
              </w:rPr>
            </w:pPr>
            <w:r>
              <w:rPr>
                <w:sz w:val="18"/>
                <w:szCs w:val="18"/>
              </w:rPr>
              <w:t>《习近平谈治国理政》研读</w:t>
            </w:r>
          </w:p>
        </w:tc>
        <w:tc>
          <w:tcPr>
            <w:tcW w:w="1081" w:type="dxa"/>
            <w:vAlign w:val="center"/>
          </w:tcPr>
          <w:p w14:paraId="6036F437">
            <w:pPr>
              <w:jc w:val="center"/>
              <w:rPr>
                <w:sz w:val="18"/>
                <w:szCs w:val="18"/>
              </w:rPr>
            </w:pPr>
            <w:r>
              <w:rPr>
                <w:sz w:val="18"/>
                <w:szCs w:val="18"/>
              </w:rPr>
              <w:t>TT0000101</w:t>
            </w:r>
          </w:p>
        </w:tc>
        <w:tc>
          <w:tcPr>
            <w:tcW w:w="709" w:type="dxa"/>
            <w:vAlign w:val="center"/>
          </w:tcPr>
          <w:p w14:paraId="7DC27364">
            <w:pPr>
              <w:jc w:val="center"/>
              <w:rPr>
                <w:sz w:val="18"/>
                <w:szCs w:val="18"/>
              </w:rPr>
            </w:pPr>
            <w:r>
              <w:rPr>
                <w:sz w:val="18"/>
                <w:szCs w:val="18"/>
              </w:rPr>
              <w:t>1</w:t>
            </w:r>
          </w:p>
        </w:tc>
        <w:tc>
          <w:tcPr>
            <w:tcW w:w="709" w:type="dxa"/>
            <w:vAlign w:val="center"/>
          </w:tcPr>
          <w:p w14:paraId="4AC52F69">
            <w:pPr>
              <w:jc w:val="center"/>
              <w:rPr>
                <w:sz w:val="18"/>
                <w:szCs w:val="18"/>
              </w:rPr>
            </w:pPr>
            <w:r>
              <w:rPr>
                <w:sz w:val="18"/>
                <w:szCs w:val="18"/>
              </w:rPr>
              <w:t>2</w:t>
            </w:r>
          </w:p>
        </w:tc>
        <w:tc>
          <w:tcPr>
            <w:tcW w:w="1045" w:type="dxa"/>
            <w:vAlign w:val="center"/>
          </w:tcPr>
          <w:p w14:paraId="0F6E3DC0">
            <w:pPr>
              <w:jc w:val="center"/>
              <w:rPr>
                <w:sz w:val="18"/>
                <w:szCs w:val="18"/>
              </w:rPr>
            </w:pPr>
            <w:r>
              <w:rPr>
                <w:sz w:val="18"/>
                <w:szCs w:val="18"/>
              </w:rPr>
              <w:t>考查</w:t>
            </w:r>
          </w:p>
        </w:tc>
      </w:tr>
      <w:tr w14:paraId="5278C5B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4" w:hRule="atLeast"/>
          <w:jc w:val="center"/>
        </w:trPr>
        <w:tc>
          <w:tcPr>
            <w:tcW w:w="571" w:type="dxa"/>
            <w:vMerge w:val="continue"/>
            <w:vAlign w:val="center"/>
          </w:tcPr>
          <w:p w14:paraId="7C384E15">
            <w:pPr>
              <w:jc w:val="center"/>
              <w:rPr>
                <w:b/>
                <w:color w:val="000000" w:themeColor="text1"/>
                <w:sz w:val="18"/>
                <w:szCs w:val="18"/>
                <w14:textFill>
                  <w14:solidFill>
                    <w14:schemeClr w14:val="tx1"/>
                  </w14:solidFill>
                </w14:textFill>
              </w:rPr>
            </w:pPr>
          </w:p>
        </w:tc>
        <w:tc>
          <w:tcPr>
            <w:tcW w:w="1226" w:type="dxa"/>
            <w:vMerge w:val="continue"/>
            <w:vAlign w:val="center"/>
          </w:tcPr>
          <w:p w14:paraId="55417CC7">
            <w:pPr>
              <w:jc w:val="center"/>
              <w:rPr>
                <w:b/>
                <w:sz w:val="18"/>
                <w:szCs w:val="18"/>
              </w:rPr>
            </w:pPr>
          </w:p>
        </w:tc>
        <w:tc>
          <w:tcPr>
            <w:tcW w:w="3516" w:type="dxa"/>
            <w:vAlign w:val="center"/>
          </w:tcPr>
          <w:p w14:paraId="1F96FD56">
            <w:pPr>
              <w:rPr>
                <w:sz w:val="18"/>
                <w:szCs w:val="18"/>
              </w:rPr>
            </w:pPr>
            <w:r>
              <w:rPr>
                <w:sz w:val="18"/>
                <w:szCs w:val="18"/>
              </w:rPr>
              <w:t>马克思主义与社会科学方法论</w:t>
            </w:r>
          </w:p>
        </w:tc>
        <w:tc>
          <w:tcPr>
            <w:tcW w:w="1081" w:type="dxa"/>
            <w:vAlign w:val="center"/>
          </w:tcPr>
          <w:p w14:paraId="152BAE06">
            <w:pPr>
              <w:jc w:val="center"/>
              <w:rPr>
                <w:sz w:val="18"/>
                <w:szCs w:val="18"/>
              </w:rPr>
            </w:pPr>
            <w:r>
              <w:rPr>
                <w:sz w:val="18"/>
                <w:szCs w:val="18"/>
              </w:rPr>
              <w:t>TS0000101</w:t>
            </w:r>
          </w:p>
        </w:tc>
        <w:tc>
          <w:tcPr>
            <w:tcW w:w="709" w:type="dxa"/>
            <w:vAlign w:val="center"/>
          </w:tcPr>
          <w:p w14:paraId="11A56CF1">
            <w:pPr>
              <w:jc w:val="center"/>
              <w:rPr>
                <w:sz w:val="18"/>
                <w:szCs w:val="18"/>
              </w:rPr>
            </w:pPr>
            <w:r>
              <w:rPr>
                <w:sz w:val="18"/>
                <w:szCs w:val="18"/>
              </w:rPr>
              <w:t>1</w:t>
            </w:r>
          </w:p>
        </w:tc>
        <w:tc>
          <w:tcPr>
            <w:tcW w:w="709" w:type="dxa"/>
            <w:vAlign w:val="center"/>
          </w:tcPr>
          <w:p w14:paraId="2D99D897">
            <w:pPr>
              <w:jc w:val="center"/>
              <w:rPr>
                <w:sz w:val="18"/>
                <w:szCs w:val="18"/>
              </w:rPr>
            </w:pPr>
            <w:r>
              <w:rPr>
                <w:sz w:val="18"/>
                <w:szCs w:val="18"/>
              </w:rPr>
              <w:t>2</w:t>
            </w:r>
          </w:p>
        </w:tc>
        <w:tc>
          <w:tcPr>
            <w:tcW w:w="1045" w:type="dxa"/>
            <w:vAlign w:val="center"/>
          </w:tcPr>
          <w:p w14:paraId="4BD72665">
            <w:pPr>
              <w:jc w:val="center"/>
              <w:rPr>
                <w:sz w:val="18"/>
                <w:szCs w:val="18"/>
              </w:rPr>
            </w:pPr>
            <w:r>
              <w:rPr>
                <w:sz w:val="18"/>
                <w:szCs w:val="18"/>
              </w:rPr>
              <w:t>考查</w:t>
            </w:r>
          </w:p>
        </w:tc>
      </w:tr>
      <w:tr w14:paraId="1F18B21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52" w:hRule="atLeast"/>
          <w:jc w:val="center"/>
        </w:trPr>
        <w:tc>
          <w:tcPr>
            <w:tcW w:w="571" w:type="dxa"/>
            <w:vMerge w:val="continue"/>
          </w:tcPr>
          <w:p w14:paraId="0BC83702">
            <w:pPr>
              <w:rPr>
                <w:b/>
                <w:color w:val="000000" w:themeColor="text1"/>
                <w:sz w:val="18"/>
                <w:szCs w:val="18"/>
                <w14:textFill>
                  <w14:solidFill>
                    <w14:schemeClr w14:val="tx1"/>
                  </w14:solidFill>
                </w14:textFill>
              </w:rPr>
            </w:pPr>
          </w:p>
        </w:tc>
        <w:tc>
          <w:tcPr>
            <w:tcW w:w="1226" w:type="dxa"/>
            <w:vMerge w:val="restart"/>
            <w:vAlign w:val="center"/>
          </w:tcPr>
          <w:p w14:paraId="01A22C6C">
            <w:pPr>
              <w:adjustRightInd w:val="0"/>
              <w:snapToGrid w:val="0"/>
              <w:jc w:val="center"/>
              <w:rPr>
                <w:b/>
                <w:i/>
                <w:sz w:val="18"/>
                <w:szCs w:val="18"/>
              </w:rPr>
            </w:pPr>
            <w:r>
              <w:rPr>
                <w:b/>
                <w:sz w:val="18"/>
                <w:szCs w:val="18"/>
              </w:rPr>
              <w:t>方向</w:t>
            </w:r>
          </w:p>
          <w:p w14:paraId="1E760113">
            <w:pPr>
              <w:adjustRightInd w:val="0"/>
              <w:snapToGrid w:val="0"/>
              <w:jc w:val="center"/>
              <w:rPr>
                <w:b/>
                <w:sz w:val="18"/>
                <w:szCs w:val="18"/>
              </w:rPr>
            </w:pPr>
            <w:r>
              <w:rPr>
                <w:b/>
                <w:sz w:val="18"/>
                <w:szCs w:val="18"/>
              </w:rPr>
              <w:t>选修课</w:t>
            </w:r>
          </w:p>
          <w:p w14:paraId="76B69155">
            <w:pPr>
              <w:adjustRightInd w:val="0"/>
              <w:snapToGrid w:val="0"/>
              <w:jc w:val="center"/>
              <w:rPr>
                <w:b/>
                <w:sz w:val="18"/>
                <w:szCs w:val="18"/>
              </w:rPr>
            </w:pPr>
            <w:r>
              <w:rPr>
                <w:b/>
                <w:sz w:val="18"/>
                <w:szCs w:val="18"/>
              </w:rPr>
              <w:t>（</w:t>
            </w:r>
            <w:r>
              <w:rPr>
                <w:rFonts w:hint="eastAsia"/>
                <w:b/>
                <w:sz w:val="18"/>
                <w:szCs w:val="18"/>
              </w:rPr>
              <w:t>6</w:t>
            </w:r>
            <w:r>
              <w:rPr>
                <w:b/>
                <w:sz w:val="18"/>
                <w:szCs w:val="18"/>
              </w:rPr>
              <w:t>学分）</w:t>
            </w:r>
          </w:p>
        </w:tc>
        <w:tc>
          <w:tcPr>
            <w:tcW w:w="3516" w:type="dxa"/>
            <w:vAlign w:val="center"/>
          </w:tcPr>
          <w:p w14:paraId="4DC0B164">
            <w:pPr>
              <w:rPr>
                <w:iCs/>
                <w:sz w:val="18"/>
                <w:szCs w:val="18"/>
              </w:rPr>
            </w:pPr>
            <w:r>
              <w:rPr>
                <w:rFonts w:hint="eastAsia"/>
                <w:iCs/>
                <w:sz w:val="18"/>
                <w:szCs w:val="18"/>
              </w:rPr>
              <w:t>中国教育思想史与名著选读</w:t>
            </w:r>
          </w:p>
        </w:tc>
        <w:tc>
          <w:tcPr>
            <w:tcW w:w="1081" w:type="dxa"/>
            <w:vAlign w:val="center"/>
          </w:tcPr>
          <w:p w14:paraId="6424BA6E">
            <w:pPr>
              <w:jc w:val="center"/>
              <w:rPr>
                <w:sz w:val="18"/>
                <w:szCs w:val="18"/>
              </w:rPr>
            </w:pPr>
            <w:r>
              <w:rPr>
                <w:rFonts w:hint="eastAsia"/>
                <w:sz w:val="18"/>
                <w:szCs w:val="18"/>
              </w:rPr>
              <w:t>XS0682003</w:t>
            </w:r>
          </w:p>
        </w:tc>
        <w:tc>
          <w:tcPr>
            <w:tcW w:w="709" w:type="dxa"/>
            <w:vAlign w:val="center"/>
          </w:tcPr>
          <w:p w14:paraId="083BD73C">
            <w:pPr>
              <w:jc w:val="center"/>
            </w:pPr>
            <w:r>
              <w:rPr>
                <w:rFonts w:hint="eastAsia"/>
              </w:rPr>
              <w:t>2</w:t>
            </w:r>
          </w:p>
        </w:tc>
        <w:tc>
          <w:tcPr>
            <w:tcW w:w="709" w:type="dxa"/>
            <w:vAlign w:val="center"/>
          </w:tcPr>
          <w:p w14:paraId="5E6713B8">
            <w:pPr>
              <w:jc w:val="center"/>
            </w:pPr>
            <w:r>
              <w:rPr>
                <w:rFonts w:hint="eastAsia"/>
              </w:rPr>
              <w:t>2</w:t>
            </w:r>
          </w:p>
        </w:tc>
        <w:tc>
          <w:tcPr>
            <w:tcW w:w="1045" w:type="dxa"/>
            <w:vMerge w:val="restart"/>
            <w:vAlign w:val="center"/>
          </w:tcPr>
          <w:p w14:paraId="037A07C5">
            <w:pPr>
              <w:adjustRightInd w:val="0"/>
              <w:snapToGrid w:val="0"/>
              <w:jc w:val="center"/>
              <w:rPr>
                <w:sz w:val="18"/>
                <w:szCs w:val="18"/>
              </w:rPr>
            </w:pPr>
            <w:r>
              <w:rPr>
                <w:rFonts w:hint="eastAsia"/>
                <w:sz w:val="18"/>
                <w:szCs w:val="18"/>
              </w:rPr>
              <w:t>考查</w:t>
            </w:r>
          </w:p>
        </w:tc>
      </w:tr>
      <w:tr w14:paraId="5859765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AFF88E1">
            <w:pPr>
              <w:rPr>
                <w:b/>
                <w:color w:val="000000" w:themeColor="text1"/>
                <w:sz w:val="18"/>
                <w:szCs w:val="18"/>
                <w14:textFill>
                  <w14:solidFill>
                    <w14:schemeClr w14:val="tx1"/>
                  </w14:solidFill>
                </w14:textFill>
              </w:rPr>
            </w:pPr>
          </w:p>
        </w:tc>
        <w:tc>
          <w:tcPr>
            <w:tcW w:w="1226" w:type="dxa"/>
            <w:vMerge w:val="continue"/>
            <w:vAlign w:val="center"/>
          </w:tcPr>
          <w:p w14:paraId="355B2178">
            <w:pPr>
              <w:adjustRightInd w:val="0"/>
              <w:snapToGrid w:val="0"/>
              <w:jc w:val="center"/>
              <w:rPr>
                <w:b/>
                <w:sz w:val="18"/>
                <w:szCs w:val="18"/>
              </w:rPr>
            </w:pPr>
          </w:p>
        </w:tc>
        <w:tc>
          <w:tcPr>
            <w:tcW w:w="3516" w:type="dxa"/>
            <w:vAlign w:val="center"/>
          </w:tcPr>
          <w:p w14:paraId="01662BE9">
            <w:pPr>
              <w:rPr>
                <w:iCs/>
                <w:sz w:val="18"/>
                <w:szCs w:val="18"/>
              </w:rPr>
            </w:pPr>
            <w:r>
              <w:rPr>
                <w:rFonts w:hint="eastAsia"/>
                <w:iCs/>
                <w:sz w:val="18"/>
                <w:szCs w:val="18"/>
              </w:rPr>
              <w:t>西方教育思想史与名著选读</w:t>
            </w:r>
          </w:p>
        </w:tc>
        <w:tc>
          <w:tcPr>
            <w:tcW w:w="1081" w:type="dxa"/>
            <w:vAlign w:val="center"/>
          </w:tcPr>
          <w:p w14:paraId="1E974228">
            <w:pPr>
              <w:jc w:val="center"/>
              <w:rPr>
                <w:sz w:val="18"/>
                <w:szCs w:val="18"/>
              </w:rPr>
            </w:pPr>
            <w:r>
              <w:rPr>
                <w:rFonts w:hint="eastAsia"/>
                <w:sz w:val="18"/>
                <w:szCs w:val="18"/>
              </w:rPr>
              <w:t>XS0682004</w:t>
            </w:r>
          </w:p>
        </w:tc>
        <w:tc>
          <w:tcPr>
            <w:tcW w:w="709" w:type="dxa"/>
            <w:vAlign w:val="center"/>
          </w:tcPr>
          <w:p w14:paraId="7E2BF4CC">
            <w:pPr>
              <w:jc w:val="center"/>
            </w:pPr>
            <w:r>
              <w:rPr>
                <w:rFonts w:hint="eastAsia"/>
              </w:rPr>
              <w:t>2</w:t>
            </w:r>
          </w:p>
        </w:tc>
        <w:tc>
          <w:tcPr>
            <w:tcW w:w="709" w:type="dxa"/>
            <w:vAlign w:val="center"/>
          </w:tcPr>
          <w:p w14:paraId="04A019B3">
            <w:pPr>
              <w:jc w:val="center"/>
            </w:pPr>
            <w:r>
              <w:rPr>
                <w:rFonts w:hint="eastAsia"/>
              </w:rPr>
              <w:t>2</w:t>
            </w:r>
          </w:p>
        </w:tc>
        <w:tc>
          <w:tcPr>
            <w:tcW w:w="1045" w:type="dxa"/>
            <w:vMerge w:val="continue"/>
            <w:vAlign w:val="center"/>
          </w:tcPr>
          <w:p w14:paraId="3C53F81B">
            <w:pPr>
              <w:adjustRightInd w:val="0"/>
              <w:snapToGrid w:val="0"/>
              <w:jc w:val="center"/>
              <w:rPr>
                <w:sz w:val="18"/>
                <w:szCs w:val="18"/>
              </w:rPr>
            </w:pPr>
          </w:p>
        </w:tc>
      </w:tr>
      <w:tr w14:paraId="5630CFA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32" w:hRule="atLeast"/>
          <w:jc w:val="center"/>
        </w:trPr>
        <w:tc>
          <w:tcPr>
            <w:tcW w:w="571" w:type="dxa"/>
            <w:vMerge w:val="continue"/>
          </w:tcPr>
          <w:p w14:paraId="716C313C">
            <w:pPr>
              <w:rPr>
                <w:b/>
                <w:color w:val="000000" w:themeColor="text1"/>
                <w:sz w:val="18"/>
                <w:szCs w:val="18"/>
                <w14:textFill>
                  <w14:solidFill>
                    <w14:schemeClr w14:val="tx1"/>
                  </w14:solidFill>
                </w14:textFill>
              </w:rPr>
            </w:pPr>
          </w:p>
        </w:tc>
        <w:tc>
          <w:tcPr>
            <w:tcW w:w="1226" w:type="dxa"/>
            <w:vMerge w:val="continue"/>
            <w:vAlign w:val="center"/>
          </w:tcPr>
          <w:p w14:paraId="154CBEB7">
            <w:pPr>
              <w:adjustRightInd w:val="0"/>
              <w:snapToGrid w:val="0"/>
              <w:jc w:val="center"/>
              <w:rPr>
                <w:b/>
                <w:sz w:val="18"/>
                <w:szCs w:val="18"/>
              </w:rPr>
            </w:pPr>
          </w:p>
        </w:tc>
        <w:tc>
          <w:tcPr>
            <w:tcW w:w="3516" w:type="dxa"/>
            <w:vAlign w:val="center"/>
          </w:tcPr>
          <w:p w14:paraId="4D8EACD4">
            <w:pPr>
              <w:rPr>
                <w:iCs/>
                <w:sz w:val="18"/>
                <w:szCs w:val="18"/>
              </w:rPr>
            </w:pPr>
            <w:r>
              <w:rPr>
                <w:rFonts w:hint="eastAsia"/>
                <w:iCs/>
                <w:sz w:val="18"/>
                <w:szCs w:val="18"/>
              </w:rPr>
              <w:t>日本教育史专题</w:t>
            </w:r>
          </w:p>
        </w:tc>
        <w:tc>
          <w:tcPr>
            <w:tcW w:w="1081" w:type="dxa"/>
            <w:vAlign w:val="center"/>
          </w:tcPr>
          <w:p w14:paraId="6BDC9827">
            <w:pPr>
              <w:jc w:val="center"/>
              <w:rPr>
                <w:sz w:val="18"/>
                <w:szCs w:val="18"/>
              </w:rPr>
            </w:pPr>
            <w:r>
              <w:rPr>
                <w:rFonts w:hint="eastAsia"/>
                <w:sz w:val="18"/>
                <w:szCs w:val="18"/>
              </w:rPr>
              <w:t>XS0682005</w:t>
            </w:r>
          </w:p>
        </w:tc>
        <w:tc>
          <w:tcPr>
            <w:tcW w:w="709" w:type="dxa"/>
            <w:vAlign w:val="center"/>
          </w:tcPr>
          <w:p w14:paraId="3894EEBA">
            <w:pPr>
              <w:jc w:val="center"/>
            </w:pPr>
            <w:r>
              <w:rPr>
                <w:rFonts w:hint="eastAsia"/>
              </w:rPr>
              <w:t>2</w:t>
            </w:r>
          </w:p>
        </w:tc>
        <w:tc>
          <w:tcPr>
            <w:tcW w:w="709" w:type="dxa"/>
            <w:vAlign w:val="center"/>
          </w:tcPr>
          <w:p w14:paraId="1C60C10A">
            <w:pPr>
              <w:jc w:val="center"/>
            </w:pPr>
            <w:r>
              <w:rPr>
                <w:rFonts w:hint="eastAsia"/>
              </w:rPr>
              <w:t>2</w:t>
            </w:r>
          </w:p>
        </w:tc>
        <w:tc>
          <w:tcPr>
            <w:tcW w:w="1045" w:type="dxa"/>
            <w:vMerge w:val="continue"/>
            <w:vAlign w:val="center"/>
          </w:tcPr>
          <w:p w14:paraId="54F3277C">
            <w:pPr>
              <w:adjustRightInd w:val="0"/>
              <w:snapToGrid w:val="0"/>
              <w:jc w:val="center"/>
              <w:rPr>
                <w:sz w:val="18"/>
                <w:szCs w:val="18"/>
              </w:rPr>
            </w:pPr>
          </w:p>
        </w:tc>
      </w:tr>
      <w:tr w14:paraId="42B2BA0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75" w:hRule="atLeast"/>
          <w:jc w:val="center"/>
        </w:trPr>
        <w:tc>
          <w:tcPr>
            <w:tcW w:w="571" w:type="dxa"/>
            <w:vMerge w:val="restart"/>
            <w:vAlign w:val="center"/>
          </w:tcPr>
          <w:p w14:paraId="34404689">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必修环节</w:t>
            </w:r>
          </w:p>
          <w:p w14:paraId="18B850BB">
            <w:pPr>
              <w:jc w:val="center"/>
              <w:rPr>
                <w:b/>
                <w:color w:val="000000" w:themeColor="text1"/>
                <w:sz w:val="18"/>
                <w:szCs w:val="18"/>
                <w14:textFill>
                  <w14:solidFill>
                    <w14:schemeClr w14:val="tx1"/>
                  </w14:solidFill>
                </w14:textFill>
              </w:rPr>
            </w:pPr>
          </w:p>
        </w:tc>
        <w:tc>
          <w:tcPr>
            <w:tcW w:w="1226" w:type="dxa"/>
            <w:vMerge w:val="restart"/>
            <w:vAlign w:val="center"/>
          </w:tcPr>
          <w:p w14:paraId="2E55AE1A">
            <w:pPr>
              <w:jc w:val="center"/>
              <w:rPr>
                <w:b/>
                <w:sz w:val="18"/>
                <w:szCs w:val="18"/>
              </w:rPr>
            </w:pPr>
            <w:r>
              <w:rPr>
                <w:b/>
                <w:sz w:val="18"/>
                <w:szCs w:val="18"/>
              </w:rPr>
              <w:t>素质拓展</w:t>
            </w:r>
          </w:p>
        </w:tc>
        <w:tc>
          <w:tcPr>
            <w:tcW w:w="3516" w:type="dxa"/>
            <w:vAlign w:val="center"/>
          </w:tcPr>
          <w:p w14:paraId="6FF871A3">
            <w:pPr>
              <w:rPr>
                <w:sz w:val="18"/>
                <w:szCs w:val="18"/>
              </w:rPr>
            </w:pPr>
            <w:r>
              <w:rPr>
                <w:sz w:val="18"/>
                <w:szCs w:val="18"/>
              </w:rPr>
              <w:t>入学教育</w:t>
            </w:r>
          </w:p>
        </w:tc>
        <w:tc>
          <w:tcPr>
            <w:tcW w:w="1081" w:type="dxa"/>
            <w:vAlign w:val="center"/>
          </w:tcPr>
          <w:p w14:paraId="4ADE844C">
            <w:pPr>
              <w:jc w:val="center"/>
              <w:rPr>
                <w:sz w:val="18"/>
                <w:szCs w:val="18"/>
              </w:rPr>
            </w:pPr>
          </w:p>
        </w:tc>
        <w:tc>
          <w:tcPr>
            <w:tcW w:w="709" w:type="dxa"/>
            <w:vAlign w:val="center"/>
          </w:tcPr>
          <w:p w14:paraId="1850C51E">
            <w:pPr>
              <w:jc w:val="center"/>
              <w:rPr>
                <w:sz w:val="18"/>
                <w:szCs w:val="18"/>
              </w:rPr>
            </w:pPr>
          </w:p>
        </w:tc>
        <w:tc>
          <w:tcPr>
            <w:tcW w:w="709" w:type="dxa"/>
            <w:vAlign w:val="center"/>
          </w:tcPr>
          <w:p w14:paraId="3795578D">
            <w:pPr>
              <w:jc w:val="center"/>
              <w:rPr>
                <w:sz w:val="18"/>
                <w:szCs w:val="18"/>
              </w:rPr>
            </w:pPr>
            <w:r>
              <w:rPr>
                <w:sz w:val="18"/>
                <w:szCs w:val="18"/>
              </w:rPr>
              <w:t>1</w:t>
            </w:r>
          </w:p>
        </w:tc>
        <w:tc>
          <w:tcPr>
            <w:tcW w:w="1045" w:type="dxa"/>
            <w:vMerge w:val="restart"/>
            <w:vAlign w:val="center"/>
          </w:tcPr>
          <w:p w14:paraId="3C248D6F">
            <w:pPr>
              <w:jc w:val="center"/>
              <w:rPr>
                <w:sz w:val="18"/>
                <w:szCs w:val="18"/>
              </w:rPr>
            </w:pPr>
            <w:r>
              <w:rPr>
                <w:sz w:val="18"/>
                <w:szCs w:val="18"/>
              </w:rPr>
              <w:t>过程管理</w:t>
            </w:r>
          </w:p>
          <w:p w14:paraId="2BC2404F">
            <w:pPr>
              <w:jc w:val="center"/>
              <w:rPr>
                <w:sz w:val="18"/>
                <w:szCs w:val="18"/>
              </w:rPr>
            </w:pPr>
            <w:r>
              <w:rPr>
                <w:sz w:val="18"/>
                <w:szCs w:val="18"/>
              </w:rPr>
              <w:t>无学分</w:t>
            </w:r>
          </w:p>
        </w:tc>
      </w:tr>
      <w:tr w14:paraId="6CC8F3B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68" w:hRule="atLeast"/>
          <w:jc w:val="center"/>
        </w:trPr>
        <w:tc>
          <w:tcPr>
            <w:tcW w:w="571" w:type="dxa"/>
            <w:vMerge w:val="continue"/>
            <w:vAlign w:val="center"/>
          </w:tcPr>
          <w:p w14:paraId="6A04E9B2">
            <w:pPr>
              <w:jc w:val="center"/>
              <w:rPr>
                <w:b/>
                <w:color w:val="000000" w:themeColor="text1"/>
                <w:sz w:val="18"/>
                <w:szCs w:val="18"/>
                <w14:textFill>
                  <w14:solidFill>
                    <w14:schemeClr w14:val="tx1"/>
                  </w14:solidFill>
                </w14:textFill>
              </w:rPr>
            </w:pPr>
          </w:p>
        </w:tc>
        <w:tc>
          <w:tcPr>
            <w:tcW w:w="1226" w:type="dxa"/>
            <w:vMerge w:val="continue"/>
            <w:vAlign w:val="center"/>
          </w:tcPr>
          <w:p w14:paraId="0BEAA7A7">
            <w:pPr>
              <w:jc w:val="center"/>
              <w:rPr>
                <w:b/>
                <w:sz w:val="18"/>
                <w:szCs w:val="18"/>
              </w:rPr>
            </w:pPr>
          </w:p>
        </w:tc>
        <w:tc>
          <w:tcPr>
            <w:tcW w:w="3516" w:type="dxa"/>
            <w:vAlign w:val="center"/>
          </w:tcPr>
          <w:p w14:paraId="1F17079C">
            <w:pPr>
              <w:rPr>
                <w:sz w:val="18"/>
                <w:szCs w:val="18"/>
              </w:rPr>
            </w:pPr>
            <w:r>
              <w:rPr>
                <w:sz w:val="18"/>
                <w:szCs w:val="18"/>
              </w:rPr>
              <w:t>学术活动</w:t>
            </w:r>
          </w:p>
        </w:tc>
        <w:tc>
          <w:tcPr>
            <w:tcW w:w="1081" w:type="dxa"/>
            <w:vAlign w:val="center"/>
          </w:tcPr>
          <w:p w14:paraId="2637E8B9">
            <w:pPr>
              <w:jc w:val="center"/>
              <w:rPr>
                <w:sz w:val="18"/>
                <w:szCs w:val="18"/>
              </w:rPr>
            </w:pPr>
          </w:p>
        </w:tc>
        <w:tc>
          <w:tcPr>
            <w:tcW w:w="709" w:type="dxa"/>
            <w:vAlign w:val="center"/>
          </w:tcPr>
          <w:p w14:paraId="576B1896">
            <w:pPr>
              <w:jc w:val="center"/>
              <w:rPr>
                <w:sz w:val="18"/>
                <w:szCs w:val="18"/>
              </w:rPr>
            </w:pPr>
          </w:p>
        </w:tc>
        <w:tc>
          <w:tcPr>
            <w:tcW w:w="709" w:type="dxa"/>
            <w:vAlign w:val="center"/>
          </w:tcPr>
          <w:p w14:paraId="3EF0E6B8">
            <w:pPr>
              <w:jc w:val="center"/>
              <w:rPr>
                <w:sz w:val="18"/>
                <w:szCs w:val="18"/>
              </w:rPr>
            </w:pPr>
            <w:r>
              <w:rPr>
                <w:rFonts w:hint="eastAsia"/>
                <w:sz w:val="18"/>
                <w:szCs w:val="18"/>
              </w:rPr>
              <w:t>2-4</w:t>
            </w:r>
          </w:p>
        </w:tc>
        <w:tc>
          <w:tcPr>
            <w:tcW w:w="1045" w:type="dxa"/>
            <w:vMerge w:val="continue"/>
            <w:vAlign w:val="center"/>
          </w:tcPr>
          <w:p w14:paraId="01D8B704">
            <w:pPr>
              <w:jc w:val="center"/>
              <w:rPr>
                <w:sz w:val="18"/>
                <w:szCs w:val="18"/>
              </w:rPr>
            </w:pPr>
          </w:p>
        </w:tc>
      </w:tr>
      <w:tr w14:paraId="74739B3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7069A0B">
            <w:pPr>
              <w:rPr>
                <w:b/>
                <w:color w:val="000000" w:themeColor="text1"/>
                <w:sz w:val="18"/>
                <w:szCs w:val="18"/>
                <w14:textFill>
                  <w14:solidFill>
                    <w14:schemeClr w14:val="tx1"/>
                  </w14:solidFill>
                </w14:textFill>
              </w:rPr>
            </w:pPr>
          </w:p>
        </w:tc>
        <w:tc>
          <w:tcPr>
            <w:tcW w:w="1226" w:type="dxa"/>
            <w:vMerge w:val="restart"/>
            <w:vAlign w:val="center"/>
          </w:tcPr>
          <w:p w14:paraId="1BEAC946">
            <w:pPr>
              <w:jc w:val="center"/>
              <w:rPr>
                <w:b/>
                <w:sz w:val="18"/>
                <w:szCs w:val="18"/>
              </w:rPr>
            </w:pPr>
            <w:r>
              <w:rPr>
                <w:b/>
                <w:sz w:val="18"/>
                <w:szCs w:val="18"/>
              </w:rPr>
              <w:t>学术训练</w:t>
            </w:r>
          </w:p>
        </w:tc>
        <w:tc>
          <w:tcPr>
            <w:tcW w:w="3516" w:type="dxa"/>
            <w:vAlign w:val="center"/>
          </w:tcPr>
          <w:p w14:paraId="0F2924B7">
            <w:pPr>
              <w:rPr>
                <w:sz w:val="18"/>
                <w:szCs w:val="18"/>
              </w:rPr>
            </w:pPr>
            <w:r>
              <w:rPr>
                <w:sz w:val="18"/>
                <w:szCs w:val="18"/>
              </w:rPr>
              <w:t>中期筛选</w:t>
            </w:r>
          </w:p>
        </w:tc>
        <w:tc>
          <w:tcPr>
            <w:tcW w:w="1081" w:type="dxa"/>
            <w:vAlign w:val="center"/>
          </w:tcPr>
          <w:p w14:paraId="71EA4F1A">
            <w:pPr>
              <w:jc w:val="center"/>
              <w:rPr>
                <w:sz w:val="18"/>
                <w:szCs w:val="18"/>
              </w:rPr>
            </w:pPr>
          </w:p>
        </w:tc>
        <w:tc>
          <w:tcPr>
            <w:tcW w:w="709" w:type="dxa"/>
            <w:vAlign w:val="center"/>
          </w:tcPr>
          <w:p w14:paraId="63F5BFD3">
            <w:pPr>
              <w:jc w:val="center"/>
              <w:rPr>
                <w:sz w:val="18"/>
                <w:szCs w:val="18"/>
              </w:rPr>
            </w:pPr>
          </w:p>
        </w:tc>
        <w:tc>
          <w:tcPr>
            <w:tcW w:w="709" w:type="dxa"/>
            <w:vAlign w:val="center"/>
          </w:tcPr>
          <w:p w14:paraId="3E387783">
            <w:pPr>
              <w:jc w:val="center"/>
              <w:rPr>
                <w:iCs/>
                <w:sz w:val="18"/>
                <w:szCs w:val="18"/>
              </w:rPr>
            </w:pPr>
            <w:r>
              <w:rPr>
                <w:rFonts w:hint="eastAsia"/>
                <w:iCs/>
                <w:sz w:val="18"/>
                <w:szCs w:val="18"/>
              </w:rPr>
              <w:t>3</w:t>
            </w:r>
          </w:p>
        </w:tc>
        <w:tc>
          <w:tcPr>
            <w:tcW w:w="1045" w:type="dxa"/>
            <w:vMerge w:val="continue"/>
            <w:vAlign w:val="center"/>
          </w:tcPr>
          <w:p w14:paraId="52225BEE">
            <w:pPr>
              <w:jc w:val="center"/>
              <w:rPr>
                <w:sz w:val="18"/>
                <w:szCs w:val="18"/>
              </w:rPr>
            </w:pPr>
          </w:p>
        </w:tc>
      </w:tr>
      <w:tr w14:paraId="00F41AF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89FFE34">
            <w:pPr>
              <w:rPr>
                <w:b/>
                <w:color w:val="000000" w:themeColor="text1"/>
                <w:sz w:val="18"/>
                <w:szCs w:val="18"/>
                <w14:textFill>
                  <w14:solidFill>
                    <w14:schemeClr w14:val="tx1"/>
                  </w14:solidFill>
                </w14:textFill>
              </w:rPr>
            </w:pPr>
          </w:p>
        </w:tc>
        <w:tc>
          <w:tcPr>
            <w:tcW w:w="1226" w:type="dxa"/>
            <w:vMerge w:val="continue"/>
            <w:vAlign w:val="center"/>
          </w:tcPr>
          <w:p w14:paraId="25879DE0">
            <w:pPr>
              <w:jc w:val="center"/>
              <w:rPr>
                <w:b/>
                <w:color w:val="000000" w:themeColor="text1"/>
                <w:sz w:val="18"/>
                <w:szCs w:val="18"/>
                <w14:textFill>
                  <w14:solidFill>
                    <w14:schemeClr w14:val="tx1"/>
                  </w14:solidFill>
                </w14:textFill>
              </w:rPr>
            </w:pPr>
          </w:p>
        </w:tc>
        <w:tc>
          <w:tcPr>
            <w:tcW w:w="3516" w:type="dxa"/>
            <w:vAlign w:val="center"/>
          </w:tcPr>
          <w:p w14:paraId="17872BF1">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论文开题</w:t>
            </w:r>
          </w:p>
        </w:tc>
        <w:tc>
          <w:tcPr>
            <w:tcW w:w="1081" w:type="dxa"/>
            <w:vAlign w:val="center"/>
          </w:tcPr>
          <w:p w14:paraId="013E67FD">
            <w:pPr>
              <w:jc w:val="center"/>
              <w:rPr>
                <w:color w:val="000000" w:themeColor="text1"/>
                <w:sz w:val="18"/>
                <w:szCs w:val="18"/>
                <w14:textFill>
                  <w14:solidFill>
                    <w14:schemeClr w14:val="tx1"/>
                  </w14:solidFill>
                </w14:textFill>
              </w:rPr>
            </w:pPr>
          </w:p>
        </w:tc>
        <w:tc>
          <w:tcPr>
            <w:tcW w:w="709" w:type="dxa"/>
            <w:vAlign w:val="center"/>
          </w:tcPr>
          <w:p w14:paraId="3602312C">
            <w:pPr>
              <w:jc w:val="center"/>
              <w:rPr>
                <w:color w:val="000000" w:themeColor="text1"/>
                <w:sz w:val="18"/>
                <w:szCs w:val="18"/>
                <w14:textFill>
                  <w14:solidFill>
                    <w14:schemeClr w14:val="tx1"/>
                  </w14:solidFill>
                </w14:textFill>
              </w:rPr>
            </w:pPr>
          </w:p>
        </w:tc>
        <w:tc>
          <w:tcPr>
            <w:tcW w:w="709" w:type="dxa"/>
            <w:vAlign w:val="center"/>
          </w:tcPr>
          <w:p w14:paraId="7E89D3CF">
            <w:pPr>
              <w:jc w:val="center"/>
              <w:rPr>
                <w:iCs/>
                <w:sz w:val="18"/>
                <w:szCs w:val="18"/>
              </w:rPr>
            </w:pPr>
            <w:r>
              <w:rPr>
                <w:rFonts w:hint="eastAsia"/>
                <w:iCs/>
                <w:sz w:val="18"/>
                <w:szCs w:val="18"/>
              </w:rPr>
              <w:t>4</w:t>
            </w:r>
          </w:p>
        </w:tc>
        <w:tc>
          <w:tcPr>
            <w:tcW w:w="1045" w:type="dxa"/>
            <w:vMerge w:val="continue"/>
            <w:vAlign w:val="center"/>
          </w:tcPr>
          <w:p w14:paraId="52D32480">
            <w:pPr>
              <w:jc w:val="center"/>
              <w:rPr>
                <w:color w:val="000000" w:themeColor="text1"/>
                <w:sz w:val="18"/>
                <w:szCs w:val="18"/>
                <w14:textFill>
                  <w14:solidFill>
                    <w14:schemeClr w14:val="tx1"/>
                  </w14:solidFill>
                </w14:textFill>
              </w:rPr>
            </w:pPr>
          </w:p>
        </w:tc>
      </w:tr>
      <w:tr w14:paraId="1302B80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42FC8B0">
            <w:pPr>
              <w:rPr>
                <w:b/>
                <w:color w:val="000000" w:themeColor="text1"/>
                <w:sz w:val="18"/>
                <w:szCs w:val="18"/>
                <w14:textFill>
                  <w14:solidFill>
                    <w14:schemeClr w14:val="tx1"/>
                  </w14:solidFill>
                </w14:textFill>
              </w:rPr>
            </w:pPr>
          </w:p>
        </w:tc>
        <w:tc>
          <w:tcPr>
            <w:tcW w:w="1226" w:type="dxa"/>
            <w:vMerge w:val="continue"/>
            <w:vAlign w:val="center"/>
          </w:tcPr>
          <w:p w14:paraId="0448EE06">
            <w:pPr>
              <w:jc w:val="center"/>
              <w:rPr>
                <w:b/>
                <w:color w:val="000000" w:themeColor="text1"/>
                <w:sz w:val="18"/>
                <w:szCs w:val="18"/>
                <w14:textFill>
                  <w14:solidFill>
                    <w14:schemeClr w14:val="tx1"/>
                  </w14:solidFill>
                </w14:textFill>
              </w:rPr>
            </w:pPr>
          </w:p>
        </w:tc>
        <w:tc>
          <w:tcPr>
            <w:tcW w:w="3516" w:type="dxa"/>
            <w:vAlign w:val="center"/>
          </w:tcPr>
          <w:p w14:paraId="0D9D633B">
            <w:pPr>
              <w:rPr>
                <w:sz w:val="18"/>
                <w:szCs w:val="18"/>
              </w:rPr>
            </w:pPr>
            <w:r>
              <w:rPr>
                <w:sz w:val="18"/>
                <w:szCs w:val="18"/>
              </w:rPr>
              <w:t>论文中期进展报告</w:t>
            </w:r>
          </w:p>
        </w:tc>
        <w:tc>
          <w:tcPr>
            <w:tcW w:w="1081" w:type="dxa"/>
            <w:vAlign w:val="center"/>
          </w:tcPr>
          <w:p w14:paraId="7EB5062C">
            <w:pPr>
              <w:jc w:val="center"/>
              <w:rPr>
                <w:color w:val="000000" w:themeColor="text1"/>
                <w:sz w:val="18"/>
                <w:szCs w:val="18"/>
                <w14:textFill>
                  <w14:solidFill>
                    <w14:schemeClr w14:val="tx1"/>
                  </w14:solidFill>
                </w14:textFill>
              </w:rPr>
            </w:pPr>
          </w:p>
        </w:tc>
        <w:tc>
          <w:tcPr>
            <w:tcW w:w="709" w:type="dxa"/>
            <w:vAlign w:val="center"/>
          </w:tcPr>
          <w:p w14:paraId="3D347CE6">
            <w:pPr>
              <w:jc w:val="center"/>
              <w:rPr>
                <w:color w:val="000000" w:themeColor="text1"/>
                <w:sz w:val="18"/>
                <w:szCs w:val="18"/>
                <w14:textFill>
                  <w14:solidFill>
                    <w14:schemeClr w14:val="tx1"/>
                  </w14:solidFill>
                </w14:textFill>
              </w:rPr>
            </w:pPr>
          </w:p>
        </w:tc>
        <w:tc>
          <w:tcPr>
            <w:tcW w:w="709" w:type="dxa"/>
            <w:vAlign w:val="center"/>
          </w:tcPr>
          <w:p w14:paraId="1774DF31">
            <w:pPr>
              <w:jc w:val="center"/>
              <w:rPr>
                <w:iCs/>
                <w:sz w:val="18"/>
                <w:szCs w:val="18"/>
              </w:rPr>
            </w:pPr>
            <w:r>
              <w:rPr>
                <w:rFonts w:hint="eastAsia"/>
                <w:iCs/>
                <w:sz w:val="18"/>
                <w:szCs w:val="18"/>
              </w:rPr>
              <w:t>5</w:t>
            </w:r>
          </w:p>
        </w:tc>
        <w:tc>
          <w:tcPr>
            <w:tcW w:w="1045" w:type="dxa"/>
            <w:vMerge w:val="continue"/>
          </w:tcPr>
          <w:p w14:paraId="2FBD8ACD">
            <w:pPr>
              <w:jc w:val="center"/>
              <w:rPr>
                <w:color w:val="000000" w:themeColor="text1"/>
                <w:sz w:val="18"/>
                <w:szCs w:val="18"/>
                <w14:textFill>
                  <w14:solidFill>
                    <w14:schemeClr w14:val="tx1"/>
                  </w14:solidFill>
                </w14:textFill>
              </w:rPr>
            </w:pPr>
          </w:p>
        </w:tc>
      </w:tr>
      <w:tr w14:paraId="3430300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E1BF598">
            <w:pPr>
              <w:rPr>
                <w:b/>
                <w:color w:val="000000" w:themeColor="text1"/>
                <w:sz w:val="18"/>
                <w:szCs w:val="18"/>
                <w14:textFill>
                  <w14:solidFill>
                    <w14:schemeClr w14:val="tx1"/>
                  </w14:solidFill>
                </w14:textFill>
              </w:rPr>
            </w:pPr>
          </w:p>
        </w:tc>
        <w:tc>
          <w:tcPr>
            <w:tcW w:w="1226" w:type="dxa"/>
            <w:vMerge w:val="continue"/>
            <w:vAlign w:val="center"/>
          </w:tcPr>
          <w:p w14:paraId="7E602A71">
            <w:pPr>
              <w:jc w:val="center"/>
              <w:rPr>
                <w:b/>
                <w:color w:val="000000" w:themeColor="text1"/>
                <w:sz w:val="18"/>
                <w:szCs w:val="18"/>
                <w14:textFill>
                  <w14:solidFill>
                    <w14:schemeClr w14:val="tx1"/>
                  </w14:solidFill>
                </w14:textFill>
              </w:rPr>
            </w:pPr>
          </w:p>
        </w:tc>
        <w:tc>
          <w:tcPr>
            <w:tcW w:w="3516" w:type="dxa"/>
            <w:vAlign w:val="center"/>
          </w:tcPr>
          <w:p w14:paraId="2D266985">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论文预答辩</w:t>
            </w:r>
          </w:p>
        </w:tc>
        <w:tc>
          <w:tcPr>
            <w:tcW w:w="1081" w:type="dxa"/>
            <w:vAlign w:val="center"/>
          </w:tcPr>
          <w:p w14:paraId="6F58C6AB">
            <w:pPr>
              <w:jc w:val="center"/>
              <w:rPr>
                <w:color w:val="000000" w:themeColor="text1"/>
                <w:sz w:val="18"/>
                <w:szCs w:val="18"/>
                <w14:textFill>
                  <w14:solidFill>
                    <w14:schemeClr w14:val="tx1"/>
                  </w14:solidFill>
                </w14:textFill>
              </w:rPr>
            </w:pPr>
          </w:p>
        </w:tc>
        <w:tc>
          <w:tcPr>
            <w:tcW w:w="709" w:type="dxa"/>
            <w:vAlign w:val="center"/>
          </w:tcPr>
          <w:p w14:paraId="51524451">
            <w:pPr>
              <w:jc w:val="center"/>
              <w:rPr>
                <w:color w:val="000000" w:themeColor="text1"/>
                <w:sz w:val="18"/>
                <w:szCs w:val="18"/>
                <w14:textFill>
                  <w14:solidFill>
                    <w14:schemeClr w14:val="tx1"/>
                  </w14:solidFill>
                </w14:textFill>
              </w:rPr>
            </w:pPr>
          </w:p>
        </w:tc>
        <w:tc>
          <w:tcPr>
            <w:tcW w:w="709" w:type="dxa"/>
            <w:vAlign w:val="center"/>
          </w:tcPr>
          <w:p w14:paraId="1CF3FBD4">
            <w:pPr>
              <w:jc w:val="center"/>
              <w:rPr>
                <w:iCs/>
                <w:sz w:val="18"/>
                <w:szCs w:val="18"/>
              </w:rPr>
            </w:pPr>
            <w:r>
              <w:rPr>
                <w:rFonts w:hint="eastAsia"/>
                <w:iCs/>
                <w:sz w:val="18"/>
                <w:szCs w:val="18"/>
              </w:rPr>
              <w:t>6</w:t>
            </w:r>
          </w:p>
        </w:tc>
        <w:tc>
          <w:tcPr>
            <w:tcW w:w="1045" w:type="dxa"/>
            <w:vMerge w:val="continue"/>
          </w:tcPr>
          <w:p w14:paraId="7EF0F9D1">
            <w:pPr>
              <w:jc w:val="center"/>
              <w:rPr>
                <w:color w:val="000000" w:themeColor="text1"/>
                <w:sz w:val="18"/>
                <w:szCs w:val="18"/>
                <w14:textFill>
                  <w14:solidFill>
                    <w14:schemeClr w14:val="tx1"/>
                  </w14:solidFill>
                </w14:textFill>
              </w:rPr>
            </w:pPr>
          </w:p>
        </w:tc>
      </w:tr>
      <w:tr w14:paraId="7A24863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C51A944">
            <w:pPr>
              <w:rPr>
                <w:color w:val="000000" w:themeColor="text1"/>
                <w:sz w:val="18"/>
                <w:szCs w:val="18"/>
                <w14:textFill>
                  <w14:solidFill>
                    <w14:schemeClr w14:val="tx1"/>
                  </w14:solidFill>
                </w14:textFill>
              </w:rPr>
            </w:pPr>
          </w:p>
        </w:tc>
        <w:tc>
          <w:tcPr>
            <w:tcW w:w="1226" w:type="dxa"/>
            <w:vMerge w:val="continue"/>
          </w:tcPr>
          <w:p w14:paraId="19E9E57B">
            <w:pPr>
              <w:jc w:val="center"/>
              <w:rPr>
                <w:color w:val="000000" w:themeColor="text1"/>
                <w:sz w:val="18"/>
                <w:szCs w:val="18"/>
                <w14:textFill>
                  <w14:solidFill>
                    <w14:schemeClr w14:val="tx1"/>
                  </w14:solidFill>
                </w14:textFill>
              </w:rPr>
            </w:pPr>
          </w:p>
        </w:tc>
        <w:tc>
          <w:tcPr>
            <w:tcW w:w="3516" w:type="dxa"/>
            <w:vAlign w:val="center"/>
          </w:tcPr>
          <w:p w14:paraId="58CFBDFA">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论文评审</w:t>
            </w:r>
          </w:p>
        </w:tc>
        <w:tc>
          <w:tcPr>
            <w:tcW w:w="1081" w:type="dxa"/>
            <w:vAlign w:val="center"/>
          </w:tcPr>
          <w:p w14:paraId="35230426">
            <w:pPr>
              <w:jc w:val="center"/>
              <w:rPr>
                <w:color w:val="000000" w:themeColor="text1"/>
                <w:sz w:val="18"/>
                <w:szCs w:val="18"/>
                <w14:textFill>
                  <w14:solidFill>
                    <w14:schemeClr w14:val="tx1"/>
                  </w14:solidFill>
                </w14:textFill>
              </w:rPr>
            </w:pPr>
          </w:p>
        </w:tc>
        <w:tc>
          <w:tcPr>
            <w:tcW w:w="709" w:type="dxa"/>
            <w:vAlign w:val="center"/>
          </w:tcPr>
          <w:p w14:paraId="75FC2E8A">
            <w:pPr>
              <w:jc w:val="center"/>
              <w:rPr>
                <w:color w:val="000000" w:themeColor="text1"/>
                <w:sz w:val="18"/>
                <w:szCs w:val="18"/>
                <w14:textFill>
                  <w14:solidFill>
                    <w14:schemeClr w14:val="tx1"/>
                  </w14:solidFill>
                </w14:textFill>
              </w:rPr>
            </w:pPr>
          </w:p>
        </w:tc>
        <w:tc>
          <w:tcPr>
            <w:tcW w:w="709" w:type="dxa"/>
            <w:vAlign w:val="center"/>
          </w:tcPr>
          <w:p w14:paraId="43864A23">
            <w:pPr>
              <w:jc w:val="center"/>
              <w:rPr>
                <w:sz w:val="18"/>
                <w:szCs w:val="18"/>
              </w:rPr>
            </w:pPr>
            <w:r>
              <w:rPr>
                <w:sz w:val="18"/>
                <w:szCs w:val="18"/>
              </w:rPr>
              <w:t>6</w:t>
            </w:r>
          </w:p>
        </w:tc>
        <w:tc>
          <w:tcPr>
            <w:tcW w:w="1045" w:type="dxa"/>
            <w:vMerge w:val="continue"/>
          </w:tcPr>
          <w:p w14:paraId="138BC3F0">
            <w:pPr>
              <w:jc w:val="center"/>
              <w:rPr>
                <w:color w:val="000000" w:themeColor="text1"/>
                <w:sz w:val="18"/>
                <w:szCs w:val="18"/>
                <w14:textFill>
                  <w14:solidFill>
                    <w14:schemeClr w14:val="tx1"/>
                  </w14:solidFill>
                </w14:textFill>
              </w:rPr>
            </w:pPr>
          </w:p>
        </w:tc>
      </w:tr>
      <w:tr w14:paraId="073D48D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7573D20">
            <w:pPr>
              <w:rPr>
                <w:color w:val="000000" w:themeColor="text1"/>
                <w:sz w:val="18"/>
                <w:szCs w:val="18"/>
                <w14:textFill>
                  <w14:solidFill>
                    <w14:schemeClr w14:val="tx1"/>
                  </w14:solidFill>
                </w14:textFill>
              </w:rPr>
            </w:pPr>
          </w:p>
        </w:tc>
        <w:tc>
          <w:tcPr>
            <w:tcW w:w="1226" w:type="dxa"/>
            <w:vMerge w:val="continue"/>
          </w:tcPr>
          <w:p w14:paraId="41129038">
            <w:pPr>
              <w:jc w:val="center"/>
              <w:rPr>
                <w:color w:val="000000" w:themeColor="text1"/>
                <w:sz w:val="18"/>
                <w:szCs w:val="18"/>
                <w14:textFill>
                  <w14:solidFill>
                    <w14:schemeClr w14:val="tx1"/>
                  </w14:solidFill>
                </w14:textFill>
              </w:rPr>
            </w:pPr>
          </w:p>
        </w:tc>
        <w:tc>
          <w:tcPr>
            <w:tcW w:w="3516" w:type="dxa"/>
            <w:vAlign w:val="center"/>
          </w:tcPr>
          <w:p w14:paraId="5D7AFC22">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论文答辩</w:t>
            </w:r>
          </w:p>
        </w:tc>
        <w:tc>
          <w:tcPr>
            <w:tcW w:w="1081" w:type="dxa"/>
            <w:vAlign w:val="center"/>
          </w:tcPr>
          <w:p w14:paraId="1A0A6FD7">
            <w:pPr>
              <w:jc w:val="center"/>
              <w:rPr>
                <w:color w:val="000000" w:themeColor="text1"/>
                <w:sz w:val="18"/>
                <w:szCs w:val="18"/>
                <w14:textFill>
                  <w14:solidFill>
                    <w14:schemeClr w14:val="tx1"/>
                  </w14:solidFill>
                </w14:textFill>
              </w:rPr>
            </w:pPr>
          </w:p>
        </w:tc>
        <w:tc>
          <w:tcPr>
            <w:tcW w:w="709" w:type="dxa"/>
            <w:vAlign w:val="center"/>
          </w:tcPr>
          <w:p w14:paraId="51B36232">
            <w:pPr>
              <w:jc w:val="center"/>
              <w:rPr>
                <w:color w:val="000000" w:themeColor="text1"/>
                <w:sz w:val="18"/>
                <w:szCs w:val="18"/>
                <w14:textFill>
                  <w14:solidFill>
                    <w14:schemeClr w14:val="tx1"/>
                  </w14:solidFill>
                </w14:textFill>
              </w:rPr>
            </w:pPr>
          </w:p>
        </w:tc>
        <w:tc>
          <w:tcPr>
            <w:tcW w:w="709" w:type="dxa"/>
            <w:vAlign w:val="center"/>
          </w:tcPr>
          <w:p w14:paraId="0E90AE7F">
            <w:pPr>
              <w:jc w:val="center"/>
              <w:rPr>
                <w:sz w:val="18"/>
                <w:szCs w:val="18"/>
              </w:rPr>
            </w:pPr>
            <w:r>
              <w:rPr>
                <w:sz w:val="18"/>
                <w:szCs w:val="18"/>
              </w:rPr>
              <w:t>6</w:t>
            </w:r>
          </w:p>
        </w:tc>
        <w:tc>
          <w:tcPr>
            <w:tcW w:w="1045" w:type="dxa"/>
            <w:vMerge w:val="continue"/>
          </w:tcPr>
          <w:p w14:paraId="5A4CD5BA">
            <w:pPr>
              <w:jc w:val="center"/>
              <w:rPr>
                <w:color w:val="000000" w:themeColor="text1"/>
                <w:sz w:val="18"/>
                <w:szCs w:val="18"/>
                <w14:textFill>
                  <w14:solidFill>
                    <w14:schemeClr w14:val="tx1"/>
                  </w14:solidFill>
                </w14:textFill>
              </w:rPr>
            </w:pPr>
          </w:p>
        </w:tc>
      </w:tr>
    </w:tbl>
    <w:p w14:paraId="33258F5D">
      <w:pPr>
        <w:spacing w:line="440" w:lineRule="exact"/>
        <w:ind w:firstLine="480" w:firstLineChars="200"/>
        <w:rPr>
          <w:rFonts w:eastAsiaTheme="minorEastAsia"/>
          <w:bCs/>
          <w:sz w:val="24"/>
        </w:rPr>
      </w:pPr>
      <w:r>
        <w:rPr>
          <w:rFonts w:eastAsiaTheme="minorEastAsia"/>
          <w:bCs/>
          <w:sz w:val="24"/>
        </w:rPr>
        <w:t>*公共外语课程按入学时的外国语考试科目修读相关语种。</w:t>
      </w:r>
    </w:p>
    <w:p w14:paraId="7B6EAC77">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1CD816B7">
      <w:pPr>
        <w:spacing w:line="440" w:lineRule="exact"/>
        <w:ind w:firstLine="480" w:firstLineChars="200"/>
        <w:rPr>
          <w:rFonts w:eastAsiaTheme="minorEastAsia"/>
          <w:bCs/>
          <w:sz w:val="24"/>
        </w:rPr>
      </w:pPr>
      <w:r>
        <w:rPr>
          <w:rFonts w:eastAsiaTheme="minorEastAsia"/>
          <w:bCs/>
          <w:sz w:val="24"/>
        </w:rPr>
        <w:t>1. 非学位课中的方向选修课模块由各培养单位自行设置，并给出具体选修学分要求。</w:t>
      </w:r>
    </w:p>
    <w:p w14:paraId="17CA343C">
      <w:pPr>
        <w:spacing w:line="440" w:lineRule="exact"/>
        <w:ind w:firstLine="480" w:firstLineChars="200"/>
        <w:rPr>
          <w:rFonts w:eastAsia="黑体"/>
          <w:bCs/>
          <w:sz w:val="24"/>
        </w:rPr>
      </w:pPr>
      <w:r>
        <w:rPr>
          <w:rFonts w:eastAsiaTheme="minorEastAsia"/>
          <w:bCs/>
          <w:sz w:val="24"/>
        </w:rPr>
        <w:t>2.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82D"/>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27AC"/>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6A1B"/>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3FA3"/>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C39"/>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5477"/>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67F4E"/>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4DB"/>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3C1A"/>
    <w:rsid w:val="00FF40BB"/>
    <w:rsid w:val="00FF5CED"/>
    <w:rsid w:val="00FF7300"/>
    <w:rsid w:val="00FF735B"/>
    <w:rsid w:val="07E00276"/>
    <w:rsid w:val="08A1315E"/>
    <w:rsid w:val="0AF3628F"/>
    <w:rsid w:val="113C6EE2"/>
    <w:rsid w:val="1CBF3B73"/>
    <w:rsid w:val="1FE96C05"/>
    <w:rsid w:val="256940B6"/>
    <w:rsid w:val="3003614E"/>
    <w:rsid w:val="31216E03"/>
    <w:rsid w:val="33B86511"/>
    <w:rsid w:val="40D0614F"/>
    <w:rsid w:val="5385202A"/>
    <w:rsid w:val="5798688B"/>
    <w:rsid w:val="63350368"/>
    <w:rsid w:val="67AD3C9F"/>
    <w:rsid w:val="6C1E48A1"/>
    <w:rsid w:val="77DA6985"/>
    <w:rsid w:val="787601A1"/>
    <w:rsid w:val="7C165616"/>
    <w:rsid w:val="7F5613D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6"/>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6"/>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9"/>
    <w:semiHidden/>
    <w:unhideWhenUsed/>
    <w:qFormat/>
    <w:uiPriority w:val="99"/>
    <w:pPr>
      <w:jc w:val="left"/>
    </w:pPr>
  </w:style>
  <w:style w:type="paragraph" w:styleId="6">
    <w:name w:val="Balloon Text"/>
    <w:basedOn w:val="1"/>
    <w:link w:val="21"/>
    <w:semiHidden/>
    <w:unhideWhenUsed/>
    <w:qFormat/>
    <w:uiPriority w:val="99"/>
    <w:rPr>
      <w:sz w:val="18"/>
      <w:szCs w:val="18"/>
    </w:r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20"/>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22"/>
    <w:rPr>
      <w:b/>
      <w:bCs/>
    </w:rPr>
  </w:style>
  <w:style w:type="character" w:styleId="15">
    <w:name w:val="annotation reference"/>
    <w:basedOn w:val="13"/>
    <w:semiHidden/>
    <w:unhideWhenUsed/>
    <w:qFormat/>
    <w:uiPriority w:val="99"/>
    <w:rPr>
      <w:sz w:val="21"/>
      <w:szCs w:val="21"/>
    </w:rPr>
  </w:style>
  <w:style w:type="character" w:customStyle="1" w:styleId="16">
    <w:name w:val="标题 2 Char"/>
    <w:basedOn w:val="13"/>
    <w:link w:val="3"/>
    <w:qFormat/>
    <w:uiPriority w:val="99"/>
    <w:rPr>
      <w:rFonts w:ascii="Cambria" w:hAnsi="Cambria" w:eastAsia="宋体" w:cs="Times New Roman"/>
      <w:b/>
      <w:bCs/>
      <w:sz w:val="32"/>
      <w:szCs w:val="32"/>
    </w:rPr>
  </w:style>
  <w:style w:type="character" w:customStyle="1" w:styleId="17">
    <w:name w:val="标题 1 Char"/>
    <w:basedOn w:val="13"/>
    <w:link w:val="2"/>
    <w:qFormat/>
    <w:uiPriority w:val="0"/>
    <w:rPr>
      <w:rFonts w:ascii="Times New Roman" w:hAnsi="Times New Roman" w:eastAsia="华文行楷" w:cs="Times New Roman"/>
      <w:kern w:val="44"/>
      <w:sz w:val="44"/>
      <w:szCs w:val="20"/>
    </w:rPr>
  </w:style>
  <w:style w:type="paragraph" w:customStyle="1" w:styleId="18">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19">
    <w:name w:val="批注文字 Char"/>
    <w:basedOn w:val="13"/>
    <w:link w:val="5"/>
    <w:semiHidden/>
    <w:qFormat/>
    <w:uiPriority w:val="99"/>
    <w:rPr>
      <w:rFonts w:ascii="Times New Roman" w:hAnsi="Times New Roman" w:eastAsia="宋体" w:cs="Times New Roman"/>
      <w:szCs w:val="24"/>
    </w:rPr>
  </w:style>
  <w:style w:type="character" w:customStyle="1" w:styleId="20">
    <w:name w:val="批注主题 Char"/>
    <w:basedOn w:val="19"/>
    <w:link w:val="10"/>
    <w:semiHidden/>
    <w:qFormat/>
    <w:uiPriority w:val="99"/>
    <w:rPr>
      <w:rFonts w:ascii="Times New Roman" w:hAnsi="Times New Roman" w:eastAsia="宋体" w:cs="Times New Roman"/>
      <w:b/>
      <w:bCs/>
      <w:szCs w:val="24"/>
    </w:rPr>
  </w:style>
  <w:style w:type="character" w:customStyle="1" w:styleId="21">
    <w:name w:val="批注框文本 Char"/>
    <w:basedOn w:val="13"/>
    <w:link w:val="6"/>
    <w:semiHidden/>
    <w:qFormat/>
    <w:uiPriority w:val="99"/>
    <w:rPr>
      <w:rFonts w:ascii="Times New Roman" w:hAnsi="Times New Roman" w:eastAsia="宋体" w:cs="Times New Roman"/>
      <w:sz w:val="18"/>
      <w:szCs w:val="18"/>
    </w:rPr>
  </w:style>
  <w:style w:type="character" w:customStyle="1" w:styleId="22">
    <w:name w:val="页眉 Char"/>
    <w:basedOn w:val="13"/>
    <w:link w:val="8"/>
    <w:qFormat/>
    <w:uiPriority w:val="99"/>
    <w:rPr>
      <w:rFonts w:ascii="Times New Roman" w:hAnsi="Times New Roman" w:eastAsia="宋体" w:cs="Times New Roman"/>
      <w:sz w:val="18"/>
      <w:szCs w:val="18"/>
    </w:rPr>
  </w:style>
  <w:style w:type="character" w:customStyle="1" w:styleId="23">
    <w:name w:val="页脚 Char"/>
    <w:basedOn w:val="13"/>
    <w:link w:val="7"/>
    <w:qFormat/>
    <w:uiPriority w:val="99"/>
    <w:rPr>
      <w:rFonts w:ascii="Times New Roman" w:hAnsi="Times New Roman" w:eastAsia="宋体" w:cs="Times New Roman"/>
      <w:sz w:val="18"/>
      <w:szCs w:val="18"/>
    </w:rPr>
  </w:style>
  <w:style w:type="paragraph" w:customStyle="1" w:styleId="24">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5">
    <w:name w:val="List Paragraph"/>
    <w:basedOn w:val="1"/>
    <w:qFormat/>
    <w:uiPriority w:val="99"/>
    <w:pPr>
      <w:ind w:firstLine="420" w:firstLineChars="200"/>
    </w:pPr>
  </w:style>
  <w:style w:type="character" w:customStyle="1" w:styleId="26">
    <w:name w:val="标题 4 Char"/>
    <w:basedOn w:val="13"/>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datastoreItem>
</file>

<file path=docProps/app.xml><?xml version="1.0" encoding="utf-8"?>
<Properties xmlns="http://schemas.openxmlformats.org/officeDocument/2006/extended-properties" xmlns:vt="http://schemas.openxmlformats.org/officeDocument/2006/docPropsVTypes">
  <Template>Normal.dotm</Template>
  <Company>yanjiushengyuan</Company>
  <Pages>5</Pages>
  <Words>3456</Words>
  <Characters>3609</Characters>
  <Lines>27</Lines>
  <Paragraphs>7</Paragraphs>
  <TotalTime>5</TotalTime>
  <ScaleCrop>false</ScaleCrop>
  <LinksUpToDate>false</LinksUpToDate>
  <CharactersWithSpaces>3615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2025-03-05T06:47:00Z</dcterms:created>
  <dc:creator>刘明旭</dc:creator>
  <cp:lastModifiedBy>何振海</cp:lastModifiedBy>
  <cp:lastPrinted>2025-06-13T07:59:00Z</cp:lastPrinted>
  <dcterms:modified xsi:type="dcterms:W3CDTF">2025-06-25T02:56:17Z</dcterms:modified>
  <cp:revision>60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eyJoZGlkIjoiNWViY2U3Y2FmNzlhZThhMTE4ZTg1NjhiOTE1YTBlMDkiLCJ1c2VySWQiOiIyMDkwOTAzNjEifQ==</vt:lpwstr>
  </property>
  <property fmtid="{D5CDD505-2E9C-101B-9397-08002B2CF9AE}" pid="4" name="ICV">
    <vt:lpwstr>387D7BF6D69E4187869898FA35B5811C_13</vt:lpwstr>
  </property>
</Properties>
</file>