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8B6C29">
      <w:pPr>
        <w:ind w:right="227"/>
        <w:jc w:val="both"/>
        <w:rPr>
          <w:rFonts w:eastAsia="黑体"/>
          <w:b/>
          <w:bCs/>
          <w:sz w:val="36"/>
          <w:szCs w:val="36"/>
        </w:rPr>
      </w:pPr>
      <w:bookmarkStart w:id="0" w:name="OLE_LINK7"/>
      <w:bookmarkStart w:id="1" w:name="OLE_LINK6"/>
      <w:r>
        <w:rPr>
          <w:rFonts w:hint="eastAsia" w:eastAsia="黑体"/>
          <w:b/>
          <w:bCs/>
          <w:sz w:val="36"/>
          <w:szCs w:val="36"/>
          <w:u w:val="single"/>
          <w:lang w:val="en-US" w:eastAsia="zh-CN"/>
        </w:rPr>
        <w:t>资产评估</w:t>
      </w:r>
      <w:r>
        <w:rPr>
          <w:rFonts w:eastAsia="黑体"/>
          <w:b/>
          <w:bCs/>
          <w:sz w:val="36"/>
          <w:szCs w:val="36"/>
        </w:rPr>
        <w:t>专业全日制专业学位硕士研究生培养方案</w:t>
      </w:r>
    </w:p>
    <w:p w14:paraId="747747CB">
      <w:pPr>
        <w:ind w:left="321" w:leftChars="153" w:right="227"/>
        <w:jc w:val="center"/>
        <w:rPr>
          <w:rFonts w:eastAsia="黑体"/>
          <w:b/>
          <w:bCs/>
          <w:sz w:val="28"/>
          <w:szCs w:val="28"/>
        </w:rPr>
      </w:pPr>
      <w:r>
        <w:rPr>
          <w:rFonts w:eastAsia="黑体"/>
          <w:b/>
          <w:bCs/>
          <w:sz w:val="28"/>
          <w:szCs w:val="28"/>
        </w:rPr>
        <w:t>（</w:t>
      </w:r>
      <w:r>
        <w:rPr>
          <w:rFonts w:hint="eastAsia" w:eastAsia="黑体"/>
          <w:b/>
          <w:bCs/>
          <w:color w:val="000000" w:themeColor="text1"/>
          <w:sz w:val="28"/>
          <w:szCs w:val="28"/>
          <w14:textFill>
            <w14:solidFill>
              <w14:schemeClr w14:val="tx1"/>
            </w14:solidFill>
          </w14:textFill>
        </w:rPr>
        <w:t>管理</w:t>
      </w:r>
      <w:r>
        <w:rPr>
          <w:rFonts w:eastAsia="黑体"/>
          <w:b/>
          <w:bCs/>
          <w:sz w:val="28"/>
          <w:szCs w:val="28"/>
        </w:rPr>
        <w:t>学院)</w:t>
      </w:r>
    </w:p>
    <w:p w14:paraId="0979FE1F">
      <w:pPr>
        <w:spacing w:line="360" w:lineRule="auto"/>
        <w:ind w:firstLine="560"/>
        <w:rPr>
          <w:rFonts w:eastAsia="黑体"/>
          <w:bCs/>
          <w:sz w:val="28"/>
          <w:szCs w:val="28"/>
        </w:rPr>
      </w:pPr>
      <w:r>
        <w:rPr>
          <w:rFonts w:eastAsia="黑体"/>
          <w:bCs/>
          <w:sz w:val="28"/>
          <w:szCs w:val="28"/>
        </w:rPr>
        <w:t>一、专业名称、代码</w:t>
      </w:r>
    </w:p>
    <w:p w14:paraId="48C43A30">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资产评估</w:t>
      </w:r>
    </w:p>
    <w:p w14:paraId="4C0A93E6">
      <w:pPr>
        <w:widowControl/>
        <w:spacing w:line="360" w:lineRule="auto"/>
        <w:ind w:firstLine="960" w:firstLineChars="400"/>
        <w:jc w:val="left"/>
        <w:rPr>
          <w:color w:val="222222"/>
          <w:kern w:val="0"/>
          <w:sz w:val="18"/>
          <w:szCs w:val="18"/>
        </w:rPr>
      </w:pPr>
      <w:r>
        <w:rPr>
          <w:color w:val="222222"/>
          <w:kern w:val="0"/>
          <w:sz w:val="24"/>
        </w:rPr>
        <w:t>专业代码：025600</w:t>
      </w:r>
    </w:p>
    <w:p w14:paraId="5B3D5BBE">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240023D7">
      <w:pPr>
        <w:spacing w:line="360" w:lineRule="auto"/>
        <w:ind w:firstLine="480" w:firstLineChars="200"/>
        <w:rPr>
          <w:rFonts w:ascii="宋体" w:hAnsi="宋体"/>
          <w:sz w:val="24"/>
        </w:rPr>
      </w:pPr>
      <w:r>
        <w:rPr>
          <w:rFonts w:ascii="宋体" w:hAnsi="宋体"/>
          <w:sz w:val="24"/>
        </w:rPr>
        <w:t>为适应我国经济转型升级与全球资本深度融合对高层次资产评估人才的迫切需求，完善专业化、复合型评估人才培养体系，创新产教协同育人机制，提升服务国家战略与行业发展的支撑能力，</w:t>
      </w:r>
      <w:r>
        <w:rPr>
          <w:rFonts w:hint="eastAsia" w:ascii="Times New Roman" w:hAnsi="Times New Roman" w:cs="Times New Roman" w:eastAsiaTheme="minorEastAsia"/>
          <w:color w:val="000000"/>
          <w:sz w:val="24"/>
          <w:lang w:eastAsia="zh-CN"/>
        </w:rPr>
        <w:t>资产评估</w:t>
      </w:r>
      <w:r>
        <w:rPr>
          <w:rFonts w:ascii="宋体" w:hAnsi="宋体"/>
          <w:sz w:val="24"/>
        </w:rPr>
        <w:t>专业学位立足于推进要素市场化配置改革、规范资本市场定价秩序的现实需要</w:t>
      </w:r>
      <w:r>
        <w:rPr>
          <w:rFonts w:hint="eastAsia" w:ascii="宋体" w:hAnsi="宋体"/>
          <w:sz w:val="24"/>
        </w:rPr>
        <w:t>，依托财政学、会计学、企业管理专业师资力量以及研究领域的优势和特点，主要围绕企业价值评估、无形资产评估和</w:t>
      </w:r>
      <w:r>
        <w:rPr>
          <w:rFonts w:hint="eastAsia" w:ascii="宋体" w:hAnsi="宋体"/>
          <w:sz w:val="24"/>
          <w:lang w:val="en-US" w:eastAsia="zh-CN"/>
        </w:rPr>
        <w:t>资产评估理论与方法</w:t>
      </w:r>
      <w:r>
        <w:rPr>
          <w:rFonts w:hint="eastAsia" w:ascii="宋体" w:hAnsi="宋体"/>
          <w:sz w:val="24"/>
        </w:rPr>
        <w:t>三个核心领域进行深入研究，</w:t>
      </w:r>
      <w:r>
        <w:rPr>
          <w:rFonts w:ascii="宋体" w:hAnsi="宋体"/>
          <w:sz w:val="24"/>
        </w:rPr>
        <w:t>着力培养兼具理论素养与实践创新能力的</w:t>
      </w:r>
      <w:r>
        <w:rPr>
          <w:rFonts w:hint="eastAsia" w:ascii="宋体" w:hAnsi="宋体"/>
          <w:sz w:val="24"/>
          <w:lang w:val="en-US" w:eastAsia="zh-CN"/>
        </w:rPr>
        <w:t>综合性应用人才</w:t>
      </w:r>
      <w:r>
        <w:rPr>
          <w:rFonts w:ascii="宋体" w:hAnsi="宋体"/>
          <w:sz w:val="24"/>
        </w:rPr>
        <w:t>。</w:t>
      </w:r>
    </w:p>
    <w:p w14:paraId="667F3284">
      <w:pPr>
        <w:spacing w:line="360" w:lineRule="auto"/>
        <w:ind w:firstLine="480" w:firstLineChars="200"/>
        <w:rPr>
          <w:rFonts w:ascii="宋体" w:hAnsi="宋体"/>
          <w:sz w:val="24"/>
        </w:rPr>
      </w:pPr>
      <w:r>
        <w:rPr>
          <w:rFonts w:hint="eastAsia" w:ascii="Times New Roman" w:hAnsi="Times New Roman" w:cs="Times New Roman" w:eastAsiaTheme="minorEastAsia"/>
          <w:color w:val="000000"/>
          <w:sz w:val="24"/>
          <w:lang w:eastAsia="zh-CN"/>
        </w:rPr>
        <w:t>资产评估专业学位重视和加强对学生政治思想素质和职业道德的培养。课程教学过程强调实践性，着重理论联系实际的实务能力的培养</w:t>
      </w:r>
      <w:r>
        <w:rPr>
          <w:rFonts w:hint="eastAsia" w:ascii="宋体" w:hAnsi="宋体"/>
          <w:sz w:val="24"/>
        </w:rPr>
        <w:t>，</w:t>
      </w:r>
      <w:r>
        <w:rPr>
          <w:rFonts w:ascii="宋体" w:hAnsi="宋体"/>
          <w:sz w:val="24"/>
        </w:rPr>
        <w:t>确保学生</w:t>
      </w:r>
      <w:r>
        <w:rPr>
          <w:rFonts w:hint="eastAsia" w:ascii="宋体" w:hAnsi="宋体"/>
          <w:sz w:val="24"/>
        </w:rPr>
        <w:t>能力与市场需求精准对接</w:t>
      </w:r>
      <w:r>
        <w:rPr>
          <w:rFonts w:ascii="宋体" w:hAnsi="宋体"/>
          <w:sz w:val="24"/>
        </w:rPr>
        <w:t>。</w:t>
      </w:r>
      <w:r>
        <w:rPr>
          <w:rFonts w:hint="eastAsia" w:ascii="Times New Roman" w:hAnsi="Times New Roman" w:cs="Times New Roman" w:eastAsiaTheme="minorEastAsia"/>
          <w:color w:val="000000"/>
          <w:sz w:val="24"/>
          <w:lang w:eastAsia="zh-CN"/>
        </w:rPr>
        <w:t>实行校内外双导师制，以校内导师指导为主，吸收不同学科领域的专家、学者共同承担专业学位研究生的培养工作。</w:t>
      </w:r>
      <w:r>
        <w:rPr>
          <w:rFonts w:hint="eastAsia"/>
          <w:sz w:val="24"/>
        </w:rPr>
        <w:t>校外导师</w:t>
      </w:r>
      <w:r>
        <w:rPr>
          <w:rFonts w:hint="eastAsia"/>
          <w:sz w:val="24"/>
          <w:lang w:val="en-US" w:eastAsia="zh-CN"/>
        </w:rPr>
        <w:t>主要</w:t>
      </w:r>
      <w:r>
        <w:rPr>
          <w:rFonts w:hint="eastAsia"/>
          <w:sz w:val="24"/>
        </w:rPr>
        <w:t>来自资产评估机构、</w:t>
      </w:r>
      <w:r>
        <w:rPr>
          <w:sz w:val="24"/>
        </w:rPr>
        <w:t>资产评估行业管理部门</w:t>
      </w:r>
      <w:r>
        <w:rPr>
          <w:rFonts w:hint="eastAsia"/>
          <w:sz w:val="24"/>
        </w:rPr>
        <w:t>等</w:t>
      </w:r>
      <w:r>
        <w:rPr>
          <w:rFonts w:hint="eastAsia"/>
          <w:sz w:val="24"/>
          <w:lang w:val="en-US" w:eastAsia="zh-CN"/>
        </w:rPr>
        <w:t>实务</w:t>
      </w:r>
      <w:r>
        <w:rPr>
          <w:rFonts w:hint="eastAsia"/>
          <w:sz w:val="24"/>
        </w:rPr>
        <w:t>领域</w:t>
      </w:r>
      <w:r>
        <w:rPr>
          <w:rFonts w:hint="eastAsia"/>
          <w:sz w:val="24"/>
          <w:lang w:eastAsia="zh-CN"/>
        </w:rPr>
        <w:t>，</w:t>
      </w:r>
      <w:r>
        <w:rPr>
          <w:rFonts w:hint="eastAsia"/>
          <w:sz w:val="24"/>
          <w:lang w:val="en-US" w:eastAsia="zh-CN"/>
        </w:rPr>
        <w:t>具</w:t>
      </w:r>
      <w:r>
        <w:rPr>
          <w:rFonts w:hint="eastAsia"/>
          <w:sz w:val="24"/>
        </w:rPr>
        <w:t>有丰富</w:t>
      </w:r>
      <w:r>
        <w:rPr>
          <w:rFonts w:hint="eastAsia"/>
          <w:sz w:val="24"/>
          <w:lang w:val="en-US" w:eastAsia="zh-CN"/>
        </w:rPr>
        <w:t>实践</w:t>
      </w:r>
      <w:r>
        <w:rPr>
          <w:rFonts w:hint="eastAsia"/>
          <w:sz w:val="24"/>
        </w:rPr>
        <w:t>经验</w:t>
      </w:r>
      <w:r>
        <w:rPr>
          <w:rFonts w:hint="eastAsia"/>
          <w:sz w:val="24"/>
          <w:lang w:eastAsia="zh-CN"/>
        </w:rPr>
        <w:t>。</w:t>
      </w:r>
      <w:r>
        <w:rPr>
          <w:rFonts w:hint="eastAsia" w:ascii="Times New Roman" w:hAnsi="Times New Roman" w:cs="Times New Roman" w:eastAsiaTheme="minorEastAsia"/>
          <w:color w:val="000000"/>
          <w:sz w:val="24"/>
          <w:lang w:eastAsia="zh-CN"/>
        </w:rPr>
        <w:t>建立资产评估教学实习实践基地，强化学校与实习单位之间的合作伙伴关系</w:t>
      </w:r>
      <w:r>
        <w:rPr>
          <w:rFonts w:ascii="宋体" w:hAnsi="宋体"/>
          <w:sz w:val="24"/>
        </w:rPr>
        <w:t>，</w:t>
      </w:r>
      <w:r>
        <w:rPr>
          <w:rFonts w:hint="eastAsia" w:ascii="宋体" w:hAnsi="宋体"/>
          <w:sz w:val="24"/>
        </w:rPr>
        <w:t>着重培养</w:t>
      </w:r>
      <w:r>
        <w:rPr>
          <w:rFonts w:ascii="宋体" w:hAnsi="宋体"/>
          <w:sz w:val="24"/>
        </w:rPr>
        <w:t>学生的实务操作能力</w:t>
      </w:r>
      <w:r>
        <w:rPr>
          <w:rFonts w:hint="eastAsia" w:ascii="宋体" w:hAnsi="宋体"/>
          <w:sz w:val="24"/>
        </w:rPr>
        <w:t>，</w:t>
      </w:r>
      <w:r>
        <w:rPr>
          <w:rFonts w:ascii="宋体" w:hAnsi="宋体"/>
          <w:sz w:val="24"/>
        </w:rPr>
        <w:t>进一步提升其专业实践能力</w:t>
      </w:r>
      <w:r>
        <w:rPr>
          <w:rFonts w:hint="eastAsia" w:ascii="Times New Roman" w:hAnsi="Times New Roman" w:cs="Times New Roman" w:eastAsiaTheme="minorEastAsia"/>
          <w:color w:val="000000"/>
          <w:sz w:val="24"/>
          <w:lang w:eastAsia="zh-CN"/>
        </w:rPr>
        <w:t>。</w:t>
      </w:r>
    </w:p>
    <w:p w14:paraId="1F1DB8A7">
      <w:pPr>
        <w:spacing w:line="360" w:lineRule="auto"/>
        <w:ind w:firstLine="560" w:firstLineChars="200"/>
        <w:rPr>
          <w:rFonts w:eastAsia="黑体"/>
          <w:bCs/>
          <w:sz w:val="28"/>
          <w:szCs w:val="28"/>
        </w:rPr>
      </w:pPr>
      <w:r>
        <w:rPr>
          <w:rFonts w:eastAsia="黑体"/>
          <w:bCs/>
          <w:sz w:val="28"/>
          <w:szCs w:val="28"/>
        </w:rPr>
        <w:t>三、研究方向</w:t>
      </w:r>
    </w:p>
    <w:p w14:paraId="756E02BF">
      <w:pPr>
        <w:spacing w:line="360" w:lineRule="auto"/>
        <w:ind w:firstLine="480" w:firstLineChars="200"/>
        <w:rPr>
          <w:rFonts w:hint="eastAsia" w:ascii="宋体" w:hAnsi="宋体" w:eastAsia="宋体"/>
          <w:sz w:val="24"/>
          <w:lang w:eastAsia="zh-CN"/>
        </w:rPr>
      </w:pPr>
      <w:r>
        <w:rPr>
          <w:rFonts w:hint="eastAsia" w:ascii="宋体" w:hAnsi="宋体"/>
          <w:sz w:val="24"/>
        </w:rPr>
        <w:t>为适应我国社会主义市场经济发展对资产评估专业人才的迫切需求，完善资产评估人才培养体系，创新资产评估人才培养模式，提高资产评估人才培养质量，</w:t>
      </w:r>
      <w:r>
        <w:rPr>
          <w:rFonts w:hint="eastAsia" w:ascii="宋体" w:hAnsi="宋体"/>
          <w:sz w:val="24"/>
          <w:lang w:val="en-US" w:eastAsia="zh-CN"/>
        </w:rPr>
        <w:t>资产评估</w:t>
      </w:r>
      <w:r>
        <w:rPr>
          <w:rFonts w:hint="eastAsia" w:ascii="宋体" w:hAnsi="宋体"/>
          <w:sz w:val="24"/>
        </w:rPr>
        <w:t>专业学位类别立足于满足国家地方经济建设、社会发展的需要，设置三个研究方向</w:t>
      </w:r>
      <w:r>
        <w:rPr>
          <w:rFonts w:hint="eastAsia" w:ascii="宋体" w:hAnsi="宋体"/>
          <w:sz w:val="24"/>
          <w:lang w:eastAsia="zh-CN"/>
        </w:rPr>
        <w:t>。</w:t>
      </w:r>
    </w:p>
    <w:p w14:paraId="58769799">
      <w:pPr>
        <w:spacing w:line="360" w:lineRule="auto"/>
        <w:ind w:firstLine="480" w:firstLineChars="200"/>
        <w:rPr>
          <w:rFonts w:ascii="宋体" w:hAnsi="宋体"/>
          <w:sz w:val="24"/>
        </w:rPr>
      </w:pPr>
      <w:r>
        <w:rPr>
          <w:rFonts w:hint="eastAsia" w:ascii="宋体" w:hAnsi="宋体"/>
          <w:sz w:val="24"/>
        </w:rPr>
        <w:t>1.企业价值评估</w:t>
      </w:r>
    </w:p>
    <w:p w14:paraId="6525DF84">
      <w:pPr>
        <w:spacing w:line="360" w:lineRule="auto"/>
        <w:ind w:firstLine="480" w:firstLineChars="200"/>
        <w:rPr>
          <w:rFonts w:ascii="宋体" w:hAnsi="宋体"/>
          <w:sz w:val="24"/>
        </w:rPr>
      </w:pPr>
      <w:r>
        <w:rPr>
          <w:rFonts w:hint="eastAsia" w:ascii="宋体" w:hAnsi="宋体"/>
          <w:sz w:val="24"/>
        </w:rPr>
        <w:t>企业价值评估研究方向主要研究企业价值评估的理论方法体系与企业价值评估实践应用等相关内容。通过企业价值驱动因素分析，企业价值评估相关理论的阐述</w:t>
      </w:r>
      <w:r>
        <w:rPr>
          <w:rFonts w:hint="eastAsia" w:ascii="宋体" w:hAnsi="宋体"/>
          <w:sz w:val="24"/>
          <w:lang w:eastAsia="zh-CN"/>
        </w:rPr>
        <w:t>，</w:t>
      </w:r>
      <w:r>
        <w:rPr>
          <w:rFonts w:hint="eastAsia" w:ascii="宋体" w:hAnsi="宋体"/>
          <w:sz w:val="24"/>
        </w:rPr>
        <w:t>以及对不同类型的企业价值评估技术方法的差异比较等具体内容，探索企业价值评估的内在客观规律性，完善企业价值评估相关理论和分析企业价值评估实际问题。本研究方向</w:t>
      </w:r>
      <w:r>
        <w:rPr>
          <w:rFonts w:ascii="宋体" w:hAnsi="宋体"/>
          <w:sz w:val="24"/>
        </w:rPr>
        <w:t>涵盖宏观经济环境、行业发展趋势、企业财务与非财务指标对估值的影响机制</w:t>
      </w:r>
      <w:r>
        <w:rPr>
          <w:rFonts w:hint="eastAsia" w:ascii="宋体" w:hAnsi="宋体"/>
          <w:sz w:val="24"/>
          <w:lang w:val="en-US" w:eastAsia="zh-CN"/>
        </w:rPr>
        <w:t>等研究内容</w:t>
      </w:r>
      <w:r>
        <w:rPr>
          <w:rFonts w:ascii="宋体" w:hAnsi="宋体"/>
          <w:sz w:val="24"/>
        </w:rPr>
        <w:t>，注重理论与实务的衔接，强调国际评估准则与中国市场特色的融合。随着数字化转型加速，进一步探索智能化工具在现金流预测、敏感性分析等环节的应用创新</w:t>
      </w:r>
      <w:r>
        <w:rPr>
          <w:rFonts w:hint="eastAsia" w:ascii="宋体" w:hAnsi="宋体"/>
          <w:sz w:val="24"/>
        </w:rPr>
        <w:t>。本研究方向以会计、财务管理相关师资为依托，致力于培养能够应对各行各业企业价值评估业务的高级应用人才。</w:t>
      </w:r>
    </w:p>
    <w:p w14:paraId="46B5B227">
      <w:pPr>
        <w:spacing w:line="360" w:lineRule="auto"/>
        <w:ind w:firstLine="480" w:firstLineChars="200"/>
        <w:rPr>
          <w:rFonts w:ascii="宋体" w:hAnsi="宋体"/>
          <w:sz w:val="24"/>
        </w:rPr>
      </w:pPr>
      <w:r>
        <w:rPr>
          <w:rFonts w:hint="eastAsia" w:ascii="宋体" w:hAnsi="宋体"/>
          <w:sz w:val="24"/>
        </w:rPr>
        <w:t>2.无形资产评估</w:t>
      </w:r>
    </w:p>
    <w:p w14:paraId="5B463DB1">
      <w:pPr>
        <w:spacing w:line="360" w:lineRule="auto"/>
        <w:ind w:firstLine="480" w:firstLineChars="200"/>
        <w:rPr>
          <w:rFonts w:ascii="宋体" w:hAnsi="宋体"/>
          <w:sz w:val="24"/>
        </w:rPr>
      </w:pPr>
      <w:r>
        <w:rPr>
          <w:rFonts w:hint="eastAsia" w:ascii="宋体" w:hAnsi="宋体"/>
          <w:sz w:val="24"/>
        </w:rPr>
        <w:t>无形资产评估研究方向主要研究无形资产评估的理论方法体系与无形资产评估实践应用等相关内容。通过无形资产自身特殊性分析，无形资产类型复杂性和差异性分析以及针对具体无形资产评估技术方法的选择与应用等具体内容，探索无形资产评估的内在客观规律性，完善无形资产评估相关理论和分析无形资产评估实际问题。本研究方向</w:t>
      </w:r>
      <w:r>
        <w:rPr>
          <w:rFonts w:ascii="宋体" w:hAnsi="宋体"/>
          <w:sz w:val="24"/>
        </w:rPr>
        <w:t>涵盖专利、商标、著作权等传统无形资产，以及数据资产、数字版权等新兴领域，重点解决收益期不确定、权属复杂等评估难点</w:t>
      </w:r>
      <w:r>
        <w:rPr>
          <w:rFonts w:hint="eastAsia" w:ascii="宋体" w:hAnsi="宋体"/>
          <w:sz w:val="24"/>
          <w:lang w:val="en-US" w:eastAsia="zh-CN"/>
        </w:rPr>
        <w:t>问题</w:t>
      </w:r>
      <w:r>
        <w:rPr>
          <w:rFonts w:ascii="宋体" w:hAnsi="宋体"/>
          <w:sz w:val="24"/>
        </w:rPr>
        <w:t>，</w:t>
      </w:r>
      <w:r>
        <w:rPr>
          <w:rFonts w:hint="eastAsia" w:ascii="宋体" w:hAnsi="宋体"/>
          <w:sz w:val="24"/>
          <w:lang w:val="en-US" w:eastAsia="zh-CN"/>
        </w:rPr>
        <w:t>并</w:t>
      </w:r>
      <w:r>
        <w:rPr>
          <w:rFonts w:ascii="宋体" w:hAnsi="宋体"/>
          <w:sz w:val="24"/>
        </w:rPr>
        <w:t>探索收益分成法、期权定价法等模型的适应性。</w:t>
      </w:r>
      <w:r>
        <w:rPr>
          <w:rFonts w:hint="eastAsia" w:ascii="宋体" w:hAnsi="宋体"/>
          <w:sz w:val="24"/>
          <w:lang w:val="en-US" w:eastAsia="zh-CN"/>
        </w:rPr>
        <w:t>在</w:t>
      </w:r>
      <w:r>
        <w:rPr>
          <w:rFonts w:ascii="宋体" w:hAnsi="宋体"/>
          <w:sz w:val="24"/>
        </w:rPr>
        <w:t>数字经济背景下</w:t>
      </w:r>
      <w:r>
        <w:rPr>
          <w:rFonts w:hint="eastAsia" w:ascii="宋体" w:hAnsi="宋体"/>
          <w:sz w:val="24"/>
          <w:lang w:eastAsia="zh-CN"/>
        </w:rPr>
        <w:t>，</w:t>
      </w:r>
      <w:r>
        <w:rPr>
          <w:rFonts w:hint="eastAsia" w:ascii="宋体" w:hAnsi="宋体"/>
          <w:sz w:val="24"/>
          <w:lang w:val="en-US" w:eastAsia="zh-CN"/>
        </w:rPr>
        <w:t>注重</w:t>
      </w:r>
      <w:r>
        <w:rPr>
          <w:rFonts w:ascii="宋体" w:hAnsi="宋体"/>
          <w:sz w:val="24"/>
        </w:rPr>
        <w:t>研究</w:t>
      </w:r>
      <w:r>
        <w:rPr>
          <w:rFonts w:hint="eastAsia" w:ascii="宋体" w:hAnsi="宋体"/>
          <w:sz w:val="24"/>
          <w:lang w:val="en-US" w:eastAsia="zh-CN"/>
        </w:rPr>
        <w:t>无形资产</w:t>
      </w:r>
      <w:r>
        <w:rPr>
          <w:rFonts w:ascii="宋体" w:hAnsi="宋体"/>
          <w:sz w:val="24"/>
        </w:rPr>
        <w:t>价值形成逻辑与计量方法体系</w:t>
      </w:r>
      <w:r>
        <w:rPr>
          <w:rFonts w:hint="eastAsia" w:ascii="宋体" w:hAnsi="宋体"/>
          <w:sz w:val="24"/>
          <w:lang w:eastAsia="zh-CN"/>
        </w:rPr>
        <w:t>，</w:t>
      </w:r>
      <w:r>
        <w:rPr>
          <w:rFonts w:ascii="宋体" w:hAnsi="宋体"/>
          <w:sz w:val="24"/>
        </w:rPr>
        <w:t>关注国际评估</w:t>
      </w:r>
      <w:r>
        <w:rPr>
          <w:rFonts w:hint="eastAsia" w:ascii="宋体" w:hAnsi="宋体"/>
          <w:sz w:val="24"/>
          <w:lang w:val="en-US" w:eastAsia="zh-CN"/>
        </w:rPr>
        <w:t>准则</w:t>
      </w:r>
      <w:r>
        <w:rPr>
          <w:rFonts w:ascii="宋体" w:hAnsi="宋体"/>
          <w:sz w:val="24"/>
        </w:rPr>
        <w:t>的本土化实践。</w:t>
      </w:r>
      <w:r>
        <w:rPr>
          <w:rFonts w:hint="eastAsia" w:ascii="宋体" w:hAnsi="宋体"/>
          <w:sz w:val="24"/>
        </w:rPr>
        <w:t>本研究方向以无形资产评估相关师资为依托，致力于培养能够应对复杂无形资产评估业务的高级应用人才。</w:t>
      </w:r>
    </w:p>
    <w:p w14:paraId="0CE1CE72">
      <w:pPr>
        <w:spacing w:line="360" w:lineRule="auto"/>
        <w:ind w:firstLine="480" w:firstLineChars="200"/>
        <w:rPr>
          <w:rFonts w:ascii="宋体" w:hAnsi="宋体"/>
          <w:sz w:val="24"/>
        </w:rPr>
      </w:pPr>
      <w:r>
        <w:rPr>
          <w:rFonts w:hint="eastAsia" w:ascii="宋体" w:hAnsi="宋体"/>
          <w:sz w:val="24"/>
        </w:rPr>
        <w:t>3.资产评估理论与方法</w:t>
      </w:r>
    </w:p>
    <w:p w14:paraId="5B8C4345">
      <w:pPr>
        <w:spacing w:line="360" w:lineRule="auto"/>
        <w:ind w:firstLine="480" w:firstLineChars="200"/>
        <w:rPr>
          <w:rFonts w:ascii="宋体" w:hAnsi="宋体"/>
          <w:sz w:val="24"/>
        </w:rPr>
      </w:pPr>
      <w:r>
        <w:rPr>
          <w:rFonts w:hint="eastAsia" w:ascii="宋体" w:hAnsi="宋体"/>
          <w:sz w:val="24"/>
        </w:rPr>
        <w:t>资产评估理论与方法研究方向主要研究资产评估的基本理论及资产评估学科的规律性，探索资产评估的理论体系和应用技术方法体系，为建立资产评估学科体系，完善资产评估制度提供理论依据和实践的指导。</w:t>
      </w:r>
      <w:r>
        <w:rPr>
          <w:rFonts w:hint="eastAsia" w:ascii="宋体" w:hAnsi="宋体"/>
          <w:sz w:val="24"/>
          <w:lang w:val="en-US" w:eastAsia="zh-CN"/>
        </w:rPr>
        <w:t>本</w:t>
      </w:r>
      <w:r>
        <w:rPr>
          <w:rFonts w:ascii="宋体" w:hAnsi="宋体"/>
          <w:sz w:val="24"/>
        </w:rPr>
        <w:t>研究</w:t>
      </w:r>
      <w:r>
        <w:rPr>
          <w:rFonts w:hint="eastAsia" w:ascii="宋体" w:hAnsi="宋体"/>
          <w:sz w:val="24"/>
          <w:lang w:val="en-US" w:eastAsia="zh-CN"/>
        </w:rPr>
        <w:t>方向</w:t>
      </w:r>
      <w:r>
        <w:rPr>
          <w:rFonts w:ascii="宋体" w:hAnsi="宋体"/>
          <w:sz w:val="24"/>
        </w:rPr>
        <w:t>涵盖经济学理论与评估实践的衔接、评估假设与参数体系的科学性论证，以及实物期权模型、风险评估技术等方法论的前沿探索。同时</w:t>
      </w:r>
      <w:r>
        <w:rPr>
          <w:rFonts w:hint="eastAsia" w:ascii="宋体" w:hAnsi="宋体"/>
          <w:sz w:val="24"/>
          <w:lang w:eastAsia="zh-CN"/>
        </w:rPr>
        <w:t>，</w:t>
      </w:r>
      <w:r>
        <w:rPr>
          <w:rFonts w:hint="eastAsia" w:ascii="宋体" w:hAnsi="宋体"/>
          <w:sz w:val="24"/>
          <w:lang w:val="en-US" w:eastAsia="zh-CN"/>
        </w:rPr>
        <w:t>本</w:t>
      </w:r>
      <w:r>
        <w:rPr>
          <w:rFonts w:ascii="宋体" w:hAnsi="宋体"/>
          <w:sz w:val="24"/>
        </w:rPr>
        <w:t>研究</w:t>
      </w:r>
      <w:r>
        <w:rPr>
          <w:rFonts w:hint="eastAsia" w:ascii="宋体" w:hAnsi="宋体"/>
          <w:sz w:val="24"/>
          <w:lang w:val="en-US" w:eastAsia="zh-CN"/>
        </w:rPr>
        <w:t>方向</w:t>
      </w:r>
      <w:r>
        <w:rPr>
          <w:rFonts w:ascii="宋体" w:hAnsi="宋体"/>
          <w:sz w:val="24"/>
        </w:rPr>
        <w:t>关注</w:t>
      </w:r>
      <w:r>
        <w:rPr>
          <w:rFonts w:hint="eastAsia" w:ascii="宋体" w:hAnsi="宋体"/>
          <w:sz w:val="24"/>
        </w:rPr>
        <w:t>国内外行业</w:t>
      </w:r>
      <w:r>
        <w:rPr>
          <w:rFonts w:hint="eastAsia" w:ascii="宋体" w:hAnsi="宋体"/>
          <w:sz w:val="24"/>
          <w:lang w:val="en-US" w:eastAsia="zh-CN"/>
        </w:rPr>
        <w:t>评估</w:t>
      </w:r>
      <w:r>
        <w:rPr>
          <w:rFonts w:hint="eastAsia" w:ascii="宋体" w:hAnsi="宋体"/>
          <w:sz w:val="24"/>
        </w:rPr>
        <w:t>准则</w:t>
      </w:r>
      <w:r>
        <w:rPr>
          <w:rFonts w:ascii="宋体" w:hAnsi="宋体"/>
          <w:sz w:val="24"/>
        </w:rPr>
        <w:t>的协同发展，推动特殊</w:t>
      </w:r>
      <w:r>
        <w:rPr>
          <w:rFonts w:hint="eastAsia" w:ascii="宋体" w:hAnsi="宋体"/>
          <w:sz w:val="24"/>
          <w:lang w:val="en-US" w:eastAsia="zh-CN"/>
        </w:rPr>
        <w:t>类型</w:t>
      </w:r>
      <w:r>
        <w:rPr>
          <w:rFonts w:ascii="宋体" w:hAnsi="宋体"/>
          <w:sz w:val="24"/>
        </w:rPr>
        <w:t>资产的评估理论突破。</w:t>
      </w:r>
      <w:r>
        <w:rPr>
          <w:rFonts w:hint="eastAsia" w:ascii="宋体" w:hAnsi="宋体"/>
          <w:sz w:val="24"/>
        </w:rPr>
        <w:t>本研究方向以资产评估相关师资为依托，</w:t>
      </w:r>
      <w:r>
        <w:rPr>
          <w:rFonts w:ascii="宋体" w:hAnsi="宋体"/>
          <w:sz w:val="24"/>
        </w:rPr>
        <w:t>系统训练培养学生构建理论模型、开展学术研究的能力，</w:t>
      </w:r>
      <w:r>
        <w:rPr>
          <w:rFonts w:hint="eastAsia" w:ascii="宋体" w:hAnsi="宋体"/>
          <w:sz w:val="24"/>
        </w:rPr>
        <w:t>致力于培养能够应对资产评估基础理论与实践的高级应用人才。</w:t>
      </w:r>
    </w:p>
    <w:p w14:paraId="0FF93448">
      <w:pPr>
        <w:spacing w:line="360" w:lineRule="auto"/>
        <w:ind w:firstLine="560" w:firstLineChars="200"/>
        <w:rPr>
          <w:rFonts w:eastAsia="黑体"/>
          <w:bCs/>
          <w:sz w:val="28"/>
          <w:szCs w:val="28"/>
        </w:rPr>
      </w:pPr>
      <w:r>
        <w:rPr>
          <w:rFonts w:eastAsia="黑体"/>
          <w:bCs/>
          <w:sz w:val="28"/>
          <w:szCs w:val="28"/>
        </w:rPr>
        <w:t>四、学制及学习年限</w:t>
      </w:r>
    </w:p>
    <w:p w14:paraId="13703DCC">
      <w:pPr>
        <w:spacing w:line="360" w:lineRule="auto"/>
        <w:ind w:firstLine="480" w:firstLineChars="200"/>
        <w:rPr>
          <w:rFonts w:eastAsiaTheme="minorEastAsia"/>
          <w:i/>
          <w:color w:val="FF0000"/>
          <w:sz w:val="24"/>
        </w:rPr>
      </w:pPr>
      <w:r>
        <w:rPr>
          <w:rFonts w:eastAsiaTheme="minorEastAsia"/>
          <w:color w:val="000000"/>
          <w:sz w:val="24"/>
        </w:rPr>
        <w:t>本专业学制为</w:t>
      </w:r>
      <w:r>
        <w:rPr>
          <w:rFonts w:hint="eastAsia" w:eastAsiaTheme="minorEastAsia"/>
          <w:color w:val="000000"/>
          <w:sz w:val="24"/>
          <w:lang w:val="en-US" w:eastAsia="zh-CN"/>
        </w:rPr>
        <w:t>2</w:t>
      </w:r>
      <w:r>
        <w:rPr>
          <w:rFonts w:eastAsiaTheme="minorEastAsia"/>
          <w:color w:val="000000"/>
          <w:sz w:val="24"/>
        </w:rPr>
        <w:t>年，在校最长学习年限（含休学）不超过6年。</w:t>
      </w:r>
    </w:p>
    <w:p w14:paraId="6C72175E">
      <w:pPr>
        <w:spacing w:line="360" w:lineRule="auto"/>
        <w:ind w:firstLine="560" w:firstLineChars="200"/>
        <w:rPr>
          <w:rFonts w:eastAsia="黑体"/>
          <w:bCs/>
          <w:sz w:val="28"/>
          <w:szCs w:val="28"/>
        </w:rPr>
      </w:pPr>
      <w:r>
        <w:rPr>
          <w:rFonts w:eastAsia="黑体"/>
          <w:bCs/>
          <w:sz w:val="28"/>
          <w:szCs w:val="28"/>
        </w:rPr>
        <w:t>五、培养目标</w:t>
      </w:r>
    </w:p>
    <w:p w14:paraId="23CEE2BB">
      <w:pPr>
        <w:spacing w:line="360" w:lineRule="auto"/>
        <w:ind w:firstLine="480" w:firstLineChars="200"/>
        <w:rPr>
          <w:rFonts w:eastAsiaTheme="minorEastAsia"/>
          <w:color w:val="000000"/>
          <w:sz w:val="24"/>
        </w:rPr>
      </w:pPr>
      <w:r>
        <w:rPr>
          <w:rFonts w:hint="eastAsia" w:eastAsiaTheme="minorEastAsia"/>
          <w:color w:val="000000"/>
          <w:sz w:val="24"/>
        </w:rPr>
        <w:t xml:space="preserve">1. </w:t>
      </w:r>
      <w:r>
        <w:rPr>
          <w:rFonts w:hint="eastAsia" w:ascii="Times New Roman" w:hAnsi="Times New Roman" w:cs="Times New Roman" w:eastAsiaTheme="minorEastAsia"/>
          <w:color w:val="000000"/>
          <w:sz w:val="24"/>
        </w:rPr>
        <w:t>树立正确的中国特色社会主义核心价值观，具有坚定的理想信念，高尚的道德情操，优良的学术作风，高度的社会责任感。树</w:t>
      </w:r>
      <w:r>
        <w:rPr>
          <w:rFonts w:hint="eastAsia" w:eastAsiaTheme="minorEastAsia"/>
          <w:color w:val="000000"/>
          <w:sz w:val="24"/>
        </w:rPr>
        <w:t>立正确的人生观、世界观、价值观</w:t>
      </w:r>
      <w:r>
        <w:rPr>
          <w:rFonts w:hint="eastAsia" w:eastAsiaTheme="minorEastAsia"/>
          <w:color w:val="000000"/>
          <w:sz w:val="24"/>
          <w:lang w:eastAsia="zh-CN"/>
        </w:rPr>
        <w:t>。</w:t>
      </w:r>
      <w:r>
        <w:rPr>
          <w:rFonts w:hint="eastAsia" w:eastAsiaTheme="minorEastAsia"/>
          <w:color w:val="000000"/>
          <w:sz w:val="24"/>
        </w:rPr>
        <w:t>坚持诚实守信，勤勉尽责，谨慎从业，坚持独立、客观、公正的原则。</w:t>
      </w:r>
    </w:p>
    <w:p w14:paraId="6FA59A52">
      <w:pPr>
        <w:spacing w:line="360" w:lineRule="auto"/>
        <w:ind w:firstLine="480" w:firstLineChars="200"/>
        <w:rPr>
          <w:rFonts w:eastAsiaTheme="minorEastAsia"/>
          <w:color w:val="000000"/>
          <w:sz w:val="24"/>
        </w:rPr>
      </w:pPr>
      <w:r>
        <w:rPr>
          <w:rFonts w:hint="eastAsia" w:eastAsiaTheme="minorEastAsia"/>
          <w:color w:val="000000"/>
          <w:sz w:val="24"/>
        </w:rPr>
        <w:t xml:space="preserve">2. </w:t>
      </w:r>
      <w:r>
        <w:rPr>
          <w:rFonts w:eastAsiaTheme="minorEastAsia"/>
          <w:color w:val="000000"/>
          <w:sz w:val="24"/>
        </w:rPr>
        <w:t>具有良好的</w:t>
      </w:r>
      <w:r>
        <w:rPr>
          <w:rFonts w:hint="eastAsia" w:eastAsiaTheme="minorEastAsia"/>
          <w:color w:val="000000"/>
          <w:sz w:val="24"/>
        </w:rPr>
        <w:t>资产评估专业</w:t>
      </w:r>
      <w:r>
        <w:rPr>
          <w:rFonts w:eastAsiaTheme="minorEastAsia"/>
          <w:color w:val="000000"/>
          <w:sz w:val="24"/>
        </w:rPr>
        <w:t>基础理论、</w:t>
      </w:r>
      <w:r>
        <w:rPr>
          <w:rFonts w:hint="eastAsia" w:eastAsiaTheme="minorEastAsia"/>
          <w:color w:val="000000"/>
          <w:sz w:val="24"/>
        </w:rPr>
        <w:t>具备扎实的专业技能和突出的实践能力。能够熟练运用所学知识解决企业价值评估、无形资产评估、</w:t>
      </w:r>
      <w:r>
        <w:rPr>
          <w:rFonts w:hint="eastAsia" w:eastAsiaTheme="minorEastAsia"/>
          <w:color w:val="000000"/>
          <w:sz w:val="24"/>
          <w:lang w:val="en-US" w:eastAsia="zh-CN"/>
        </w:rPr>
        <w:t>资产评估理论与方法中的</w:t>
      </w:r>
      <w:r>
        <w:rPr>
          <w:rFonts w:hint="eastAsia" w:eastAsiaTheme="minorEastAsia"/>
          <w:color w:val="000000"/>
          <w:sz w:val="24"/>
        </w:rPr>
        <w:t>实际问题，胜任资产评估行业</w:t>
      </w:r>
      <w:r>
        <w:rPr>
          <w:rFonts w:hint="eastAsia" w:eastAsiaTheme="minorEastAsia"/>
          <w:color w:val="000000"/>
          <w:sz w:val="24"/>
          <w:lang w:val="en-US" w:eastAsia="zh-CN"/>
        </w:rPr>
        <w:t>实践</w:t>
      </w:r>
      <w:r>
        <w:rPr>
          <w:rFonts w:hint="eastAsia" w:eastAsiaTheme="minorEastAsia"/>
          <w:color w:val="000000"/>
          <w:sz w:val="24"/>
        </w:rPr>
        <w:t>工作</w:t>
      </w:r>
      <w:r>
        <w:rPr>
          <w:rFonts w:hint="eastAsia" w:eastAsiaTheme="minorEastAsia"/>
          <w:color w:val="000000"/>
          <w:sz w:val="24"/>
          <w:lang w:eastAsia="zh-CN"/>
        </w:rPr>
        <w:t>，自觉维护资产评估当事人合法权益和公共利益</w:t>
      </w:r>
      <w:r>
        <w:rPr>
          <w:rFonts w:hint="eastAsia" w:eastAsiaTheme="minorEastAsia"/>
          <w:color w:val="000000"/>
          <w:sz w:val="24"/>
        </w:rPr>
        <w:t>。</w:t>
      </w:r>
    </w:p>
    <w:p w14:paraId="2F68460F">
      <w:pPr>
        <w:spacing w:line="360" w:lineRule="auto"/>
        <w:ind w:firstLine="480" w:firstLineChars="200"/>
        <w:rPr>
          <w:rFonts w:eastAsiaTheme="minorEastAsia"/>
          <w:color w:val="000000"/>
          <w:sz w:val="24"/>
        </w:rPr>
      </w:pPr>
      <w:r>
        <w:rPr>
          <w:rFonts w:eastAsiaTheme="minorEastAsia"/>
          <w:color w:val="000000"/>
          <w:sz w:val="24"/>
        </w:rPr>
        <w:t>3</w:t>
      </w:r>
      <w:r>
        <w:rPr>
          <w:rFonts w:hint="eastAsia" w:eastAsiaTheme="minorEastAsia"/>
          <w:color w:val="000000"/>
          <w:sz w:val="24"/>
        </w:rPr>
        <w:t>．具有良好的职业道德，具备良好的团队合作精神、沟通协调能力，能够在多学科背景下进行有效沟通与协作，具备一定的国际视野与文化交流能力。</w:t>
      </w:r>
    </w:p>
    <w:p w14:paraId="64E165BA">
      <w:pPr>
        <w:spacing w:line="360" w:lineRule="auto"/>
        <w:ind w:firstLine="480" w:firstLineChars="200"/>
        <w:rPr>
          <w:rFonts w:eastAsiaTheme="minorEastAsia"/>
          <w:color w:val="000000"/>
          <w:sz w:val="24"/>
        </w:rPr>
      </w:pPr>
      <w:r>
        <w:rPr>
          <w:rFonts w:eastAsiaTheme="minorEastAsia"/>
          <w:color w:val="000000"/>
          <w:sz w:val="24"/>
        </w:rPr>
        <w:t>4</w:t>
      </w:r>
      <w:r>
        <w:rPr>
          <w:rFonts w:hint="eastAsia" w:eastAsiaTheme="minorEastAsia"/>
          <w:color w:val="000000"/>
          <w:sz w:val="24"/>
        </w:rPr>
        <w:t>．至少熟练掌握和运用一门外国语，能够熟练阅读本专业的外文资料，具备撰写学术论文和进行国际学术交流的能力。</w:t>
      </w:r>
    </w:p>
    <w:p w14:paraId="57EBD5E3">
      <w:pPr>
        <w:spacing w:line="360" w:lineRule="auto"/>
        <w:ind w:firstLine="480" w:firstLineChars="200"/>
        <w:rPr>
          <w:rFonts w:eastAsiaTheme="minorEastAsia"/>
          <w:color w:val="000000"/>
          <w:sz w:val="24"/>
        </w:rPr>
      </w:pPr>
      <w:r>
        <w:rPr>
          <w:rFonts w:hint="eastAsia" w:eastAsiaTheme="minorEastAsia"/>
          <w:color w:val="000000"/>
          <w:sz w:val="24"/>
        </w:rPr>
        <w:t>5．具有健康的身体和良好的心理素质。</w:t>
      </w:r>
    </w:p>
    <w:p w14:paraId="2FFD020C">
      <w:pPr>
        <w:spacing w:line="360" w:lineRule="auto"/>
        <w:ind w:firstLine="480" w:firstLineChars="200"/>
        <w:rPr>
          <w:rFonts w:hint="eastAsia" w:eastAsiaTheme="minorEastAsia"/>
          <w:color w:val="000000"/>
          <w:sz w:val="24"/>
          <w:lang w:eastAsia="zh-CN"/>
        </w:rPr>
      </w:pPr>
      <w:r>
        <w:rPr>
          <w:rFonts w:hint="eastAsia" w:ascii="Times New Roman" w:hAnsi="Times New Roman" w:cs="Times New Roman" w:eastAsiaTheme="minorEastAsia"/>
          <w:color w:val="000000"/>
          <w:sz w:val="24"/>
        </w:rPr>
        <w:t>6. 培养德智体美劳全面发展</w:t>
      </w:r>
      <w:r>
        <w:rPr>
          <w:rFonts w:hint="eastAsia" w:ascii="Times New Roman" w:hAnsi="Times New Roman" w:cs="Times New Roman" w:eastAsiaTheme="minorEastAsia"/>
          <w:color w:val="000000"/>
          <w:sz w:val="24"/>
          <w:lang w:val="en-US" w:eastAsia="zh-CN"/>
        </w:rPr>
        <w:t>并</w:t>
      </w:r>
      <w:r>
        <w:rPr>
          <w:rFonts w:hint="eastAsia" w:ascii="Times New Roman" w:hAnsi="Times New Roman" w:cs="Times New Roman" w:eastAsiaTheme="minorEastAsia"/>
          <w:color w:val="000000"/>
          <w:sz w:val="24"/>
        </w:rPr>
        <w:t>具有</w:t>
      </w:r>
      <w:r>
        <w:rPr>
          <w:rFonts w:hint="eastAsia" w:eastAsiaTheme="minorEastAsia"/>
          <w:color w:val="000000"/>
          <w:sz w:val="24"/>
        </w:rPr>
        <w:t>终身学习的能力</w:t>
      </w:r>
      <w:r>
        <w:rPr>
          <w:rFonts w:hint="eastAsia" w:eastAsiaTheme="minorEastAsia"/>
          <w:color w:val="000000"/>
          <w:sz w:val="24"/>
          <w:lang w:val="en-US" w:eastAsia="zh-CN"/>
        </w:rPr>
        <w:t>的</w:t>
      </w:r>
      <w:r>
        <w:rPr>
          <w:rFonts w:hint="eastAsia" w:eastAsiaTheme="minorEastAsia"/>
          <w:color w:val="000000"/>
          <w:sz w:val="24"/>
        </w:rPr>
        <w:t>社会主义事业接班人</w:t>
      </w:r>
      <w:r>
        <w:rPr>
          <w:rFonts w:hint="eastAsia" w:eastAsiaTheme="minorEastAsia"/>
          <w:color w:val="000000"/>
          <w:sz w:val="24"/>
          <w:lang w:eastAsia="zh-CN"/>
        </w:rPr>
        <w:t>。</w:t>
      </w:r>
    </w:p>
    <w:p w14:paraId="4890AAC6">
      <w:pPr>
        <w:spacing w:line="360" w:lineRule="auto"/>
        <w:ind w:firstLine="560" w:firstLineChars="200"/>
        <w:rPr>
          <w:rFonts w:eastAsia="黑体"/>
          <w:bCs/>
          <w:sz w:val="28"/>
          <w:szCs w:val="28"/>
        </w:rPr>
      </w:pPr>
      <w:r>
        <w:rPr>
          <w:rFonts w:eastAsia="黑体"/>
          <w:bCs/>
          <w:sz w:val="28"/>
          <w:szCs w:val="28"/>
        </w:rPr>
        <w:t>六、培养方式</w:t>
      </w:r>
    </w:p>
    <w:p w14:paraId="2308FBFA">
      <w:pPr>
        <w:spacing w:line="360" w:lineRule="auto"/>
        <w:ind w:firstLine="480" w:firstLineChars="200"/>
        <w:rPr>
          <w:rFonts w:eastAsiaTheme="minorEastAsia"/>
          <w:color w:val="000000"/>
          <w:sz w:val="24"/>
        </w:rPr>
      </w:pPr>
      <w:r>
        <w:rPr>
          <w:rFonts w:eastAsiaTheme="minorEastAsia"/>
          <w:color w:val="000000"/>
          <w:sz w:val="24"/>
        </w:rPr>
        <w:t>本</w:t>
      </w:r>
      <w:r>
        <w:rPr>
          <w:rFonts w:hint="eastAsia" w:eastAsiaTheme="minorEastAsia"/>
          <w:color w:val="000000"/>
          <w:sz w:val="24"/>
        </w:rPr>
        <w:t>专业</w:t>
      </w:r>
      <w:r>
        <w:rPr>
          <w:rFonts w:eastAsiaTheme="minorEastAsia"/>
          <w:color w:val="000000"/>
          <w:sz w:val="24"/>
        </w:rPr>
        <w:t>秉承</w:t>
      </w:r>
      <w:r>
        <w:rPr>
          <w:rFonts w:hint="eastAsia" w:eastAsiaTheme="minorEastAsia"/>
          <w:color w:val="000000"/>
          <w:sz w:val="24"/>
        </w:rPr>
        <w:t>“</w:t>
      </w:r>
      <w:r>
        <w:rPr>
          <w:rFonts w:eastAsiaTheme="minorEastAsia"/>
          <w:color w:val="000000"/>
          <w:sz w:val="24"/>
        </w:rPr>
        <w:t>理论筑基、实务赋能、产教融合</w:t>
      </w:r>
      <w:r>
        <w:rPr>
          <w:rFonts w:hint="eastAsia" w:eastAsiaTheme="minorEastAsia"/>
          <w:color w:val="000000"/>
          <w:sz w:val="24"/>
        </w:rPr>
        <w:t>”</w:t>
      </w:r>
      <w:r>
        <w:rPr>
          <w:rFonts w:eastAsiaTheme="minorEastAsia"/>
          <w:color w:val="000000"/>
          <w:sz w:val="24"/>
        </w:rPr>
        <w:t>培养理念，依托</w:t>
      </w:r>
      <w:r>
        <w:rPr>
          <w:rFonts w:hint="eastAsia" w:eastAsiaTheme="minorEastAsia"/>
          <w:color w:val="000000"/>
          <w:sz w:val="24"/>
        </w:rPr>
        <w:t>“</w:t>
      </w:r>
      <w:r>
        <w:rPr>
          <w:rFonts w:eastAsiaTheme="minorEastAsia"/>
          <w:color w:val="000000"/>
          <w:sz w:val="24"/>
        </w:rPr>
        <w:t>理论奠基</w:t>
      </w:r>
      <w:r>
        <w:rPr>
          <w:rFonts w:hint="eastAsia" w:eastAsiaTheme="minorEastAsia"/>
          <w:color w:val="000000"/>
          <w:sz w:val="24"/>
        </w:rPr>
        <w:t>—</w:t>
      </w:r>
      <w:r>
        <w:rPr>
          <w:rFonts w:eastAsiaTheme="minorEastAsia"/>
          <w:color w:val="000000"/>
          <w:sz w:val="24"/>
        </w:rPr>
        <w:t>实践赋能</w:t>
      </w:r>
      <w:r>
        <w:rPr>
          <w:rFonts w:hint="eastAsia" w:eastAsiaTheme="minorEastAsia"/>
          <w:color w:val="000000"/>
          <w:sz w:val="24"/>
        </w:rPr>
        <w:t>—</w:t>
      </w:r>
      <w:r>
        <w:rPr>
          <w:rFonts w:eastAsiaTheme="minorEastAsia"/>
          <w:color w:val="000000"/>
          <w:sz w:val="24"/>
        </w:rPr>
        <w:t>创新驱动</w:t>
      </w:r>
      <w:r>
        <w:rPr>
          <w:rFonts w:hint="eastAsia" w:eastAsiaTheme="minorEastAsia"/>
          <w:color w:val="000000"/>
          <w:sz w:val="24"/>
        </w:rPr>
        <w:t>”</w:t>
      </w:r>
      <w:r>
        <w:rPr>
          <w:rFonts w:eastAsiaTheme="minorEastAsia"/>
          <w:color w:val="000000"/>
          <w:sz w:val="24"/>
        </w:rPr>
        <w:t>三位一体培养模式，强化校内外双导师协同育人机制，构建兼具学术深度与行业敏感度的培养</w:t>
      </w:r>
      <w:r>
        <w:rPr>
          <w:rFonts w:hint="eastAsia" w:eastAsiaTheme="minorEastAsia"/>
          <w:color w:val="000000"/>
          <w:sz w:val="24"/>
          <w:lang w:val="en-US" w:eastAsia="zh-CN"/>
        </w:rPr>
        <w:t>体系</w:t>
      </w:r>
      <w:r>
        <w:rPr>
          <w:rFonts w:eastAsiaTheme="minorEastAsia"/>
          <w:color w:val="000000"/>
          <w:sz w:val="24"/>
        </w:rPr>
        <w:t>。</w:t>
      </w:r>
      <w:r>
        <w:rPr>
          <w:rFonts w:hint="eastAsia" w:eastAsiaTheme="minorEastAsia"/>
          <w:color w:val="000000"/>
          <w:sz w:val="24"/>
          <w:lang w:val="en-US" w:eastAsia="zh-CN"/>
        </w:rPr>
        <w:t>在</w:t>
      </w:r>
      <w:r>
        <w:rPr>
          <w:rFonts w:hint="eastAsia" w:eastAsiaTheme="minorEastAsia"/>
          <w:color w:val="000000"/>
          <w:sz w:val="24"/>
        </w:rPr>
        <w:t>培养过程中</w:t>
      </w:r>
      <w:r>
        <w:rPr>
          <w:rFonts w:hint="eastAsia" w:eastAsiaTheme="minorEastAsia"/>
          <w:color w:val="000000"/>
          <w:sz w:val="24"/>
          <w:lang w:eastAsia="zh-CN"/>
        </w:rPr>
        <w:t>，</w:t>
      </w:r>
      <w:r>
        <w:rPr>
          <w:rFonts w:hint="eastAsia" w:eastAsiaTheme="minorEastAsia"/>
          <w:color w:val="000000"/>
          <w:sz w:val="24"/>
        </w:rPr>
        <w:t>注重基础理论学习和科学研究相结合、</w:t>
      </w:r>
      <w:r>
        <w:rPr>
          <w:rFonts w:hint="eastAsia" w:eastAsiaTheme="minorEastAsia"/>
          <w:color w:val="000000"/>
          <w:sz w:val="24"/>
          <w:lang w:val="en-US" w:eastAsia="zh-CN"/>
        </w:rPr>
        <w:t>课堂</w:t>
      </w:r>
      <w:r>
        <w:rPr>
          <w:rFonts w:eastAsiaTheme="minorEastAsia"/>
          <w:color w:val="000000"/>
          <w:sz w:val="24"/>
        </w:rPr>
        <w:t>教学与</w:t>
      </w:r>
      <w:r>
        <w:rPr>
          <w:rFonts w:hint="eastAsia" w:eastAsiaTheme="minorEastAsia"/>
          <w:color w:val="000000"/>
          <w:sz w:val="24"/>
          <w:lang w:val="en-US" w:eastAsia="zh-CN"/>
        </w:rPr>
        <w:t>实习</w:t>
      </w:r>
      <w:r>
        <w:rPr>
          <w:rFonts w:eastAsiaTheme="minorEastAsia"/>
          <w:color w:val="000000"/>
          <w:sz w:val="24"/>
        </w:rPr>
        <w:t>实践相结合，突出</w:t>
      </w:r>
      <w:r>
        <w:rPr>
          <w:rFonts w:hint="eastAsia" w:eastAsiaTheme="minorEastAsia"/>
          <w:color w:val="000000"/>
          <w:sz w:val="24"/>
          <w:lang w:val="en-US" w:eastAsia="zh-CN"/>
        </w:rPr>
        <w:t>学生</w:t>
      </w:r>
      <w:r>
        <w:rPr>
          <w:rFonts w:eastAsiaTheme="minorEastAsia"/>
          <w:color w:val="000000"/>
          <w:sz w:val="24"/>
        </w:rPr>
        <w:t>实务能力培养</w:t>
      </w:r>
      <w:r>
        <w:rPr>
          <w:rFonts w:hint="eastAsia" w:eastAsiaTheme="minorEastAsia"/>
          <w:color w:val="000000"/>
          <w:sz w:val="24"/>
          <w:lang w:val="en-US" w:eastAsia="zh-CN"/>
        </w:rPr>
        <w:t>基础上</w:t>
      </w:r>
      <w:r>
        <w:rPr>
          <w:rFonts w:eastAsiaTheme="minorEastAsia"/>
          <w:color w:val="000000"/>
          <w:sz w:val="24"/>
        </w:rPr>
        <w:t>兼顾研究能力的培养</w:t>
      </w:r>
      <w:r>
        <w:rPr>
          <w:rFonts w:hint="eastAsia" w:eastAsiaTheme="minorEastAsia"/>
          <w:color w:val="000000"/>
          <w:sz w:val="24"/>
        </w:rPr>
        <w:t>。</w:t>
      </w:r>
    </w:p>
    <w:p w14:paraId="72A5B50B">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5DBDA30F">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141D8FB8">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293D2FDA">
      <w:pPr>
        <w:widowControl/>
        <w:spacing w:line="360" w:lineRule="auto"/>
        <w:ind w:firstLine="480"/>
        <w:jc w:val="left"/>
        <w:rPr>
          <w:rFonts w:hint="eastAsia" w:eastAsia="宋体"/>
          <w:kern w:val="0"/>
          <w:sz w:val="18"/>
          <w:szCs w:val="18"/>
          <w:lang w:eastAsia="zh-CN"/>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highlight w:val="none"/>
          <w:lang w:val="en-US" w:eastAsia="zh-CN"/>
        </w:rPr>
        <w:t>9</w:t>
      </w:r>
      <w:r>
        <w:rPr>
          <w:rFonts w:eastAsiaTheme="minorEastAsia"/>
          <w:bCs/>
          <w:sz w:val="24"/>
          <w:highlight w:val="none"/>
        </w:rPr>
        <w:t>号</w:t>
      </w:r>
      <w:r>
        <w:rPr>
          <w:color w:val="000000" w:themeColor="text1"/>
          <w:kern w:val="0"/>
          <w:sz w:val="24"/>
          <w14:textFill>
            <w14:solidFill>
              <w14:schemeClr w14:val="tx1"/>
            </w14:solidFill>
          </w14:textFill>
        </w:rPr>
        <w:t>）规定，硕士研究生论文开题与答辩时间间隔原则上不少于</w:t>
      </w:r>
      <w:r>
        <w:rPr>
          <w:kern w:val="0"/>
          <w:sz w:val="24"/>
        </w:rPr>
        <w:t>12个月。学位（毕业）论文应当表明作者具有独立从事学术研究工作的能力，鼓励研究生参与科学研究，取得创新性成果</w:t>
      </w:r>
      <w:r>
        <w:rPr>
          <w:rFonts w:hint="eastAsia"/>
          <w:kern w:val="0"/>
          <w:sz w:val="24"/>
          <w:lang w:eastAsia="zh-CN"/>
        </w:rPr>
        <w:t>。</w:t>
      </w:r>
    </w:p>
    <w:p w14:paraId="2DA13A29">
      <w:pPr>
        <w:widowControl/>
        <w:spacing w:line="360" w:lineRule="auto"/>
        <w:ind w:firstLine="480"/>
        <w:jc w:val="left"/>
        <w:rPr>
          <w:kern w:val="0"/>
          <w:sz w:val="18"/>
          <w:szCs w:val="18"/>
        </w:rPr>
      </w:pPr>
      <w:r>
        <w:rPr>
          <w:bCs/>
          <w:kern w:val="0"/>
          <w:sz w:val="24"/>
        </w:rPr>
        <w:t>2.开题：</w:t>
      </w:r>
      <w:r>
        <w:rPr>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02E0F7A3">
      <w:pPr>
        <w:widowControl/>
        <w:spacing w:line="360" w:lineRule="auto"/>
        <w:ind w:firstLine="480"/>
        <w:jc w:val="left"/>
        <w:rPr>
          <w:kern w:val="0"/>
          <w:sz w:val="18"/>
          <w:szCs w:val="18"/>
        </w:rPr>
      </w:pPr>
      <w:r>
        <w:rPr>
          <w:kern w:val="0"/>
          <w:sz w:val="24"/>
        </w:rPr>
        <w:t>原则上在入学后第</w:t>
      </w:r>
      <w:r>
        <w:rPr>
          <w:rFonts w:hint="eastAsia"/>
          <w:kern w:val="0"/>
          <w:sz w:val="24"/>
          <w:lang w:val="en-US" w:eastAsia="zh-CN"/>
        </w:rPr>
        <w:t>2</w:t>
      </w:r>
      <w:r>
        <w:rPr>
          <w:kern w:val="0"/>
          <w:sz w:val="24"/>
        </w:rPr>
        <w:t>学期完成开题。开题由3-5名具有高级专业技术职务人员参加，以学术报告的方式进行。</w:t>
      </w:r>
    </w:p>
    <w:p w14:paraId="0795313C">
      <w:pPr>
        <w:widowControl/>
        <w:spacing w:line="360" w:lineRule="auto"/>
        <w:ind w:firstLine="480"/>
        <w:jc w:val="left"/>
        <w:rPr>
          <w:kern w:val="0"/>
          <w:sz w:val="24"/>
        </w:rPr>
      </w:pPr>
      <w:r>
        <w:rPr>
          <w:bCs/>
          <w:kern w:val="0"/>
          <w:sz w:val="24"/>
        </w:rPr>
        <w:t>3.中期进展报告：</w:t>
      </w:r>
      <w:r>
        <w:rPr>
          <w:kern w:val="0"/>
          <w:sz w:val="24"/>
        </w:rPr>
        <w:t>中期进展报告是检查研究生个人综合能力及学位论文进展、指导研究生把握学位（毕业）论文方向、提高学位（毕业）论文质量的必要环节。中期进展报告原则上应在入学后第</w:t>
      </w:r>
      <w:r>
        <w:rPr>
          <w:rFonts w:hint="eastAsia"/>
          <w:kern w:val="0"/>
          <w:sz w:val="24"/>
          <w:lang w:val="en-US" w:eastAsia="zh-CN"/>
        </w:rPr>
        <w:t>3</w:t>
      </w:r>
      <w:r>
        <w:rPr>
          <w:kern w:val="0"/>
          <w:sz w:val="24"/>
        </w:rPr>
        <w:t>学期进行；</w:t>
      </w:r>
      <w:r>
        <w:rPr>
          <w:rFonts w:hint="eastAsia"/>
          <w:kern w:val="0"/>
          <w:sz w:val="24"/>
          <w:lang w:val="en-US" w:eastAsia="zh-CN"/>
        </w:rPr>
        <w:t>由</w:t>
      </w:r>
      <w:r>
        <w:rPr>
          <w:kern w:val="0"/>
          <w:sz w:val="24"/>
        </w:rPr>
        <w:t>导师组自行制定中期考核办法并组织考核。</w:t>
      </w:r>
    </w:p>
    <w:p w14:paraId="34506F7F">
      <w:pPr>
        <w:widowControl/>
        <w:spacing w:line="360" w:lineRule="auto"/>
        <w:ind w:firstLine="480"/>
        <w:jc w:val="left"/>
        <w:rPr>
          <w:kern w:val="0"/>
          <w:sz w:val="24"/>
        </w:rPr>
      </w:pPr>
      <w:r>
        <w:rPr>
          <w:bCs/>
          <w:kern w:val="0"/>
          <w:sz w:val="24"/>
        </w:rPr>
        <w:t>4.学位申请：</w:t>
      </w:r>
      <w:r>
        <w:rPr>
          <w:kern w:val="0"/>
          <w:sz w:val="24"/>
        </w:rPr>
        <w:t>达到学位授予条件的申请人，经导师同意后，应于</w:t>
      </w:r>
      <w:r>
        <w:rPr>
          <w:kern w:val="0"/>
          <w:sz w:val="24"/>
          <w:highlight w:val="none"/>
        </w:rPr>
        <w:t>答辩前</w:t>
      </w:r>
      <w:r>
        <w:rPr>
          <w:kern w:val="0"/>
          <w:sz w:val="24"/>
        </w:rPr>
        <w:t>三个月，向所属学位评定分委员会提出学位申请，提交学位申请材料。</w:t>
      </w:r>
    </w:p>
    <w:p w14:paraId="10EBA4B0">
      <w:pPr>
        <w:widowControl/>
        <w:spacing w:line="360" w:lineRule="auto"/>
        <w:ind w:firstLine="480"/>
        <w:jc w:val="left"/>
        <w:rPr>
          <w:kern w:val="0"/>
          <w:sz w:val="24"/>
        </w:rPr>
      </w:pPr>
      <w:r>
        <w:rPr>
          <w:bCs/>
          <w:kern w:val="0"/>
          <w:sz w:val="24"/>
        </w:rPr>
        <w:t>5.预答辩：</w:t>
      </w:r>
      <w:r>
        <w:rPr>
          <w:kern w:val="0"/>
          <w:sz w:val="24"/>
        </w:rPr>
        <w:t>学位申请人须进行学位论文预答辩。预答辩通过者，方可进入学位论文评阅、学位论文答辩等环节。学位（毕业）论文预答辩在正式答辩前3个月进行。</w:t>
      </w:r>
    </w:p>
    <w:p w14:paraId="4F1E1E0C">
      <w:pPr>
        <w:widowControl/>
        <w:spacing w:line="360" w:lineRule="auto"/>
        <w:ind w:firstLine="480"/>
        <w:jc w:val="left"/>
        <w:rPr>
          <w:color w:val="222222"/>
          <w:kern w:val="0"/>
          <w:sz w:val="24"/>
        </w:rPr>
      </w:pPr>
      <w:r>
        <w:rPr>
          <w:bCs/>
          <w:kern w:val="0"/>
          <w:sz w:val="24"/>
        </w:rPr>
        <w:t>6.论文评阅：</w:t>
      </w:r>
      <w:r>
        <w:rPr>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5FEE0A83">
      <w:pPr>
        <w:widowControl/>
        <w:spacing w:line="360" w:lineRule="auto"/>
        <w:ind w:firstLine="480"/>
        <w:jc w:val="left"/>
        <w:rPr>
          <w:rFonts w:eastAsiaTheme="minorEastAsia"/>
          <w:i/>
          <w:color w:val="FF0000"/>
          <w:sz w:val="24"/>
        </w:rPr>
      </w:pPr>
      <w:r>
        <w:rPr>
          <w:color w:val="222222"/>
          <w:kern w:val="0"/>
          <w:sz w:val="24"/>
        </w:rPr>
        <w:t>7.答辩：</w:t>
      </w:r>
      <w:r>
        <w:rPr>
          <w:bCs/>
          <w:color w:val="222222"/>
          <w:kern w:val="0"/>
          <w:sz w:val="24"/>
        </w:rPr>
        <w:t>学位（毕业）论文答辩按照</w:t>
      </w:r>
      <w:r>
        <w:rPr>
          <w:color w:val="222222"/>
          <w:kern w:val="0"/>
          <w:sz w:val="24"/>
        </w:rPr>
        <w:t>《河北大学博士、硕士学位授予工作实施细则》（校政字〔2025〕7号）执行。</w:t>
      </w:r>
    </w:p>
    <w:p w14:paraId="3B39361E">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3D8C6AD7">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01EEF415">
      <w:pPr>
        <w:spacing w:line="360" w:lineRule="auto"/>
        <w:ind w:firstLine="480" w:firstLineChars="200"/>
        <w:rPr>
          <w:rFonts w:eastAsiaTheme="minorEastAsia"/>
          <w:bCs/>
          <w:sz w:val="24"/>
          <w:szCs w:val="22"/>
        </w:rPr>
      </w:pPr>
      <w:r>
        <w:rPr>
          <w:rFonts w:eastAsiaTheme="minorEastAsia"/>
          <w:bCs/>
          <w:sz w:val="24"/>
        </w:rPr>
        <w:t xml:space="preserve">2. </w:t>
      </w:r>
      <w:r>
        <w:rPr>
          <w:bCs/>
          <w:sz w:val="24"/>
        </w:rPr>
        <w:t>学术/实践活动。研究生在读期间至少需要完成两类活动中的一类：</w:t>
      </w:r>
    </w:p>
    <w:p w14:paraId="7E103794">
      <w:pPr>
        <w:spacing w:line="360" w:lineRule="auto"/>
        <w:ind w:firstLine="480" w:firstLineChars="200"/>
        <w:rPr>
          <w:bCs/>
          <w:sz w:val="24"/>
        </w:rPr>
      </w:pPr>
      <w:r>
        <w:rPr>
          <w:bCs/>
          <w:kern w:val="0"/>
          <w:sz w:val="24"/>
        </w:rPr>
        <w:t>（1）学术活动：</w:t>
      </w:r>
      <w:r>
        <w:rPr>
          <w:bCs/>
          <w:sz w:val="24"/>
        </w:rPr>
        <w:t>研究生在读期间参加不少于</w:t>
      </w:r>
      <w:r>
        <w:rPr>
          <w:rFonts w:hint="eastAsia"/>
          <w:bCs/>
          <w:sz w:val="24"/>
          <w:highlight w:val="none"/>
        </w:rPr>
        <w:t>1</w:t>
      </w:r>
      <w:r>
        <w:rPr>
          <w:bCs/>
          <w:sz w:val="24"/>
          <w:highlight w:val="none"/>
        </w:rPr>
        <w:t>0次学</w:t>
      </w:r>
      <w:r>
        <w:rPr>
          <w:bCs/>
          <w:sz w:val="24"/>
        </w:rPr>
        <w:t>术活动，并撰写学术报告小结；以主讲人或宣讲人身份，参加在校内外举行的学术报告或学术讲座不少于1次。</w:t>
      </w:r>
    </w:p>
    <w:p w14:paraId="41571455">
      <w:pPr>
        <w:spacing w:line="360" w:lineRule="auto"/>
        <w:ind w:firstLine="480" w:firstLineChars="200"/>
        <w:rPr>
          <w:bCs/>
          <w:sz w:val="24"/>
        </w:rPr>
      </w:pPr>
      <w:r>
        <w:rPr>
          <w:bCs/>
          <w:sz w:val="24"/>
        </w:rPr>
        <w:t>（2）实践活动：参与本专业相关的社会实践，由相关单位出具相关实践证明材料；或组织开展与本专业相关的调查、考察等活动，并提交相关报告</w:t>
      </w:r>
      <w:r>
        <w:rPr>
          <w:rFonts w:hint="eastAsia"/>
          <w:bCs/>
          <w:sz w:val="24"/>
        </w:rPr>
        <w:t>。</w:t>
      </w:r>
    </w:p>
    <w:p w14:paraId="670191F5">
      <w:pPr>
        <w:spacing w:line="360" w:lineRule="auto"/>
        <w:ind w:firstLine="480" w:firstLineChars="200"/>
        <w:rPr>
          <w:bCs/>
          <w:sz w:val="24"/>
        </w:rPr>
      </w:pPr>
      <w:r>
        <w:rPr>
          <w:bCs/>
          <w:sz w:val="24"/>
        </w:rPr>
        <w:t>3. 符合提前毕业条件的研究生，可按照学校相关规定申请提前毕业。</w:t>
      </w:r>
    </w:p>
    <w:p w14:paraId="6D32D55A">
      <w:pPr>
        <w:spacing w:line="360" w:lineRule="auto"/>
        <w:ind w:firstLine="480" w:firstLineChars="200"/>
        <w:rPr>
          <w:bCs/>
          <w:sz w:val="24"/>
        </w:rPr>
      </w:pPr>
      <w:r>
        <w:rPr>
          <w:bCs/>
          <w:sz w:val="24"/>
        </w:rPr>
        <w:t>4. 论文答辩。学位（毕业）论文经专家评审合格、通过学位（毕业）答辩，符合毕业资格审查后，准予毕业。</w:t>
      </w:r>
    </w:p>
    <w:p w14:paraId="4ECC1798">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2846ADB8">
      <w:pPr>
        <w:spacing w:line="360" w:lineRule="auto"/>
        <w:ind w:firstLine="480" w:firstLineChars="200"/>
        <w:rPr>
          <w:bCs/>
          <w:sz w:val="24"/>
        </w:rPr>
      </w:pPr>
      <w:r>
        <w:rPr>
          <w:rFonts w:hint="eastAsia"/>
          <w:bCs/>
          <w:sz w:val="24"/>
        </w:rPr>
        <w:t>鼓励学生在专业实践与学术研究中展现创新思维与应用能力，创新性成果认定涵盖以下类别：</w:t>
      </w:r>
    </w:p>
    <w:p w14:paraId="4A045411">
      <w:pPr>
        <w:spacing w:line="360" w:lineRule="auto"/>
        <w:ind w:firstLine="480" w:firstLineChars="200"/>
        <w:rPr>
          <w:bCs/>
          <w:sz w:val="24"/>
        </w:rPr>
      </w:pPr>
      <w:r>
        <w:rPr>
          <w:bCs/>
          <w:sz w:val="24"/>
        </w:rPr>
        <w:t>1</w:t>
      </w:r>
      <w:r>
        <w:rPr>
          <w:rFonts w:hint="eastAsia"/>
          <w:bCs/>
          <w:sz w:val="24"/>
        </w:rPr>
        <w:t>．学术创新：在</w:t>
      </w:r>
      <w:r>
        <w:rPr>
          <w:rFonts w:hint="eastAsia"/>
          <w:bCs/>
          <w:sz w:val="24"/>
          <w:lang w:eastAsia="zh-CN"/>
        </w:rPr>
        <w:t>《</w:t>
      </w:r>
      <w:r>
        <w:rPr>
          <w:rFonts w:hint="eastAsia"/>
          <w:bCs/>
          <w:sz w:val="24"/>
          <w:lang w:val="en-US" w:eastAsia="zh-CN"/>
        </w:rPr>
        <w:t>中国资产评估</w:t>
      </w:r>
      <w:r>
        <w:rPr>
          <w:rFonts w:hint="eastAsia"/>
          <w:bCs/>
          <w:sz w:val="24"/>
          <w:lang w:eastAsia="zh-CN"/>
        </w:rPr>
        <w:t>》</w:t>
      </w:r>
      <w:r>
        <w:rPr>
          <w:rFonts w:hint="eastAsia"/>
          <w:bCs/>
          <w:sz w:val="24"/>
          <w:lang w:val="en-US" w:eastAsia="zh-CN"/>
        </w:rPr>
        <w:t>或</w:t>
      </w:r>
      <w:r>
        <w:rPr>
          <w:rFonts w:hint="eastAsia"/>
          <w:bCs/>
          <w:sz w:val="24"/>
        </w:rPr>
        <w:t>核心</w:t>
      </w:r>
      <w:r>
        <w:rPr>
          <w:rFonts w:hint="eastAsia"/>
          <w:bCs/>
          <w:sz w:val="24"/>
          <w:lang w:val="en-US" w:eastAsia="zh-CN"/>
        </w:rPr>
        <w:t>以上</w:t>
      </w:r>
      <w:r>
        <w:rPr>
          <w:rFonts w:hint="eastAsia"/>
          <w:bCs/>
          <w:sz w:val="24"/>
        </w:rPr>
        <w:t>期刊发表专业相关论文，</w:t>
      </w:r>
      <w:r>
        <w:rPr>
          <w:rFonts w:hint="eastAsia"/>
          <w:bCs/>
          <w:sz w:val="24"/>
          <w:lang w:val="en-US" w:eastAsia="zh-CN"/>
        </w:rPr>
        <w:t>或参加中国资产评估教育论坛、中国资产评估学术论坛等并发言，</w:t>
      </w:r>
      <w:r>
        <w:rPr>
          <w:rFonts w:hint="eastAsia"/>
          <w:bCs/>
          <w:sz w:val="24"/>
        </w:rPr>
        <w:t>或</w:t>
      </w:r>
      <w:r>
        <w:rPr>
          <w:bCs/>
          <w:sz w:val="24"/>
        </w:rPr>
        <w:t>参与编写或出版专业书籍、教材</w:t>
      </w:r>
      <w:r>
        <w:rPr>
          <w:rFonts w:hint="eastAsia"/>
          <w:bCs/>
          <w:sz w:val="24"/>
        </w:rPr>
        <w:t>等</w:t>
      </w:r>
      <w:r>
        <w:rPr>
          <w:rFonts w:hint="eastAsia"/>
          <w:bCs/>
          <w:sz w:val="24"/>
          <w:lang w:eastAsia="zh-CN"/>
        </w:rPr>
        <w:t>，</w:t>
      </w:r>
      <w:r>
        <w:rPr>
          <w:rFonts w:hint="eastAsia"/>
          <w:bCs/>
          <w:sz w:val="24"/>
          <w:lang w:val="en-US" w:eastAsia="zh-CN"/>
        </w:rPr>
        <w:t>或参与专业相关课题研究</w:t>
      </w:r>
      <w:r>
        <w:rPr>
          <w:rFonts w:hint="eastAsia"/>
          <w:bCs/>
          <w:sz w:val="24"/>
        </w:rPr>
        <w:t>。</w:t>
      </w:r>
    </w:p>
    <w:p w14:paraId="627CB5B0">
      <w:pPr>
        <w:spacing w:line="360" w:lineRule="auto"/>
        <w:ind w:firstLine="480" w:firstLineChars="200"/>
        <w:rPr>
          <w:bCs/>
          <w:sz w:val="24"/>
        </w:rPr>
      </w:pPr>
      <w:r>
        <w:rPr>
          <w:bCs/>
          <w:sz w:val="24"/>
        </w:rPr>
        <w:t>2</w:t>
      </w:r>
      <w:r>
        <w:rPr>
          <w:rFonts w:hint="eastAsia"/>
          <w:bCs/>
          <w:sz w:val="24"/>
        </w:rPr>
        <w:t>．实践创新：</w:t>
      </w:r>
      <w:r>
        <w:rPr>
          <w:rFonts w:hint="eastAsia"/>
          <w:bCs/>
          <w:sz w:val="24"/>
          <w:lang w:val="en-US" w:eastAsia="zh-CN"/>
        </w:rPr>
        <w:t>参加学校或学院认定的研究生创新实践系列大赛或挑战杯、创新创业等影响力较大竞赛并获得奖项</w:t>
      </w:r>
      <w:r>
        <w:rPr>
          <w:rFonts w:hint="eastAsia"/>
          <w:bCs/>
          <w:sz w:val="24"/>
        </w:rPr>
        <w:t>。</w:t>
      </w:r>
    </w:p>
    <w:p w14:paraId="26613E58">
      <w:pPr>
        <w:spacing w:line="360" w:lineRule="auto"/>
        <w:ind w:firstLine="480" w:firstLineChars="200"/>
        <w:rPr>
          <w:bCs/>
          <w:sz w:val="24"/>
        </w:rPr>
      </w:pPr>
      <w:r>
        <w:rPr>
          <w:bCs/>
          <w:sz w:val="24"/>
        </w:rPr>
        <w:t>3</w:t>
      </w:r>
      <w:r>
        <w:rPr>
          <w:rFonts w:hint="eastAsia"/>
          <w:bCs/>
          <w:sz w:val="24"/>
        </w:rPr>
        <w:t>．技术创新：获得与资产评估相关的专利或软件著作权。</w:t>
      </w:r>
    </w:p>
    <w:p w14:paraId="3F6DC3C2">
      <w:pPr>
        <w:spacing w:line="360" w:lineRule="auto"/>
        <w:ind w:firstLine="480" w:firstLineChars="200"/>
        <w:rPr>
          <w:bCs/>
          <w:sz w:val="24"/>
        </w:rPr>
      </w:pPr>
      <w:r>
        <w:rPr>
          <w:bCs/>
          <w:sz w:val="24"/>
        </w:rPr>
        <w:t>4</w:t>
      </w:r>
      <w:r>
        <w:rPr>
          <w:rFonts w:hint="eastAsia"/>
          <w:bCs/>
          <w:sz w:val="24"/>
        </w:rPr>
        <w:t>．社会服务创新：参与政府、企业委托的重大评估项目并形成可推广的方法论体系，参与制定或修订资产评估相关标准、政策等。</w:t>
      </w:r>
    </w:p>
    <w:p w14:paraId="089DC255">
      <w:pPr>
        <w:spacing w:line="360" w:lineRule="auto"/>
        <w:ind w:firstLine="480" w:firstLineChars="200"/>
        <w:rPr>
          <w:bCs/>
          <w:sz w:val="24"/>
        </w:rPr>
      </w:pPr>
      <w:r>
        <w:rPr>
          <w:rFonts w:hint="eastAsia"/>
          <w:bCs/>
          <w:sz w:val="24"/>
        </w:rPr>
        <w:t>成果认定采用质量导向型评价，注重成果的实际应用价值与行业影响力，鼓励跨学科创新实践。</w:t>
      </w:r>
    </w:p>
    <w:p w14:paraId="26265DC3">
      <w:pPr>
        <w:spacing w:line="360" w:lineRule="auto"/>
        <w:ind w:firstLine="560" w:firstLineChars="200"/>
        <w:rPr>
          <w:rFonts w:eastAsia="黑体"/>
          <w:bCs/>
          <w:sz w:val="28"/>
          <w:szCs w:val="28"/>
        </w:rPr>
      </w:pPr>
      <w:r>
        <w:rPr>
          <w:rFonts w:eastAsia="黑体"/>
          <w:bCs/>
          <w:sz w:val="28"/>
          <w:szCs w:val="28"/>
        </w:rPr>
        <w:t>十一、学位授予</w:t>
      </w:r>
    </w:p>
    <w:p w14:paraId="29CE4176">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w:t>
      </w:r>
      <w:r>
        <w:rPr>
          <w:rFonts w:hint="eastAsia"/>
          <w:color w:val="222222"/>
          <w:kern w:val="0"/>
          <w:sz w:val="24"/>
        </w:rPr>
        <w:t>管理</w:t>
      </w:r>
      <w:r>
        <w:rPr>
          <w:color w:val="222222"/>
          <w:kern w:val="0"/>
          <w:sz w:val="24"/>
        </w:rPr>
        <w:t>学院制定的创新性成果要求，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6D292DB3">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5D037AE4">
      <w:pPr>
        <w:spacing w:line="360" w:lineRule="auto"/>
        <w:ind w:firstLine="480" w:firstLineChars="200"/>
        <w:rPr>
          <w:rFonts w:eastAsiaTheme="minorEastAsia"/>
          <w:sz w:val="24"/>
        </w:rPr>
      </w:pPr>
      <w:r>
        <w:rPr>
          <w:rFonts w:eastAsiaTheme="minorEastAsia"/>
          <w:color w:val="000000"/>
          <w:sz w:val="24"/>
        </w:rPr>
        <w:t>本专业最低毕业学分</w:t>
      </w:r>
      <w:r>
        <w:rPr>
          <w:rFonts w:eastAsiaTheme="minorEastAsia"/>
          <w:sz w:val="24"/>
          <w:highlight w:val="none"/>
        </w:rPr>
        <w:t>为4</w:t>
      </w:r>
      <w:r>
        <w:rPr>
          <w:rFonts w:hint="eastAsia" w:eastAsiaTheme="minorEastAsia"/>
          <w:sz w:val="24"/>
          <w:highlight w:val="none"/>
          <w:lang w:val="en-US" w:eastAsia="zh-CN"/>
        </w:rPr>
        <w:t>0</w:t>
      </w:r>
      <w:r>
        <w:rPr>
          <w:rFonts w:eastAsiaTheme="minorEastAsia"/>
          <w:sz w:val="24"/>
          <w:highlight w:val="none"/>
        </w:rPr>
        <w:t>分，其中学位课</w:t>
      </w:r>
      <w:r>
        <w:rPr>
          <w:rFonts w:hint="eastAsia" w:eastAsiaTheme="minorEastAsia"/>
          <w:sz w:val="24"/>
          <w:highlight w:val="none"/>
          <w:lang w:val="en-US" w:eastAsia="zh-CN"/>
        </w:rPr>
        <w:t>26</w:t>
      </w:r>
      <w:r>
        <w:rPr>
          <w:rFonts w:eastAsiaTheme="minorEastAsia"/>
          <w:sz w:val="24"/>
          <w:highlight w:val="none"/>
        </w:rPr>
        <w:t>学分，非学位课12学分，必修环节</w:t>
      </w:r>
      <w:r>
        <w:rPr>
          <w:rFonts w:hint="eastAsia" w:eastAsiaTheme="minorEastAsia"/>
          <w:sz w:val="24"/>
          <w:highlight w:val="none"/>
          <w:lang w:val="en-US" w:eastAsia="zh-CN"/>
        </w:rPr>
        <w:t>2</w:t>
      </w:r>
      <w:r>
        <w:rPr>
          <w:rFonts w:eastAsiaTheme="minorEastAsia"/>
          <w:sz w:val="24"/>
          <w:highlight w:val="none"/>
        </w:rPr>
        <w:t>分。</w:t>
      </w:r>
    </w:p>
    <w:p w14:paraId="207B157B">
      <w:pPr>
        <w:spacing w:line="360" w:lineRule="auto"/>
        <w:ind w:firstLine="480"/>
        <w:rPr>
          <w:color w:val="000000"/>
          <w:sz w:val="24"/>
        </w:rPr>
      </w:pPr>
      <w:r>
        <w:rPr>
          <w:rFonts w:eastAsiaTheme="minorEastAsia"/>
          <w:color w:val="000000"/>
          <w:sz w:val="24"/>
        </w:rPr>
        <w:t>课程考试不设补考环节，</w:t>
      </w:r>
      <w:r>
        <w:rPr>
          <w:color w:val="000000"/>
          <w:sz w:val="24"/>
        </w:rPr>
        <w:t>考试成绩低于60分的需重修。</w:t>
      </w:r>
    </w:p>
    <w:p w14:paraId="5A84EAE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eastAsiaTheme="minorEastAsia"/>
          <w:b/>
          <w:bCs/>
          <w:sz w:val="24"/>
        </w:rPr>
      </w:pPr>
      <w:r>
        <w:rPr>
          <w:rFonts w:hint="eastAsia" w:eastAsiaTheme="minorEastAsia"/>
          <w:color w:val="000000"/>
          <w:sz w:val="24"/>
        </w:rPr>
        <w:t>课程考核方式包括考试和考查，</w:t>
      </w:r>
      <w:r>
        <w:rPr>
          <w:rFonts w:eastAsiaTheme="minorEastAsia"/>
          <w:color w:val="000000"/>
          <w:sz w:val="24"/>
        </w:rPr>
        <w:t>可以采用口试、笔试或写读书报告、论文</w:t>
      </w:r>
      <w:r>
        <w:rPr>
          <w:rFonts w:hint="eastAsia" w:eastAsiaTheme="minorEastAsia"/>
          <w:color w:val="000000"/>
          <w:sz w:val="24"/>
          <w:lang w:eastAsia="zh-CN"/>
        </w:rPr>
        <w:t>、案例分析</w:t>
      </w:r>
      <w:r>
        <w:rPr>
          <w:rFonts w:eastAsiaTheme="minorEastAsia"/>
          <w:color w:val="000000"/>
          <w:sz w:val="24"/>
        </w:rPr>
        <w:t>的形式，但应有—定数量的笔试</w:t>
      </w:r>
      <w:r>
        <w:rPr>
          <w:rFonts w:hint="eastAsia" w:eastAsiaTheme="minorEastAsia"/>
          <w:color w:val="000000"/>
          <w:sz w:val="24"/>
          <w:lang w:eastAsia="zh-CN"/>
        </w:rPr>
        <w:t>，可以开卷也可以闭卷</w:t>
      </w:r>
      <w:r>
        <w:rPr>
          <w:rFonts w:eastAsiaTheme="minorEastAsia"/>
          <w:color w:val="000000"/>
          <w:sz w:val="24"/>
        </w:rPr>
        <w:t>。无论采取何种</w:t>
      </w:r>
      <w:r>
        <w:rPr>
          <w:rFonts w:hint="eastAsia" w:eastAsiaTheme="minorEastAsia"/>
          <w:color w:val="000000"/>
          <w:sz w:val="24"/>
        </w:rPr>
        <w:t>考核</w:t>
      </w:r>
      <w:r>
        <w:rPr>
          <w:rFonts w:eastAsiaTheme="minorEastAsia"/>
          <w:color w:val="000000"/>
          <w:sz w:val="24"/>
        </w:rPr>
        <w:t>方式，均应能真实反映学生对所学课程掌握的程度及运用知识的能力，成绩均按百分制成绩评定。</w:t>
      </w:r>
    </w:p>
    <w:p w14:paraId="097C12EB">
      <w:pPr>
        <w:spacing w:after="156" w:afterLines="50" w:line="440" w:lineRule="exact"/>
        <w:ind w:firstLine="482" w:firstLineChars="200"/>
        <w:jc w:val="center"/>
        <w:rPr>
          <w:rFonts w:eastAsiaTheme="minorEastAsia"/>
          <w:b/>
          <w:bCs/>
          <w:sz w:val="24"/>
        </w:rPr>
      </w:pPr>
      <w:r>
        <w:rPr>
          <w:rFonts w:hint="eastAsia" w:eastAsiaTheme="minorEastAsia"/>
          <w:b/>
          <w:bCs/>
          <w:color w:val="000000" w:themeColor="text1"/>
          <w:sz w:val="24"/>
          <w14:textFill>
            <w14:solidFill>
              <w14:schemeClr w14:val="tx1"/>
            </w14:solidFill>
          </w14:textFill>
        </w:rPr>
        <w:t>资产评估</w:t>
      </w:r>
      <w:r>
        <w:rPr>
          <w:rFonts w:eastAsiaTheme="minorEastAsia"/>
          <w:b/>
          <w:bCs/>
          <w:sz w:val="24"/>
        </w:rPr>
        <w:t>专业全日制专业学位硕士研究生课程及培养环节设置一览表</w:t>
      </w:r>
    </w:p>
    <w:tbl>
      <w:tblPr>
        <w:tblStyle w:val="4"/>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0FF1ED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209E7F1">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4DF6F69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5AAF4C2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2690BEF4">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7455C1A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1E70E5B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033B73B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69F3447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378E733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4BFF878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4F5F601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223777F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6763B00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6DC98C7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24D1D1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46E6D7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4914B498">
            <w:pPr>
              <w:jc w:val="center"/>
              <w:rPr>
                <w:b/>
                <w:color w:val="000000" w:themeColor="text1"/>
                <w:sz w:val="18"/>
                <w:szCs w:val="18"/>
                <w14:textFill>
                  <w14:solidFill>
                    <w14:schemeClr w14:val="tx1"/>
                  </w14:solidFill>
                </w14:textFill>
              </w:rPr>
            </w:pPr>
          </w:p>
        </w:tc>
        <w:tc>
          <w:tcPr>
            <w:tcW w:w="1226" w:type="dxa"/>
            <w:vMerge w:val="continue"/>
            <w:vAlign w:val="center"/>
          </w:tcPr>
          <w:p w14:paraId="3F0694DD">
            <w:pPr>
              <w:jc w:val="center"/>
              <w:rPr>
                <w:b/>
                <w:color w:val="000000" w:themeColor="text1"/>
                <w:sz w:val="18"/>
                <w:szCs w:val="18"/>
                <w14:textFill>
                  <w14:solidFill>
                    <w14:schemeClr w14:val="tx1"/>
                  </w14:solidFill>
                </w14:textFill>
              </w:rPr>
            </w:pPr>
          </w:p>
        </w:tc>
        <w:tc>
          <w:tcPr>
            <w:tcW w:w="3516" w:type="dxa"/>
            <w:vAlign w:val="center"/>
          </w:tcPr>
          <w:p w14:paraId="2FB956E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通用学术英语</w:t>
            </w:r>
          </w:p>
        </w:tc>
        <w:tc>
          <w:tcPr>
            <w:tcW w:w="1081" w:type="dxa"/>
            <w:vAlign w:val="center"/>
          </w:tcPr>
          <w:p w14:paraId="04E0308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TS0000002</w:t>
            </w:r>
          </w:p>
        </w:tc>
        <w:tc>
          <w:tcPr>
            <w:tcW w:w="709" w:type="dxa"/>
            <w:vAlign w:val="center"/>
          </w:tcPr>
          <w:p w14:paraId="62700CD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37DFC82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EE80C4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53CC6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E1A508B">
            <w:pPr>
              <w:jc w:val="center"/>
              <w:rPr>
                <w:b/>
                <w:color w:val="000000" w:themeColor="text1"/>
                <w:sz w:val="18"/>
                <w:szCs w:val="18"/>
                <w14:textFill>
                  <w14:solidFill>
                    <w14:schemeClr w14:val="tx1"/>
                  </w14:solidFill>
                </w14:textFill>
              </w:rPr>
            </w:pPr>
          </w:p>
        </w:tc>
        <w:tc>
          <w:tcPr>
            <w:tcW w:w="1226" w:type="dxa"/>
            <w:vMerge w:val="restart"/>
            <w:vAlign w:val="center"/>
          </w:tcPr>
          <w:p w14:paraId="46747A9D">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18B1373D">
            <w:pPr>
              <w:jc w:val="center"/>
              <w:rPr>
                <w:b/>
                <w:color w:val="000000" w:themeColor="text1"/>
                <w:sz w:val="18"/>
                <w:szCs w:val="18"/>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13</w:t>
            </w:r>
            <w:r>
              <w:rPr>
                <w:b/>
                <w:color w:val="000000" w:themeColor="text1"/>
                <w:sz w:val="18"/>
                <w:szCs w:val="18"/>
                <w:highlight w:val="none"/>
                <w14:textFill>
                  <w14:solidFill>
                    <w14:schemeClr w14:val="tx1"/>
                  </w14:solidFill>
                </w14:textFill>
              </w:rPr>
              <w:t>学分）</w:t>
            </w:r>
          </w:p>
        </w:tc>
        <w:tc>
          <w:tcPr>
            <w:tcW w:w="3516" w:type="dxa"/>
            <w:vAlign w:val="center"/>
          </w:tcPr>
          <w:p w14:paraId="22859F8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3DBB2C53">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Z</w:t>
            </w:r>
            <w:r>
              <w:rPr>
                <w:color w:val="000000" w:themeColor="text1"/>
                <w:sz w:val="18"/>
                <w:szCs w:val="18"/>
                <w14:textFill>
                  <w14:solidFill>
                    <w14:schemeClr w14:val="tx1"/>
                  </w14:solidFill>
                </w14:textFill>
              </w:rPr>
              <w:t>S04</w:t>
            </w:r>
            <w:r>
              <w:rPr>
                <w:color w:val="000000" w:themeColor="text1"/>
                <w:sz w:val="18"/>
                <w:szCs w:val="18"/>
                <w:highlight w:val="none"/>
                <w14:textFill>
                  <w14:solidFill>
                    <w14:schemeClr w14:val="tx1"/>
                  </w14:solidFill>
                </w14:textFill>
              </w:rPr>
              <w:t>13</w:t>
            </w:r>
            <w:r>
              <w:rPr>
                <w:color w:val="000000" w:themeColor="text1"/>
                <w:sz w:val="18"/>
                <w:szCs w:val="18"/>
                <w14:textFill>
                  <w14:solidFill>
                    <w14:schemeClr w14:val="tx1"/>
                  </w14:solidFill>
                </w14:textFill>
              </w:rPr>
              <w:t>0</w:t>
            </w:r>
            <w:r>
              <w:rPr>
                <w:rFonts w:hint="eastAsia"/>
                <w:color w:val="000000" w:themeColor="text1"/>
                <w:sz w:val="18"/>
                <w:szCs w:val="18"/>
                <w:lang w:val="en-US" w:eastAsia="zh-CN"/>
                <w14:textFill>
                  <w14:solidFill>
                    <w14:schemeClr w14:val="tx1"/>
                  </w14:solidFill>
                </w14:textFill>
              </w:rPr>
              <w:t>11</w:t>
            </w:r>
          </w:p>
        </w:tc>
        <w:tc>
          <w:tcPr>
            <w:tcW w:w="709" w:type="dxa"/>
            <w:vAlign w:val="center"/>
          </w:tcPr>
          <w:p w14:paraId="7D1594C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27932F1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0CD4088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2809B2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2FEA858">
            <w:pPr>
              <w:jc w:val="center"/>
              <w:rPr>
                <w:b/>
                <w:color w:val="000000" w:themeColor="text1"/>
                <w:sz w:val="18"/>
                <w:szCs w:val="18"/>
                <w14:textFill>
                  <w14:solidFill>
                    <w14:schemeClr w14:val="tx1"/>
                  </w14:solidFill>
                </w14:textFill>
              </w:rPr>
            </w:pPr>
          </w:p>
        </w:tc>
        <w:tc>
          <w:tcPr>
            <w:tcW w:w="1226" w:type="dxa"/>
            <w:vMerge w:val="continue"/>
            <w:vAlign w:val="center"/>
          </w:tcPr>
          <w:p w14:paraId="32DE033D">
            <w:pPr>
              <w:jc w:val="center"/>
              <w:rPr>
                <w:b/>
                <w:color w:val="000000" w:themeColor="text1"/>
                <w:sz w:val="18"/>
                <w:szCs w:val="18"/>
                <w:highlight w:val="yellow"/>
                <w14:textFill>
                  <w14:solidFill>
                    <w14:schemeClr w14:val="tx1"/>
                  </w14:solidFill>
                </w14:textFill>
              </w:rPr>
            </w:pPr>
          </w:p>
        </w:tc>
        <w:tc>
          <w:tcPr>
            <w:tcW w:w="3516" w:type="dxa"/>
            <w:vAlign w:val="center"/>
          </w:tcPr>
          <w:p w14:paraId="1E607A12">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经济学原理</w:t>
            </w:r>
          </w:p>
        </w:tc>
        <w:tc>
          <w:tcPr>
            <w:tcW w:w="1081" w:type="dxa"/>
            <w:vAlign w:val="center"/>
          </w:tcPr>
          <w:p w14:paraId="0495A3EF">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Z</w:t>
            </w:r>
            <w:r>
              <w:rPr>
                <w:color w:val="000000" w:themeColor="text1"/>
                <w:sz w:val="18"/>
                <w:szCs w:val="18"/>
                <w14:textFill>
                  <w14:solidFill>
                    <w14:schemeClr w14:val="tx1"/>
                  </w14:solidFill>
                </w14:textFill>
              </w:rPr>
              <w:t>S041300</w:t>
            </w:r>
            <w:r>
              <w:rPr>
                <w:rFonts w:hint="eastAsia"/>
                <w:color w:val="000000" w:themeColor="text1"/>
                <w:sz w:val="18"/>
                <w:szCs w:val="18"/>
                <w:lang w:val="en-US" w:eastAsia="zh-CN"/>
                <w14:textFill>
                  <w14:solidFill>
                    <w14:schemeClr w14:val="tx1"/>
                  </w14:solidFill>
                </w14:textFill>
              </w:rPr>
              <w:t>4</w:t>
            </w:r>
          </w:p>
        </w:tc>
        <w:tc>
          <w:tcPr>
            <w:tcW w:w="709" w:type="dxa"/>
            <w:vAlign w:val="center"/>
          </w:tcPr>
          <w:p w14:paraId="16141CF4">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709" w:type="dxa"/>
            <w:vAlign w:val="center"/>
          </w:tcPr>
          <w:p w14:paraId="4FCD24D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1EEECC9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考试</w:t>
            </w:r>
          </w:p>
        </w:tc>
      </w:tr>
      <w:tr w14:paraId="0D8880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19772A7">
            <w:pPr>
              <w:jc w:val="center"/>
              <w:rPr>
                <w:b/>
                <w:color w:val="000000" w:themeColor="text1"/>
                <w:sz w:val="18"/>
                <w:szCs w:val="18"/>
                <w14:textFill>
                  <w14:solidFill>
                    <w14:schemeClr w14:val="tx1"/>
                  </w14:solidFill>
                </w14:textFill>
              </w:rPr>
            </w:pPr>
          </w:p>
        </w:tc>
        <w:tc>
          <w:tcPr>
            <w:tcW w:w="1226" w:type="dxa"/>
            <w:vMerge w:val="continue"/>
            <w:vAlign w:val="center"/>
          </w:tcPr>
          <w:p w14:paraId="10C722B8">
            <w:pPr>
              <w:jc w:val="center"/>
              <w:rPr>
                <w:b/>
                <w:color w:val="000000" w:themeColor="text1"/>
                <w:sz w:val="18"/>
                <w:szCs w:val="18"/>
                <w14:textFill>
                  <w14:solidFill>
                    <w14:schemeClr w14:val="tx1"/>
                  </w14:solidFill>
                </w14:textFill>
              </w:rPr>
            </w:pPr>
          </w:p>
        </w:tc>
        <w:tc>
          <w:tcPr>
            <w:tcW w:w="3516" w:type="dxa"/>
            <w:vAlign w:val="center"/>
          </w:tcPr>
          <w:p w14:paraId="3BEF6F7B">
            <w:pP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财务管理</w:t>
            </w:r>
            <w:r>
              <w:rPr>
                <w:rFonts w:hint="eastAsia"/>
                <w:color w:val="000000" w:themeColor="text1"/>
                <w:sz w:val="18"/>
                <w:szCs w:val="18"/>
                <w:lang w:val="en-US" w:eastAsia="zh-CN"/>
                <w14:textFill>
                  <w14:solidFill>
                    <w14:schemeClr w14:val="tx1"/>
                  </w14:solidFill>
                </w14:textFill>
              </w:rPr>
              <w:t>理论与实务</w:t>
            </w:r>
          </w:p>
        </w:tc>
        <w:tc>
          <w:tcPr>
            <w:tcW w:w="1081" w:type="dxa"/>
            <w:vAlign w:val="center"/>
          </w:tcPr>
          <w:p w14:paraId="77465C2E">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14:textFill>
                  <w14:solidFill>
                    <w14:schemeClr w14:val="tx1"/>
                  </w14:solidFill>
                </w14:textFill>
              </w:rPr>
              <w:t>Z</w:t>
            </w:r>
            <w:r>
              <w:rPr>
                <w:color w:val="000000" w:themeColor="text1"/>
                <w:sz w:val="18"/>
                <w:szCs w:val="18"/>
                <w14:textFill>
                  <w14:solidFill>
                    <w14:schemeClr w14:val="tx1"/>
                  </w14:solidFill>
                </w14:textFill>
              </w:rPr>
              <w:t>S041</w:t>
            </w:r>
            <w:r>
              <w:rPr>
                <w:rFonts w:hint="eastAsia"/>
                <w:color w:val="000000" w:themeColor="text1"/>
                <w:sz w:val="18"/>
                <w:szCs w:val="18"/>
                <w:lang w:val="en-US" w:eastAsia="zh-CN"/>
                <w14:textFill>
                  <w14:solidFill>
                    <w14:schemeClr w14:val="tx1"/>
                  </w14:solidFill>
                </w14:textFill>
              </w:rPr>
              <w:t>1</w:t>
            </w:r>
            <w:r>
              <w:rPr>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4</w:t>
            </w:r>
          </w:p>
        </w:tc>
        <w:tc>
          <w:tcPr>
            <w:tcW w:w="709" w:type="dxa"/>
            <w:vAlign w:val="center"/>
          </w:tcPr>
          <w:p w14:paraId="3B082EA5">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709" w:type="dxa"/>
            <w:vAlign w:val="center"/>
          </w:tcPr>
          <w:p w14:paraId="7974BD7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561A7CE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考试</w:t>
            </w:r>
          </w:p>
        </w:tc>
      </w:tr>
      <w:tr w14:paraId="584555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961ECBA">
            <w:pPr>
              <w:jc w:val="center"/>
              <w:rPr>
                <w:b/>
                <w:color w:val="000000" w:themeColor="text1"/>
                <w:sz w:val="18"/>
                <w:szCs w:val="18"/>
                <w14:textFill>
                  <w14:solidFill>
                    <w14:schemeClr w14:val="tx1"/>
                  </w14:solidFill>
                </w14:textFill>
              </w:rPr>
            </w:pPr>
          </w:p>
        </w:tc>
        <w:tc>
          <w:tcPr>
            <w:tcW w:w="1226" w:type="dxa"/>
            <w:vMerge w:val="continue"/>
            <w:vAlign w:val="center"/>
          </w:tcPr>
          <w:p w14:paraId="5CF17527">
            <w:pPr>
              <w:jc w:val="center"/>
              <w:rPr>
                <w:b/>
                <w:color w:val="000000" w:themeColor="text1"/>
                <w:sz w:val="18"/>
                <w:szCs w:val="18"/>
                <w14:textFill>
                  <w14:solidFill>
                    <w14:schemeClr w14:val="tx1"/>
                  </w14:solidFill>
                </w14:textFill>
              </w:rPr>
            </w:pPr>
          </w:p>
        </w:tc>
        <w:tc>
          <w:tcPr>
            <w:tcW w:w="3516" w:type="dxa"/>
            <w:vAlign w:val="center"/>
          </w:tcPr>
          <w:p w14:paraId="69A3EAE8">
            <w:pP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数量分析方法</w:t>
            </w:r>
          </w:p>
        </w:tc>
        <w:tc>
          <w:tcPr>
            <w:tcW w:w="1081" w:type="dxa"/>
            <w:vAlign w:val="center"/>
          </w:tcPr>
          <w:p w14:paraId="3920C2A6">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highlight w:val="none"/>
                <w14:textFill>
                  <w14:solidFill>
                    <w14:schemeClr w14:val="tx1"/>
                  </w14:solidFill>
                </w14:textFill>
              </w:rPr>
              <w:t>XS04</w:t>
            </w:r>
            <w:r>
              <w:rPr>
                <w:rFonts w:hint="eastAsia"/>
                <w:color w:val="000000" w:themeColor="text1"/>
                <w:sz w:val="18"/>
                <w:szCs w:val="18"/>
                <w:highlight w:val="none"/>
                <w:lang w:val="en-US" w:eastAsia="zh-CN"/>
                <w14:textFill>
                  <w14:solidFill>
                    <w14:schemeClr w14:val="tx1"/>
                  </w14:solidFill>
                </w14:textFill>
              </w:rPr>
              <w:t>41005</w:t>
            </w:r>
          </w:p>
        </w:tc>
        <w:tc>
          <w:tcPr>
            <w:tcW w:w="709" w:type="dxa"/>
            <w:vAlign w:val="center"/>
          </w:tcPr>
          <w:p w14:paraId="4FF1986B">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709" w:type="dxa"/>
            <w:vAlign w:val="center"/>
          </w:tcPr>
          <w:p w14:paraId="292937EB">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Align w:val="center"/>
          </w:tcPr>
          <w:p w14:paraId="04D2F156">
            <w:pPr>
              <w:jc w:val="center"/>
              <w:rPr>
                <w:rFonts w:hint="eastAsia"/>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考试</w:t>
            </w:r>
          </w:p>
        </w:tc>
      </w:tr>
      <w:tr w14:paraId="5FE357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84DA379">
            <w:pPr>
              <w:jc w:val="center"/>
              <w:rPr>
                <w:b/>
                <w:color w:val="000000" w:themeColor="text1"/>
                <w:sz w:val="18"/>
                <w:szCs w:val="18"/>
                <w14:textFill>
                  <w14:solidFill>
                    <w14:schemeClr w14:val="tx1"/>
                  </w14:solidFill>
                </w14:textFill>
              </w:rPr>
            </w:pPr>
          </w:p>
        </w:tc>
        <w:tc>
          <w:tcPr>
            <w:tcW w:w="1226" w:type="dxa"/>
            <w:vMerge w:val="continue"/>
            <w:vAlign w:val="center"/>
          </w:tcPr>
          <w:p w14:paraId="5E997419">
            <w:pPr>
              <w:jc w:val="center"/>
              <w:rPr>
                <w:b/>
                <w:color w:val="000000" w:themeColor="text1"/>
                <w:sz w:val="18"/>
                <w:szCs w:val="18"/>
                <w14:textFill>
                  <w14:solidFill>
                    <w14:schemeClr w14:val="tx1"/>
                  </w14:solidFill>
                </w14:textFill>
              </w:rPr>
            </w:pPr>
          </w:p>
        </w:tc>
        <w:tc>
          <w:tcPr>
            <w:tcW w:w="3516" w:type="dxa"/>
            <w:vAlign w:val="center"/>
          </w:tcPr>
          <w:p w14:paraId="36FACD15">
            <w:pP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资产评估理论与管理</w:t>
            </w:r>
          </w:p>
        </w:tc>
        <w:tc>
          <w:tcPr>
            <w:tcW w:w="1081" w:type="dxa"/>
            <w:vAlign w:val="center"/>
          </w:tcPr>
          <w:p w14:paraId="4F9CC05C">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ZS041300</w:t>
            </w:r>
            <w:r>
              <w:rPr>
                <w:color w:val="000000" w:themeColor="text1"/>
                <w:sz w:val="18"/>
                <w:szCs w:val="18"/>
                <w14:textFill>
                  <w14:solidFill>
                    <w14:schemeClr w14:val="tx1"/>
                  </w14:solidFill>
                </w14:textFill>
              </w:rPr>
              <w:t>5</w:t>
            </w:r>
          </w:p>
        </w:tc>
        <w:tc>
          <w:tcPr>
            <w:tcW w:w="709" w:type="dxa"/>
            <w:vAlign w:val="center"/>
          </w:tcPr>
          <w:p w14:paraId="2840F528">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709" w:type="dxa"/>
            <w:vAlign w:val="center"/>
          </w:tcPr>
          <w:p w14:paraId="4F183090">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Align w:val="center"/>
          </w:tcPr>
          <w:p w14:paraId="136B3A19">
            <w:pPr>
              <w:jc w:val="center"/>
              <w:rPr>
                <w:rFonts w:hint="eastAsia"/>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考试</w:t>
            </w:r>
          </w:p>
        </w:tc>
      </w:tr>
      <w:tr w14:paraId="66935C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EAAF406">
            <w:pPr>
              <w:jc w:val="center"/>
              <w:rPr>
                <w:b/>
                <w:color w:val="000000" w:themeColor="text1"/>
                <w:sz w:val="18"/>
                <w:szCs w:val="18"/>
                <w14:textFill>
                  <w14:solidFill>
                    <w14:schemeClr w14:val="tx1"/>
                  </w14:solidFill>
                </w14:textFill>
              </w:rPr>
            </w:pPr>
          </w:p>
        </w:tc>
        <w:tc>
          <w:tcPr>
            <w:tcW w:w="1226" w:type="dxa"/>
            <w:vMerge w:val="restart"/>
            <w:vAlign w:val="center"/>
          </w:tcPr>
          <w:p w14:paraId="23CA298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2F7E8E57">
            <w:pPr>
              <w:jc w:val="center"/>
              <w:rPr>
                <w:b/>
                <w:color w:val="000000" w:themeColor="text1"/>
                <w:sz w:val="18"/>
                <w:szCs w:val="18"/>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9</w:t>
            </w:r>
            <w:r>
              <w:rPr>
                <w:b/>
                <w:color w:val="000000" w:themeColor="text1"/>
                <w:sz w:val="18"/>
                <w:szCs w:val="18"/>
                <w:highlight w:val="none"/>
                <w14:textFill>
                  <w14:solidFill>
                    <w14:schemeClr w14:val="tx1"/>
                  </w14:solidFill>
                </w14:textFill>
              </w:rPr>
              <w:t>学分）</w:t>
            </w:r>
          </w:p>
        </w:tc>
        <w:tc>
          <w:tcPr>
            <w:tcW w:w="3516" w:type="dxa"/>
            <w:vAlign w:val="center"/>
          </w:tcPr>
          <w:p w14:paraId="52C06773">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企业价值评估</w:t>
            </w:r>
          </w:p>
        </w:tc>
        <w:tc>
          <w:tcPr>
            <w:tcW w:w="1081" w:type="dxa"/>
            <w:vAlign w:val="center"/>
          </w:tcPr>
          <w:p w14:paraId="345FAE92">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ZS041300</w:t>
            </w:r>
            <w:r>
              <w:rPr>
                <w:rFonts w:hint="eastAsia"/>
                <w:color w:val="000000" w:themeColor="text1"/>
                <w:sz w:val="18"/>
                <w:szCs w:val="18"/>
                <w:lang w:val="en-US" w:eastAsia="zh-CN"/>
                <w14:textFill>
                  <w14:solidFill>
                    <w14:schemeClr w14:val="tx1"/>
                  </w14:solidFill>
                </w14:textFill>
              </w:rPr>
              <w:t>7</w:t>
            </w:r>
          </w:p>
        </w:tc>
        <w:tc>
          <w:tcPr>
            <w:tcW w:w="709" w:type="dxa"/>
            <w:vAlign w:val="center"/>
          </w:tcPr>
          <w:p w14:paraId="139E37AF">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79864387">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Align w:val="center"/>
          </w:tcPr>
          <w:p w14:paraId="5CA664D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考试</w:t>
            </w:r>
          </w:p>
        </w:tc>
      </w:tr>
      <w:tr w14:paraId="446401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DC036D0">
            <w:pPr>
              <w:jc w:val="center"/>
              <w:rPr>
                <w:b/>
                <w:color w:val="000000" w:themeColor="text1"/>
                <w:sz w:val="18"/>
                <w:szCs w:val="18"/>
                <w14:textFill>
                  <w14:solidFill>
                    <w14:schemeClr w14:val="tx1"/>
                  </w14:solidFill>
                </w14:textFill>
              </w:rPr>
            </w:pPr>
          </w:p>
        </w:tc>
        <w:tc>
          <w:tcPr>
            <w:tcW w:w="1226" w:type="dxa"/>
            <w:vMerge w:val="continue"/>
            <w:vAlign w:val="center"/>
          </w:tcPr>
          <w:p w14:paraId="0EFCC785">
            <w:pPr>
              <w:jc w:val="center"/>
              <w:rPr>
                <w:b/>
                <w:color w:val="000000" w:themeColor="text1"/>
                <w:sz w:val="18"/>
                <w:szCs w:val="18"/>
                <w14:textFill>
                  <w14:solidFill>
                    <w14:schemeClr w14:val="tx1"/>
                  </w14:solidFill>
                </w14:textFill>
              </w:rPr>
            </w:pPr>
          </w:p>
        </w:tc>
        <w:tc>
          <w:tcPr>
            <w:tcW w:w="3516" w:type="dxa"/>
            <w:vAlign w:val="center"/>
          </w:tcPr>
          <w:p w14:paraId="451A1F42">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无形资产评估</w:t>
            </w:r>
          </w:p>
        </w:tc>
        <w:tc>
          <w:tcPr>
            <w:tcW w:w="1081" w:type="dxa"/>
            <w:vAlign w:val="center"/>
          </w:tcPr>
          <w:p w14:paraId="682108EF">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ZS041300</w:t>
            </w:r>
            <w:r>
              <w:rPr>
                <w:rFonts w:hint="eastAsia"/>
                <w:color w:val="000000" w:themeColor="text1"/>
                <w:sz w:val="18"/>
                <w:szCs w:val="18"/>
                <w:lang w:val="en-US" w:eastAsia="zh-CN"/>
                <w14:textFill>
                  <w14:solidFill>
                    <w14:schemeClr w14:val="tx1"/>
                  </w14:solidFill>
                </w14:textFill>
              </w:rPr>
              <w:t>8</w:t>
            </w:r>
          </w:p>
        </w:tc>
        <w:tc>
          <w:tcPr>
            <w:tcW w:w="709" w:type="dxa"/>
            <w:vAlign w:val="center"/>
          </w:tcPr>
          <w:p w14:paraId="6111D6F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709" w:type="dxa"/>
            <w:vAlign w:val="center"/>
          </w:tcPr>
          <w:p w14:paraId="6CFFBBB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Align w:val="center"/>
          </w:tcPr>
          <w:p w14:paraId="766AA68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考试</w:t>
            </w:r>
          </w:p>
        </w:tc>
      </w:tr>
      <w:tr w14:paraId="6F8EAC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EE27C63">
            <w:pPr>
              <w:jc w:val="center"/>
              <w:rPr>
                <w:b/>
                <w:color w:val="000000" w:themeColor="text1"/>
                <w:sz w:val="18"/>
                <w:szCs w:val="18"/>
                <w14:textFill>
                  <w14:solidFill>
                    <w14:schemeClr w14:val="tx1"/>
                  </w14:solidFill>
                </w14:textFill>
              </w:rPr>
            </w:pPr>
          </w:p>
        </w:tc>
        <w:tc>
          <w:tcPr>
            <w:tcW w:w="1226" w:type="dxa"/>
            <w:vMerge w:val="continue"/>
            <w:vAlign w:val="center"/>
          </w:tcPr>
          <w:p w14:paraId="6DC6AAF3">
            <w:pPr>
              <w:jc w:val="center"/>
              <w:rPr>
                <w:b/>
                <w:color w:val="000000" w:themeColor="text1"/>
                <w:sz w:val="18"/>
                <w:szCs w:val="18"/>
                <w14:textFill>
                  <w14:solidFill>
                    <w14:schemeClr w14:val="tx1"/>
                  </w14:solidFill>
                </w14:textFill>
              </w:rPr>
            </w:pPr>
          </w:p>
        </w:tc>
        <w:tc>
          <w:tcPr>
            <w:tcW w:w="3516" w:type="dxa"/>
            <w:vAlign w:val="center"/>
          </w:tcPr>
          <w:p w14:paraId="0097065B">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资产评估实务与案例分析</w:t>
            </w:r>
          </w:p>
        </w:tc>
        <w:tc>
          <w:tcPr>
            <w:tcW w:w="1081" w:type="dxa"/>
            <w:vAlign w:val="center"/>
          </w:tcPr>
          <w:p w14:paraId="094F1B21">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ZS041300</w:t>
            </w:r>
            <w:r>
              <w:rPr>
                <w:rFonts w:hint="eastAsia"/>
                <w:color w:val="000000" w:themeColor="text1"/>
                <w:sz w:val="18"/>
                <w:szCs w:val="18"/>
                <w:lang w:val="en-US" w:eastAsia="zh-CN"/>
                <w14:textFill>
                  <w14:solidFill>
                    <w14:schemeClr w14:val="tx1"/>
                  </w14:solidFill>
                </w14:textFill>
              </w:rPr>
              <w:t>9</w:t>
            </w:r>
          </w:p>
        </w:tc>
        <w:tc>
          <w:tcPr>
            <w:tcW w:w="709" w:type="dxa"/>
            <w:vAlign w:val="center"/>
          </w:tcPr>
          <w:p w14:paraId="72C2ED24">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7105430D">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Align w:val="center"/>
          </w:tcPr>
          <w:p w14:paraId="452C6F3D">
            <w:pPr>
              <w:jc w:val="center"/>
              <w:rPr>
                <w:rFonts w:hint="eastAsia" w:eastAsia="宋体"/>
                <w:color w:val="000000" w:themeColor="text1"/>
                <w:sz w:val="18"/>
                <w:szCs w:val="18"/>
                <w:lang w:eastAsia="zh-CN"/>
                <w14:textFill>
                  <w14:solidFill>
                    <w14:schemeClr w14:val="tx1"/>
                  </w14:solidFill>
                </w14:textFill>
              </w:rPr>
            </w:pPr>
            <w:r>
              <w:rPr>
                <w:color w:val="000000" w:themeColor="text1"/>
                <w:sz w:val="18"/>
                <w:szCs w:val="18"/>
                <w14:textFill>
                  <w14:solidFill>
                    <w14:schemeClr w14:val="tx1"/>
                  </w14:solidFill>
                </w14:textFill>
              </w:rPr>
              <w:t>考</w:t>
            </w:r>
            <w:r>
              <w:rPr>
                <w:rFonts w:hint="eastAsia"/>
                <w:color w:val="000000" w:themeColor="text1"/>
                <w:sz w:val="18"/>
                <w:szCs w:val="18"/>
                <w:lang w:val="en-US" w:eastAsia="zh-CN"/>
                <w14:textFill>
                  <w14:solidFill>
                    <w14:schemeClr w14:val="tx1"/>
                  </w14:solidFill>
                </w14:textFill>
              </w:rPr>
              <w:t>查</w:t>
            </w:r>
          </w:p>
        </w:tc>
      </w:tr>
      <w:tr w14:paraId="71CCC29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4663C29">
            <w:pPr>
              <w:jc w:val="center"/>
              <w:rPr>
                <w:b/>
                <w:color w:val="000000" w:themeColor="text1"/>
                <w:sz w:val="18"/>
                <w:szCs w:val="18"/>
                <w14:textFill>
                  <w14:solidFill>
                    <w14:schemeClr w14:val="tx1"/>
                  </w14:solidFill>
                </w14:textFill>
              </w:rPr>
            </w:pPr>
          </w:p>
        </w:tc>
        <w:tc>
          <w:tcPr>
            <w:tcW w:w="1226" w:type="dxa"/>
            <w:vMerge w:val="continue"/>
            <w:vAlign w:val="center"/>
          </w:tcPr>
          <w:p w14:paraId="365CEC86">
            <w:pPr>
              <w:jc w:val="center"/>
              <w:rPr>
                <w:b/>
                <w:color w:val="000000" w:themeColor="text1"/>
                <w:sz w:val="18"/>
                <w:szCs w:val="18"/>
                <w14:textFill>
                  <w14:solidFill>
                    <w14:schemeClr w14:val="tx1"/>
                  </w14:solidFill>
                </w14:textFill>
              </w:rPr>
            </w:pPr>
          </w:p>
        </w:tc>
        <w:tc>
          <w:tcPr>
            <w:tcW w:w="3516" w:type="dxa"/>
            <w:vAlign w:val="center"/>
          </w:tcPr>
          <w:p w14:paraId="7CE2F7AA">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中外资产评估准则</w:t>
            </w:r>
          </w:p>
        </w:tc>
        <w:tc>
          <w:tcPr>
            <w:tcW w:w="1081" w:type="dxa"/>
            <w:vAlign w:val="center"/>
          </w:tcPr>
          <w:p w14:paraId="25995582">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ZS041300</w:t>
            </w:r>
            <w:r>
              <w:rPr>
                <w:rFonts w:hint="eastAsia"/>
                <w:color w:val="000000" w:themeColor="text1"/>
                <w:sz w:val="18"/>
                <w:szCs w:val="18"/>
                <w:lang w:val="en-US" w:eastAsia="zh-CN"/>
                <w14:textFill>
                  <w14:solidFill>
                    <w14:schemeClr w14:val="tx1"/>
                  </w14:solidFill>
                </w14:textFill>
              </w:rPr>
              <w:t>6</w:t>
            </w:r>
          </w:p>
        </w:tc>
        <w:tc>
          <w:tcPr>
            <w:tcW w:w="709" w:type="dxa"/>
            <w:vAlign w:val="center"/>
          </w:tcPr>
          <w:p w14:paraId="5355C574">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33D4724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47244ABD">
            <w:pPr>
              <w:jc w:val="center"/>
              <w:rPr>
                <w:rFonts w:hint="eastAsia" w:eastAsia="宋体"/>
                <w:color w:val="000000" w:themeColor="text1"/>
                <w:sz w:val="18"/>
                <w:szCs w:val="18"/>
                <w:lang w:eastAsia="zh-CN"/>
                <w14:textFill>
                  <w14:solidFill>
                    <w14:schemeClr w14:val="tx1"/>
                  </w14:solidFill>
                </w14:textFill>
              </w:rPr>
            </w:pPr>
            <w:r>
              <w:rPr>
                <w:color w:val="000000" w:themeColor="text1"/>
                <w:sz w:val="18"/>
                <w:szCs w:val="18"/>
                <w14:textFill>
                  <w14:solidFill>
                    <w14:schemeClr w14:val="tx1"/>
                  </w14:solidFill>
                </w14:textFill>
              </w:rPr>
              <w:t>考</w:t>
            </w:r>
            <w:r>
              <w:rPr>
                <w:rFonts w:hint="eastAsia"/>
                <w:color w:val="000000" w:themeColor="text1"/>
                <w:sz w:val="18"/>
                <w:szCs w:val="18"/>
                <w:lang w:val="en-US" w:eastAsia="zh-CN"/>
                <w14:textFill>
                  <w14:solidFill>
                    <w14:schemeClr w14:val="tx1"/>
                  </w14:solidFill>
                </w14:textFill>
              </w:rPr>
              <w:t>查</w:t>
            </w:r>
          </w:p>
        </w:tc>
      </w:tr>
      <w:tr w14:paraId="2210A4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5943C9F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5FDDED3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650C4B2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514D919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47572B6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4A7D162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4CA583D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777402B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236BF0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415FE1E">
            <w:pPr>
              <w:jc w:val="center"/>
              <w:rPr>
                <w:b/>
                <w:color w:val="000000" w:themeColor="text1"/>
                <w:sz w:val="18"/>
                <w:szCs w:val="18"/>
                <w14:textFill>
                  <w14:solidFill>
                    <w14:schemeClr w14:val="tx1"/>
                  </w14:solidFill>
                </w14:textFill>
              </w:rPr>
            </w:pPr>
          </w:p>
        </w:tc>
        <w:tc>
          <w:tcPr>
            <w:tcW w:w="1226" w:type="dxa"/>
            <w:vMerge w:val="continue"/>
            <w:vAlign w:val="center"/>
          </w:tcPr>
          <w:p w14:paraId="07C9AE8A">
            <w:pPr>
              <w:jc w:val="center"/>
              <w:rPr>
                <w:b/>
                <w:color w:val="000000" w:themeColor="text1"/>
                <w:sz w:val="18"/>
                <w:szCs w:val="18"/>
                <w14:textFill>
                  <w14:solidFill>
                    <w14:schemeClr w14:val="tx1"/>
                  </w14:solidFill>
                </w14:textFill>
              </w:rPr>
            </w:pPr>
          </w:p>
        </w:tc>
        <w:tc>
          <w:tcPr>
            <w:tcW w:w="3516" w:type="dxa"/>
            <w:vAlign w:val="center"/>
          </w:tcPr>
          <w:p w14:paraId="6E5529D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250B3E1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5A455D3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AC2E9A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0B78BA2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7ECE35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30A6DA">
            <w:pPr>
              <w:rPr>
                <w:b/>
                <w:color w:val="000000" w:themeColor="text1"/>
                <w:sz w:val="18"/>
                <w:szCs w:val="18"/>
                <w14:textFill>
                  <w14:solidFill>
                    <w14:schemeClr w14:val="tx1"/>
                  </w14:solidFill>
                </w14:textFill>
              </w:rPr>
            </w:pPr>
          </w:p>
        </w:tc>
        <w:tc>
          <w:tcPr>
            <w:tcW w:w="1226" w:type="dxa"/>
            <w:vMerge w:val="restart"/>
            <w:vAlign w:val="center"/>
          </w:tcPr>
          <w:p w14:paraId="5480A7D1">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企业价值评估</w:t>
            </w:r>
            <w:r>
              <w:rPr>
                <w:b/>
                <w:color w:val="000000" w:themeColor="text1"/>
                <w:sz w:val="18"/>
                <w:szCs w:val="18"/>
                <w14:textFill>
                  <w14:solidFill>
                    <w14:schemeClr w14:val="tx1"/>
                  </w14:solidFill>
                </w14:textFill>
              </w:rPr>
              <w:t>方向</w:t>
            </w:r>
          </w:p>
          <w:p w14:paraId="75512712">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tc>
        <w:tc>
          <w:tcPr>
            <w:tcW w:w="3516" w:type="dxa"/>
            <w:vAlign w:val="center"/>
          </w:tcPr>
          <w:p w14:paraId="49912FCF">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财务会计理论与实务</w:t>
            </w:r>
          </w:p>
        </w:tc>
        <w:tc>
          <w:tcPr>
            <w:tcW w:w="1081" w:type="dxa"/>
            <w:vAlign w:val="center"/>
          </w:tcPr>
          <w:p w14:paraId="3CE1743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ZS041</w:t>
            </w:r>
            <w:r>
              <w:rPr>
                <w:rFonts w:hint="eastAsia"/>
                <w:color w:val="000000" w:themeColor="text1"/>
                <w:sz w:val="18"/>
                <w:szCs w:val="18"/>
                <w:lang w:val="en-US" w:eastAsia="zh-CN"/>
                <w14:textFill>
                  <w14:solidFill>
                    <w14:schemeClr w14:val="tx1"/>
                  </w14:solidFill>
                </w14:textFill>
              </w:rPr>
              <w:t>1003</w:t>
            </w:r>
          </w:p>
        </w:tc>
        <w:tc>
          <w:tcPr>
            <w:tcW w:w="709" w:type="dxa"/>
            <w:vAlign w:val="center"/>
          </w:tcPr>
          <w:p w14:paraId="61F6001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709" w:type="dxa"/>
            <w:vAlign w:val="center"/>
          </w:tcPr>
          <w:p w14:paraId="4B1EC5E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7EFADE4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5783429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10学分</w:t>
            </w:r>
          </w:p>
        </w:tc>
      </w:tr>
      <w:tr w14:paraId="7B21CDD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DE8B9B9">
            <w:pPr>
              <w:rPr>
                <w:b/>
                <w:color w:val="000000" w:themeColor="text1"/>
                <w:sz w:val="18"/>
                <w:szCs w:val="18"/>
                <w14:textFill>
                  <w14:solidFill>
                    <w14:schemeClr w14:val="tx1"/>
                  </w14:solidFill>
                </w14:textFill>
              </w:rPr>
            </w:pPr>
          </w:p>
        </w:tc>
        <w:tc>
          <w:tcPr>
            <w:tcW w:w="1226" w:type="dxa"/>
            <w:vMerge w:val="continue"/>
            <w:vAlign w:val="center"/>
          </w:tcPr>
          <w:p w14:paraId="17297A84">
            <w:pPr>
              <w:adjustRightInd w:val="0"/>
              <w:snapToGrid w:val="0"/>
              <w:jc w:val="center"/>
              <w:rPr>
                <w:b/>
                <w:color w:val="FF0000"/>
                <w:sz w:val="18"/>
                <w:szCs w:val="18"/>
              </w:rPr>
            </w:pPr>
          </w:p>
        </w:tc>
        <w:tc>
          <w:tcPr>
            <w:tcW w:w="3516" w:type="dxa"/>
            <w:vAlign w:val="center"/>
          </w:tcPr>
          <w:p w14:paraId="57C35356">
            <w:pP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财政理论与政策</w:t>
            </w:r>
            <w:r>
              <w:rPr>
                <w:rFonts w:hint="eastAsia"/>
                <w:color w:val="000000" w:themeColor="text1"/>
                <w:sz w:val="18"/>
                <w:szCs w:val="18"/>
                <w:lang w:val="en-US" w:eastAsia="zh-CN"/>
                <w14:textFill>
                  <w14:solidFill>
                    <w14:schemeClr w14:val="tx1"/>
                  </w14:solidFill>
                </w14:textFill>
              </w:rPr>
              <w:t>实践</w:t>
            </w:r>
          </w:p>
        </w:tc>
        <w:tc>
          <w:tcPr>
            <w:tcW w:w="1081" w:type="dxa"/>
            <w:vAlign w:val="center"/>
          </w:tcPr>
          <w:p w14:paraId="32E42C95">
            <w:pPr>
              <w:jc w:val="center"/>
              <w:rPr>
                <w:rFonts w:hint="default" w:eastAsia="宋体"/>
                <w:color w:val="000000" w:themeColor="text1"/>
                <w:sz w:val="18"/>
                <w:szCs w:val="18"/>
                <w:lang w:val="en-US" w:eastAsia="zh-CN"/>
                <w14:textFill>
                  <w14:solidFill>
                    <w14:schemeClr w14:val="tx1"/>
                  </w14:solidFill>
                </w14:textFill>
              </w:rPr>
            </w:pPr>
            <w:r>
              <w:rPr>
                <w:color w:val="000000" w:themeColor="text1"/>
                <w:sz w:val="18"/>
                <w:szCs w:val="18"/>
                <w:highlight w:val="none"/>
                <w14:textFill>
                  <w14:solidFill>
                    <w14:schemeClr w14:val="tx1"/>
                  </w14:solidFill>
                </w14:textFill>
              </w:rPr>
              <w:t>XS04</w:t>
            </w:r>
            <w:r>
              <w:rPr>
                <w:rFonts w:hint="eastAsia"/>
                <w:color w:val="000000" w:themeColor="text1"/>
                <w:sz w:val="18"/>
                <w:szCs w:val="18"/>
                <w:highlight w:val="none"/>
                <w:lang w:val="en-US" w:eastAsia="zh-CN"/>
                <w14:textFill>
                  <w14:solidFill>
                    <w14:schemeClr w14:val="tx1"/>
                  </w14:solidFill>
                </w14:textFill>
              </w:rPr>
              <w:t>61001</w:t>
            </w:r>
          </w:p>
        </w:tc>
        <w:tc>
          <w:tcPr>
            <w:tcW w:w="709" w:type="dxa"/>
            <w:vAlign w:val="center"/>
          </w:tcPr>
          <w:p w14:paraId="51FD8EF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56D9A72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7E096649">
            <w:pPr>
              <w:jc w:val="center"/>
              <w:rPr>
                <w:color w:val="000000" w:themeColor="text1"/>
                <w:sz w:val="18"/>
                <w:szCs w:val="18"/>
                <w14:textFill>
                  <w14:solidFill>
                    <w14:schemeClr w14:val="tx1"/>
                  </w14:solidFill>
                </w14:textFill>
              </w:rPr>
            </w:pPr>
          </w:p>
        </w:tc>
      </w:tr>
      <w:tr w14:paraId="4EE61D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CAA18D5">
            <w:pPr>
              <w:rPr>
                <w:b/>
                <w:color w:val="000000" w:themeColor="text1"/>
                <w:sz w:val="18"/>
                <w:szCs w:val="18"/>
                <w14:textFill>
                  <w14:solidFill>
                    <w14:schemeClr w14:val="tx1"/>
                  </w14:solidFill>
                </w14:textFill>
              </w:rPr>
            </w:pPr>
          </w:p>
        </w:tc>
        <w:tc>
          <w:tcPr>
            <w:tcW w:w="1226" w:type="dxa"/>
            <w:vMerge w:val="continue"/>
            <w:vAlign w:val="center"/>
          </w:tcPr>
          <w:p w14:paraId="5ED12D71">
            <w:pPr>
              <w:jc w:val="center"/>
              <w:rPr>
                <w:b/>
                <w:color w:val="000000" w:themeColor="text1"/>
                <w:sz w:val="18"/>
                <w:szCs w:val="18"/>
                <w14:textFill>
                  <w14:solidFill>
                    <w14:schemeClr w14:val="tx1"/>
                  </w14:solidFill>
                </w14:textFill>
              </w:rPr>
            </w:pPr>
          </w:p>
        </w:tc>
        <w:tc>
          <w:tcPr>
            <w:tcW w:w="3516" w:type="dxa"/>
            <w:vAlign w:val="center"/>
          </w:tcPr>
          <w:p w14:paraId="055C3718">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房地产评估理论与实务</w:t>
            </w:r>
          </w:p>
        </w:tc>
        <w:tc>
          <w:tcPr>
            <w:tcW w:w="1081" w:type="dxa"/>
            <w:vAlign w:val="center"/>
          </w:tcPr>
          <w:p w14:paraId="7AF162F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ZS0413103</w:t>
            </w:r>
          </w:p>
        </w:tc>
        <w:tc>
          <w:tcPr>
            <w:tcW w:w="709" w:type="dxa"/>
            <w:vAlign w:val="center"/>
          </w:tcPr>
          <w:p w14:paraId="60D389B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7A22274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4F4D6F4C">
            <w:pPr>
              <w:jc w:val="center"/>
              <w:rPr>
                <w:color w:val="000000" w:themeColor="text1"/>
                <w:sz w:val="18"/>
                <w:szCs w:val="18"/>
                <w14:textFill>
                  <w14:solidFill>
                    <w14:schemeClr w14:val="tx1"/>
                  </w14:solidFill>
                </w14:textFill>
              </w:rPr>
            </w:pPr>
          </w:p>
        </w:tc>
      </w:tr>
      <w:tr w14:paraId="040D09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98BF324">
            <w:pPr>
              <w:rPr>
                <w:b/>
                <w:color w:val="000000" w:themeColor="text1"/>
                <w:sz w:val="18"/>
                <w:szCs w:val="18"/>
                <w14:textFill>
                  <w14:solidFill>
                    <w14:schemeClr w14:val="tx1"/>
                  </w14:solidFill>
                </w14:textFill>
              </w:rPr>
            </w:pPr>
          </w:p>
        </w:tc>
        <w:tc>
          <w:tcPr>
            <w:tcW w:w="1226" w:type="dxa"/>
            <w:vMerge w:val="continue"/>
            <w:vAlign w:val="center"/>
          </w:tcPr>
          <w:p w14:paraId="4A1437C7">
            <w:pPr>
              <w:jc w:val="center"/>
              <w:rPr>
                <w:b/>
                <w:color w:val="000000" w:themeColor="text1"/>
                <w:sz w:val="18"/>
                <w:szCs w:val="18"/>
                <w14:textFill>
                  <w14:solidFill>
                    <w14:schemeClr w14:val="tx1"/>
                  </w14:solidFill>
                </w14:textFill>
              </w:rPr>
            </w:pPr>
          </w:p>
        </w:tc>
        <w:tc>
          <w:tcPr>
            <w:tcW w:w="3516" w:type="dxa"/>
            <w:vAlign w:val="center"/>
          </w:tcPr>
          <w:p w14:paraId="2718419B">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管理会计理论与实务</w:t>
            </w:r>
          </w:p>
        </w:tc>
        <w:tc>
          <w:tcPr>
            <w:tcW w:w="1081" w:type="dxa"/>
            <w:vAlign w:val="center"/>
          </w:tcPr>
          <w:p w14:paraId="6DB53B94">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14:textFill>
                  <w14:solidFill>
                    <w14:schemeClr w14:val="tx1"/>
                  </w14:solidFill>
                </w14:textFill>
              </w:rPr>
              <w:t>ZS041</w:t>
            </w:r>
            <w:r>
              <w:rPr>
                <w:rFonts w:hint="eastAsia"/>
                <w:color w:val="000000" w:themeColor="text1"/>
                <w:sz w:val="18"/>
                <w:szCs w:val="18"/>
                <w:lang w:val="en-US" w:eastAsia="zh-CN"/>
                <w14:textFill>
                  <w14:solidFill>
                    <w14:schemeClr w14:val="tx1"/>
                  </w14:solidFill>
                </w14:textFill>
              </w:rPr>
              <w:t>10</w:t>
            </w:r>
            <w:r>
              <w:rPr>
                <w:rFonts w:hint="eastAsia"/>
                <w:color w:val="000000" w:themeColor="text1"/>
                <w:sz w:val="18"/>
                <w:szCs w:val="18"/>
                <w14:textFill>
                  <w14:solidFill>
                    <w14:schemeClr w14:val="tx1"/>
                  </w14:solidFill>
                </w14:textFill>
              </w:rPr>
              <w:t>0</w:t>
            </w:r>
            <w:r>
              <w:rPr>
                <w:rFonts w:hint="eastAsia"/>
                <w:color w:val="000000" w:themeColor="text1"/>
                <w:sz w:val="18"/>
                <w:szCs w:val="18"/>
                <w:lang w:val="en-US" w:eastAsia="zh-CN"/>
                <w14:textFill>
                  <w14:solidFill>
                    <w14:schemeClr w14:val="tx1"/>
                  </w14:solidFill>
                </w14:textFill>
              </w:rPr>
              <w:t>6</w:t>
            </w:r>
          </w:p>
        </w:tc>
        <w:tc>
          <w:tcPr>
            <w:tcW w:w="709" w:type="dxa"/>
            <w:vAlign w:val="center"/>
          </w:tcPr>
          <w:p w14:paraId="7110C3C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709" w:type="dxa"/>
            <w:vAlign w:val="center"/>
          </w:tcPr>
          <w:p w14:paraId="6F5FEC7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588EECAD">
            <w:pPr>
              <w:jc w:val="center"/>
              <w:rPr>
                <w:color w:val="000000" w:themeColor="text1"/>
                <w:sz w:val="18"/>
                <w:szCs w:val="18"/>
                <w14:textFill>
                  <w14:solidFill>
                    <w14:schemeClr w14:val="tx1"/>
                  </w14:solidFill>
                </w14:textFill>
              </w:rPr>
            </w:pPr>
          </w:p>
        </w:tc>
      </w:tr>
      <w:tr w14:paraId="2EA136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2DE837E">
            <w:pPr>
              <w:rPr>
                <w:b/>
                <w:color w:val="000000" w:themeColor="text1"/>
                <w:sz w:val="18"/>
                <w:szCs w:val="18"/>
                <w14:textFill>
                  <w14:solidFill>
                    <w14:schemeClr w14:val="tx1"/>
                  </w14:solidFill>
                </w14:textFill>
              </w:rPr>
            </w:pPr>
          </w:p>
        </w:tc>
        <w:tc>
          <w:tcPr>
            <w:tcW w:w="1226" w:type="dxa"/>
            <w:vMerge w:val="continue"/>
            <w:vAlign w:val="center"/>
          </w:tcPr>
          <w:p w14:paraId="41057D1F">
            <w:pPr>
              <w:jc w:val="center"/>
              <w:rPr>
                <w:b/>
                <w:color w:val="000000" w:themeColor="text1"/>
                <w:sz w:val="18"/>
                <w:szCs w:val="18"/>
                <w14:textFill>
                  <w14:solidFill>
                    <w14:schemeClr w14:val="tx1"/>
                  </w14:solidFill>
                </w14:textFill>
              </w:rPr>
            </w:pPr>
          </w:p>
        </w:tc>
        <w:tc>
          <w:tcPr>
            <w:tcW w:w="3516" w:type="dxa"/>
            <w:vAlign w:val="center"/>
          </w:tcPr>
          <w:p w14:paraId="5E32F547">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基于Python的财务报表分析</w:t>
            </w:r>
          </w:p>
        </w:tc>
        <w:tc>
          <w:tcPr>
            <w:tcW w:w="1081" w:type="dxa"/>
            <w:vAlign w:val="center"/>
          </w:tcPr>
          <w:p w14:paraId="532C2DF6">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14:textFill>
                  <w14:solidFill>
                    <w14:schemeClr w14:val="tx1"/>
                  </w14:solidFill>
                </w14:textFill>
              </w:rPr>
              <w:t>ZS041</w:t>
            </w:r>
            <w:r>
              <w:rPr>
                <w:rFonts w:hint="eastAsia"/>
                <w:color w:val="000000" w:themeColor="text1"/>
                <w:sz w:val="18"/>
                <w:szCs w:val="18"/>
                <w:lang w:val="en-US" w:eastAsia="zh-CN"/>
                <w14:textFill>
                  <w14:solidFill>
                    <w14:schemeClr w14:val="tx1"/>
                  </w14:solidFill>
                </w14:textFill>
              </w:rPr>
              <w:t>1</w:t>
            </w:r>
            <w:r>
              <w:rPr>
                <w:rFonts w:hint="eastAsia"/>
                <w:color w:val="000000" w:themeColor="text1"/>
                <w:sz w:val="18"/>
                <w:szCs w:val="18"/>
                <w14:textFill>
                  <w14:solidFill>
                    <w14:schemeClr w14:val="tx1"/>
                  </w14:solidFill>
                </w14:textFill>
              </w:rPr>
              <w:t>10</w:t>
            </w: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3ABA7B1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1B6B636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1796A59A">
            <w:pPr>
              <w:jc w:val="center"/>
              <w:rPr>
                <w:color w:val="000000" w:themeColor="text1"/>
                <w:sz w:val="18"/>
                <w:szCs w:val="18"/>
                <w14:textFill>
                  <w14:solidFill>
                    <w14:schemeClr w14:val="tx1"/>
                  </w14:solidFill>
                </w14:textFill>
              </w:rPr>
            </w:pPr>
          </w:p>
        </w:tc>
      </w:tr>
      <w:tr w14:paraId="7B2FA1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032B5F7">
            <w:pPr>
              <w:rPr>
                <w:b/>
                <w:color w:val="000000" w:themeColor="text1"/>
                <w:sz w:val="18"/>
                <w:szCs w:val="18"/>
                <w14:textFill>
                  <w14:solidFill>
                    <w14:schemeClr w14:val="tx1"/>
                  </w14:solidFill>
                </w14:textFill>
              </w:rPr>
            </w:pPr>
          </w:p>
        </w:tc>
        <w:tc>
          <w:tcPr>
            <w:tcW w:w="1226" w:type="dxa"/>
            <w:vMerge w:val="continue"/>
            <w:vAlign w:val="center"/>
          </w:tcPr>
          <w:p w14:paraId="239BD522">
            <w:pPr>
              <w:jc w:val="center"/>
              <w:rPr>
                <w:b/>
                <w:color w:val="000000" w:themeColor="text1"/>
                <w:sz w:val="18"/>
                <w:szCs w:val="18"/>
                <w14:textFill>
                  <w14:solidFill>
                    <w14:schemeClr w14:val="tx1"/>
                  </w14:solidFill>
                </w14:textFill>
              </w:rPr>
            </w:pPr>
          </w:p>
        </w:tc>
        <w:tc>
          <w:tcPr>
            <w:tcW w:w="3516" w:type="dxa"/>
            <w:vAlign w:val="center"/>
          </w:tcPr>
          <w:p w14:paraId="5D3935FF">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企业并购</w:t>
            </w:r>
          </w:p>
        </w:tc>
        <w:tc>
          <w:tcPr>
            <w:tcW w:w="1081" w:type="dxa"/>
            <w:vAlign w:val="center"/>
          </w:tcPr>
          <w:p w14:paraId="6A1CED9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ZS0413106</w:t>
            </w:r>
          </w:p>
        </w:tc>
        <w:tc>
          <w:tcPr>
            <w:tcW w:w="709" w:type="dxa"/>
            <w:vAlign w:val="center"/>
          </w:tcPr>
          <w:p w14:paraId="6A6BA3F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D6193C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197909C2">
            <w:pPr>
              <w:jc w:val="center"/>
              <w:rPr>
                <w:color w:val="000000" w:themeColor="text1"/>
                <w:sz w:val="18"/>
                <w:szCs w:val="18"/>
                <w14:textFill>
                  <w14:solidFill>
                    <w14:schemeClr w14:val="tx1"/>
                  </w14:solidFill>
                </w14:textFill>
              </w:rPr>
            </w:pPr>
          </w:p>
        </w:tc>
      </w:tr>
      <w:tr w14:paraId="12CF01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0A5491D">
            <w:pPr>
              <w:rPr>
                <w:b/>
                <w:color w:val="000000" w:themeColor="text1"/>
                <w:sz w:val="18"/>
                <w:szCs w:val="18"/>
                <w14:textFill>
                  <w14:solidFill>
                    <w14:schemeClr w14:val="tx1"/>
                  </w14:solidFill>
                </w14:textFill>
              </w:rPr>
            </w:pPr>
          </w:p>
        </w:tc>
        <w:tc>
          <w:tcPr>
            <w:tcW w:w="1226" w:type="dxa"/>
            <w:vMerge w:val="continue"/>
            <w:vAlign w:val="center"/>
          </w:tcPr>
          <w:p w14:paraId="572DF7B4">
            <w:pPr>
              <w:jc w:val="center"/>
              <w:rPr>
                <w:b/>
                <w:color w:val="000000" w:themeColor="text1"/>
                <w:sz w:val="18"/>
                <w:szCs w:val="18"/>
                <w14:textFill>
                  <w14:solidFill>
                    <w14:schemeClr w14:val="tx1"/>
                  </w14:solidFill>
                </w14:textFill>
              </w:rPr>
            </w:pPr>
          </w:p>
        </w:tc>
        <w:tc>
          <w:tcPr>
            <w:tcW w:w="3516" w:type="dxa"/>
            <w:vAlign w:val="center"/>
          </w:tcPr>
          <w:p w14:paraId="08E1A269">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金融市场与金融工具</w:t>
            </w:r>
          </w:p>
        </w:tc>
        <w:tc>
          <w:tcPr>
            <w:tcW w:w="1081" w:type="dxa"/>
            <w:vAlign w:val="center"/>
          </w:tcPr>
          <w:p w14:paraId="7718A65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ZS0413107</w:t>
            </w:r>
          </w:p>
        </w:tc>
        <w:tc>
          <w:tcPr>
            <w:tcW w:w="709" w:type="dxa"/>
            <w:vAlign w:val="center"/>
          </w:tcPr>
          <w:p w14:paraId="04095DB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27B305B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0B3095D8">
            <w:pPr>
              <w:jc w:val="center"/>
              <w:rPr>
                <w:color w:val="000000" w:themeColor="text1"/>
                <w:sz w:val="18"/>
                <w:szCs w:val="18"/>
                <w14:textFill>
                  <w14:solidFill>
                    <w14:schemeClr w14:val="tx1"/>
                  </w14:solidFill>
                </w14:textFill>
              </w:rPr>
            </w:pPr>
          </w:p>
        </w:tc>
      </w:tr>
      <w:tr w14:paraId="57E4AD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386FC98">
            <w:pPr>
              <w:rPr>
                <w:b/>
                <w:color w:val="000000" w:themeColor="text1"/>
                <w:sz w:val="18"/>
                <w:szCs w:val="18"/>
                <w14:textFill>
                  <w14:solidFill>
                    <w14:schemeClr w14:val="tx1"/>
                  </w14:solidFill>
                </w14:textFill>
              </w:rPr>
            </w:pPr>
          </w:p>
        </w:tc>
        <w:tc>
          <w:tcPr>
            <w:tcW w:w="1226" w:type="dxa"/>
            <w:vMerge w:val="restart"/>
            <w:vAlign w:val="center"/>
          </w:tcPr>
          <w:p w14:paraId="133E955E">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无形资产评估</w:t>
            </w:r>
            <w:r>
              <w:rPr>
                <w:b/>
                <w:color w:val="000000" w:themeColor="text1"/>
                <w:sz w:val="18"/>
                <w:szCs w:val="18"/>
                <w14:textFill>
                  <w14:solidFill>
                    <w14:schemeClr w14:val="tx1"/>
                  </w14:solidFill>
                </w14:textFill>
              </w:rPr>
              <w:t>方向</w:t>
            </w:r>
          </w:p>
          <w:p w14:paraId="6AFEEFA5">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tc>
        <w:tc>
          <w:tcPr>
            <w:tcW w:w="3516" w:type="dxa"/>
            <w:vAlign w:val="center"/>
          </w:tcPr>
          <w:p w14:paraId="0A710FC8">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财务会计理论与实务</w:t>
            </w:r>
          </w:p>
        </w:tc>
        <w:tc>
          <w:tcPr>
            <w:tcW w:w="1081" w:type="dxa"/>
            <w:vAlign w:val="center"/>
          </w:tcPr>
          <w:p w14:paraId="57F69A2A">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ZS041</w:t>
            </w:r>
            <w:r>
              <w:rPr>
                <w:rFonts w:hint="eastAsia"/>
                <w:color w:val="000000" w:themeColor="text1"/>
                <w:sz w:val="18"/>
                <w:szCs w:val="18"/>
                <w:lang w:val="en-US" w:eastAsia="zh-CN"/>
                <w14:textFill>
                  <w14:solidFill>
                    <w14:schemeClr w14:val="tx1"/>
                  </w14:solidFill>
                </w14:textFill>
              </w:rPr>
              <w:t>1003</w:t>
            </w:r>
          </w:p>
        </w:tc>
        <w:tc>
          <w:tcPr>
            <w:tcW w:w="709" w:type="dxa"/>
            <w:vAlign w:val="center"/>
          </w:tcPr>
          <w:p w14:paraId="4C0B060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709" w:type="dxa"/>
            <w:vAlign w:val="center"/>
          </w:tcPr>
          <w:p w14:paraId="254D219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77F5A37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16993A3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10学分</w:t>
            </w:r>
          </w:p>
        </w:tc>
      </w:tr>
      <w:tr w14:paraId="416569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CC7342C">
            <w:pPr>
              <w:rPr>
                <w:b/>
                <w:color w:val="000000" w:themeColor="text1"/>
                <w:sz w:val="18"/>
                <w:szCs w:val="18"/>
                <w14:textFill>
                  <w14:solidFill>
                    <w14:schemeClr w14:val="tx1"/>
                  </w14:solidFill>
                </w14:textFill>
              </w:rPr>
            </w:pPr>
          </w:p>
        </w:tc>
        <w:tc>
          <w:tcPr>
            <w:tcW w:w="1226" w:type="dxa"/>
            <w:vMerge w:val="continue"/>
            <w:vAlign w:val="center"/>
          </w:tcPr>
          <w:p w14:paraId="4DAB73F9">
            <w:pPr>
              <w:adjustRightInd w:val="0"/>
              <w:snapToGrid w:val="0"/>
              <w:jc w:val="center"/>
              <w:rPr>
                <w:b/>
                <w:color w:val="FF0000"/>
                <w:sz w:val="18"/>
                <w:szCs w:val="18"/>
              </w:rPr>
            </w:pPr>
          </w:p>
        </w:tc>
        <w:tc>
          <w:tcPr>
            <w:tcW w:w="3516" w:type="dxa"/>
            <w:vAlign w:val="center"/>
          </w:tcPr>
          <w:p w14:paraId="1AC105C8">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房地产评估理论与实务</w:t>
            </w:r>
          </w:p>
        </w:tc>
        <w:tc>
          <w:tcPr>
            <w:tcW w:w="1081" w:type="dxa"/>
            <w:vAlign w:val="center"/>
          </w:tcPr>
          <w:p w14:paraId="4F37C541">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ZS0413103</w:t>
            </w:r>
          </w:p>
        </w:tc>
        <w:tc>
          <w:tcPr>
            <w:tcW w:w="709" w:type="dxa"/>
            <w:vAlign w:val="center"/>
          </w:tcPr>
          <w:p w14:paraId="5777991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5FC37E2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038E17CE">
            <w:pPr>
              <w:jc w:val="center"/>
              <w:rPr>
                <w:color w:val="000000" w:themeColor="text1"/>
                <w:sz w:val="18"/>
                <w:szCs w:val="18"/>
                <w14:textFill>
                  <w14:solidFill>
                    <w14:schemeClr w14:val="tx1"/>
                  </w14:solidFill>
                </w14:textFill>
              </w:rPr>
            </w:pPr>
          </w:p>
        </w:tc>
      </w:tr>
      <w:tr w14:paraId="324B94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3265823">
            <w:pPr>
              <w:rPr>
                <w:b/>
                <w:color w:val="000000" w:themeColor="text1"/>
                <w:sz w:val="18"/>
                <w:szCs w:val="18"/>
                <w14:textFill>
                  <w14:solidFill>
                    <w14:schemeClr w14:val="tx1"/>
                  </w14:solidFill>
                </w14:textFill>
              </w:rPr>
            </w:pPr>
          </w:p>
        </w:tc>
        <w:tc>
          <w:tcPr>
            <w:tcW w:w="1226" w:type="dxa"/>
            <w:vMerge w:val="continue"/>
          </w:tcPr>
          <w:p w14:paraId="00433F19">
            <w:pPr>
              <w:jc w:val="center"/>
              <w:rPr>
                <w:b/>
                <w:color w:val="000000" w:themeColor="text1"/>
                <w:sz w:val="18"/>
                <w:szCs w:val="18"/>
                <w14:textFill>
                  <w14:solidFill>
                    <w14:schemeClr w14:val="tx1"/>
                  </w14:solidFill>
                </w14:textFill>
              </w:rPr>
            </w:pPr>
          </w:p>
        </w:tc>
        <w:tc>
          <w:tcPr>
            <w:tcW w:w="3516" w:type="dxa"/>
            <w:vAlign w:val="center"/>
          </w:tcPr>
          <w:p w14:paraId="353107F4">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管理会计理论与实务</w:t>
            </w:r>
          </w:p>
        </w:tc>
        <w:tc>
          <w:tcPr>
            <w:tcW w:w="1081" w:type="dxa"/>
            <w:vAlign w:val="center"/>
          </w:tcPr>
          <w:p w14:paraId="46CC82FC">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ZS041</w:t>
            </w:r>
            <w:r>
              <w:rPr>
                <w:rFonts w:hint="eastAsia"/>
                <w:color w:val="000000" w:themeColor="text1"/>
                <w:sz w:val="18"/>
                <w:szCs w:val="18"/>
                <w:lang w:val="en-US" w:eastAsia="zh-CN"/>
                <w14:textFill>
                  <w14:solidFill>
                    <w14:schemeClr w14:val="tx1"/>
                  </w14:solidFill>
                </w14:textFill>
              </w:rPr>
              <w:t>10</w:t>
            </w:r>
            <w:r>
              <w:rPr>
                <w:rFonts w:hint="eastAsia"/>
                <w:color w:val="000000" w:themeColor="text1"/>
                <w:sz w:val="18"/>
                <w:szCs w:val="18"/>
                <w14:textFill>
                  <w14:solidFill>
                    <w14:schemeClr w14:val="tx1"/>
                  </w14:solidFill>
                </w14:textFill>
              </w:rPr>
              <w:t>0</w:t>
            </w:r>
            <w:r>
              <w:rPr>
                <w:rFonts w:hint="eastAsia"/>
                <w:color w:val="000000" w:themeColor="text1"/>
                <w:sz w:val="18"/>
                <w:szCs w:val="18"/>
                <w:lang w:val="en-US" w:eastAsia="zh-CN"/>
                <w14:textFill>
                  <w14:solidFill>
                    <w14:schemeClr w14:val="tx1"/>
                  </w14:solidFill>
                </w14:textFill>
              </w:rPr>
              <w:t>6</w:t>
            </w:r>
          </w:p>
        </w:tc>
        <w:tc>
          <w:tcPr>
            <w:tcW w:w="709" w:type="dxa"/>
            <w:vAlign w:val="center"/>
          </w:tcPr>
          <w:p w14:paraId="17136A9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709" w:type="dxa"/>
            <w:vAlign w:val="center"/>
          </w:tcPr>
          <w:p w14:paraId="04F2BE3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1F61FC9C">
            <w:pPr>
              <w:jc w:val="center"/>
              <w:rPr>
                <w:color w:val="000000" w:themeColor="text1"/>
                <w:sz w:val="18"/>
                <w:szCs w:val="18"/>
                <w14:textFill>
                  <w14:solidFill>
                    <w14:schemeClr w14:val="tx1"/>
                  </w14:solidFill>
                </w14:textFill>
              </w:rPr>
            </w:pPr>
          </w:p>
        </w:tc>
      </w:tr>
      <w:tr w14:paraId="5B642F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1BA02B7">
            <w:pPr>
              <w:rPr>
                <w:b/>
                <w:color w:val="000000" w:themeColor="text1"/>
                <w:sz w:val="18"/>
                <w:szCs w:val="18"/>
                <w14:textFill>
                  <w14:solidFill>
                    <w14:schemeClr w14:val="tx1"/>
                  </w14:solidFill>
                </w14:textFill>
              </w:rPr>
            </w:pPr>
          </w:p>
        </w:tc>
        <w:tc>
          <w:tcPr>
            <w:tcW w:w="1226" w:type="dxa"/>
            <w:vMerge w:val="continue"/>
          </w:tcPr>
          <w:p w14:paraId="0406EFE6">
            <w:pPr>
              <w:jc w:val="center"/>
              <w:rPr>
                <w:b/>
                <w:color w:val="000000" w:themeColor="text1"/>
                <w:sz w:val="18"/>
                <w:szCs w:val="18"/>
                <w14:textFill>
                  <w14:solidFill>
                    <w14:schemeClr w14:val="tx1"/>
                  </w14:solidFill>
                </w14:textFill>
              </w:rPr>
            </w:pPr>
          </w:p>
        </w:tc>
        <w:tc>
          <w:tcPr>
            <w:tcW w:w="3516" w:type="dxa"/>
            <w:vAlign w:val="center"/>
          </w:tcPr>
          <w:p w14:paraId="3EE331D2">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人工智能与项目管理</w:t>
            </w:r>
          </w:p>
        </w:tc>
        <w:tc>
          <w:tcPr>
            <w:tcW w:w="1081" w:type="dxa"/>
            <w:vAlign w:val="center"/>
          </w:tcPr>
          <w:p w14:paraId="73F313A4">
            <w:pP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ZS0</w:t>
            </w:r>
            <w:r>
              <w:rPr>
                <w:rFonts w:hint="eastAsia"/>
                <w:color w:val="000000" w:themeColor="text1"/>
                <w:sz w:val="18"/>
                <w:szCs w:val="18"/>
                <w:lang w:val="en-US" w:eastAsia="zh-CN"/>
                <w14:textFill>
                  <w14:solidFill>
                    <w14:schemeClr w14:val="tx1"/>
                  </w14:solidFill>
                </w14:textFill>
              </w:rPr>
              <w:t>413012</w:t>
            </w:r>
          </w:p>
        </w:tc>
        <w:tc>
          <w:tcPr>
            <w:tcW w:w="709" w:type="dxa"/>
            <w:vAlign w:val="center"/>
          </w:tcPr>
          <w:p w14:paraId="3861065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0B473C9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7558B1B2">
            <w:pPr>
              <w:jc w:val="center"/>
              <w:rPr>
                <w:color w:val="000000" w:themeColor="text1"/>
                <w:sz w:val="18"/>
                <w:szCs w:val="18"/>
                <w14:textFill>
                  <w14:solidFill>
                    <w14:schemeClr w14:val="tx1"/>
                  </w14:solidFill>
                </w14:textFill>
              </w:rPr>
            </w:pPr>
          </w:p>
        </w:tc>
      </w:tr>
      <w:tr w14:paraId="34E34F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398D348">
            <w:pPr>
              <w:rPr>
                <w:b/>
                <w:color w:val="000000" w:themeColor="text1"/>
                <w:sz w:val="18"/>
                <w:szCs w:val="18"/>
                <w14:textFill>
                  <w14:solidFill>
                    <w14:schemeClr w14:val="tx1"/>
                  </w14:solidFill>
                </w14:textFill>
              </w:rPr>
            </w:pPr>
          </w:p>
        </w:tc>
        <w:tc>
          <w:tcPr>
            <w:tcW w:w="1226" w:type="dxa"/>
            <w:vMerge w:val="continue"/>
          </w:tcPr>
          <w:p w14:paraId="6B27EF26">
            <w:pPr>
              <w:jc w:val="center"/>
              <w:rPr>
                <w:b/>
                <w:color w:val="000000" w:themeColor="text1"/>
                <w:sz w:val="18"/>
                <w:szCs w:val="18"/>
                <w14:textFill>
                  <w14:solidFill>
                    <w14:schemeClr w14:val="tx1"/>
                  </w14:solidFill>
                </w14:textFill>
              </w:rPr>
            </w:pPr>
          </w:p>
        </w:tc>
        <w:tc>
          <w:tcPr>
            <w:tcW w:w="3516" w:type="dxa"/>
            <w:vAlign w:val="center"/>
          </w:tcPr>
          <w:p w14:paraId="3E6EF7F9">
            <w:pP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数据资产评估</w:t>
            </w:r>
            <w:r>
              <w:rPr>
                <w:rFonts w:hint="eastAsia"/>
                <w:color w:val="000000" w:themeColor="text1"/>
                <w:sz w:val="18"/>
                <w:szCs w:val="18"/>
                <w:lang w:val="en-US" w:eastAsia="zh-CN"/>
                <w14:textFill>
                  <w14:solidFill>
                    <w14:schemeClr w14:val="tx1"/>
                  </w14:solidFill>
                </w14:textFill>
              </w:rPr>
              <w:t>理论与实务</w:t>
            </w:r>
          </w:p>
        </w:tc>
        <w:tc>
          <w:tcPr>
            <w:tcW w:w="1081" w:type="dxa"/>
            <w:vAlign w:val="center"/>
          </w:tcPr>
          <w:p w14:paraId="156B5E5D">
            <w:pP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ZS0413</w:t>
            </w:r>
            <w:r>
              <w:rPr>
                <w:rFonts w:hint="eastAsia"/>
                <w:color w:val="000000" w:themeColor="text1"/>
                <w:sz w:val="18"/>
                <w:szCs w:val="18"/>
                <w:lang w:val="en-US" w:eastAsia="zh-CN"/>
                <w14:textFill>
                  <w14:solidFill>
                    <w14:schemeClr w14:val="tx1"/>
                  </w14:solidFill>
                </w14:textFill>
              </w:rPr>
              <w:t>013</w:t>
            </w:r>
          </w:p>
        </w:tc>
        <w:tc>
          <w:tcPr>
            <w:tcW w:w="709" w:type="dxa"/>
            <w:vAlign w:val="center"/>
          </w:tcPr>
          <w:p w14:paraId="22B6DB9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060D53A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45317E75">
            <w:pPr>
              <w:jc w:val="center"/>
              <w:rPr>
                <w:color w:val="000000" w:themeColor="text1"/>
                <w:sz w:val="18"/>
                <w:szCs w:val="18"/>
                <w14:textFill>
                  <w14:solidFill>
                    <w14:schemeClr w14:val="tx1"/>
                  </w14:solidFill>
                </w14:textFill>
              </w:rPr>
            </w:pPr>
          </w:p>
        </w:tc>
      </w:tr>
      <w:tr w14:paraId="14ECA3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FD8022">
            <w:pPr>
              <w:rPr>
                <w:b/>
                <w:color w:val="000000" w:themeColor="text1"/>
                <w:sz w:val="18"/>
                <w:szCs w:val="18"/>
                <w14:textFill>
                  <w14:solidFill>
                    <w14:schemeClr w14:val="tx1"/>
                  </w14:solidFill>
                </w14:textFill>
              </w:rPr>
            </w:pPr>
          </w:p>
        </w:tc>
        <w:tc>
          <w:tcPr>
            <w:tcW w:w="1226" w:type="dxa"/>
            <w:vMerge w:val="continue"/>
          </w:tcPr>
          <w:p w14:paraId="4919E267">
            <w:pPr>
              <w:jc w:val="center"/>
              <w:rPr>
                <w:b/>
                <w:color w:val="000000" w:themeColor="text1"/>
                <w:sz w:val="18"/>
                <w:szCs w:val="18"/>
                <w14:textFill>
                  <w14:solidFill>
                    <w14:schemeClr w14:val="tx1"/>
                  </w14:solidFill>
                </w14:textFill>
              </w:rPr>
            </w:pPr>
          </w:p>
        </w:tc>
        <w:tc>
          <w:tcPr>
            <w:tcW w:w="3516" w:type="dxa"/>
            <w:vAlign w:val="center"/>
          </w:tcPr>
          <w:p w14:paraId="76848FA0">
            <w:pP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知识产权</w:t>
            </w:r>
            <w:r>
              <w:rPr>
                <w:rFonts w:hint="eastAsia"/>
                <w:color w:val="000000" w:themeColor="text1"/>
                <w:sz w:val="18"/>
                <w:szCs w:val="18"/>
                <w:lang w:val="en-US" w:eastAsia="zh-CN"/>
                <w14:textFill>
                  <w14:solidFill>
                    <w14:schemeClr w14:val="tx1"/>
                  </w14:solidFill>
                </w14:textFill>
              </w:rPr>
              <w:t>评估</w:t>
            </w:r>
          </w:p>
        </w:tc>
        <w:tc>
          <w:tcPr>
            <w:tcW w:w="1081" w:type="dxa"/>
            <w:vAlign w:val="center"/>
          </w:tcPr>
          <w:p w14:paraId="131CD256">
            <w:pP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ZS0413</w:t>
            </w:r>
            <w:r>
              <w:rPr>
                <w:rFonts w:hint="eastAsia"/>
                <w:color w:val="000000" w:themeColor="text1"/>
                <w:sz w:val="18"/>
                <w:szCs w:val="18"/>
                <w:lang w:val="en-US" w:eastAsia="zh-CN"/>
                <w14:textFill>
                  <w14:solidFill>
                    <w14:schemeClr w14:val="tx1"/>
                  </w14:solidFill>
                </w14:textFill>
              </w:rPr>
              <w:t>014</w:t>
            </w:r>
          </w:p>
        </w:tc>
        <w:tc>
          <w:tcPr>
            <w:tcW w:w="709" w:type="dxa"/>
            <w:vAlign w:val="center"/>
          </w:tcPr>
          <w:p w14:paraId="40C7223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2D903E6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624820D6">
            <w:pPr>
              <w:jc w:val="center"/>
              <w:rPr>
                <w:color w:val="000000" w:themeColor="text1"/>
                <w:sz w:val="18"/>
                <w:szCs w:val="18"/>
                <w14:textFill>
                  <w14:solidFill>
                    <w14:schemeClr w14:val="tx1"/>
                  </w14:solidFill>
                </w14:textFill>
              </w:rPr>
            </w:pPr>
          </w:p>
        </w:tc>
      </w:tr>
      <w:tr w14:paraId="33409A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2B7C563">
            <w:pPr>
              <w:rPr>
                <w:b/>
                <w:color w:val="000000" w:themeColor="text1"/>
                <w:sz w:val="18"/>
                <w:szCs w:val="18"/>
                <w14:textFill>
                  <w14:solidFill>
                    <w14:schemeClr w14:val="tx1"/>
                  </w14:solidFill>
                </w14:textFill>
              </w:rPr>
            </w:pPr>
          </w:p>
        </w:tc>
        <w:tc>
          <w:tcPr>
            <w:tcW w:w="1226" w:type="dxa"/>
            <w:vMerge w:val="continue"/>
          </w:tcPr>
          <w:p w14:paraId="0AB107C3">
            <w:pPr>
              <w:jc w:val="center"/>
              <w:rPr>
                <w:b/>
                <w:color w:val="000000" w:themeColor="text1"/>
                <w:sz w:val="18"/>
                <w:szCs w:val="18"/>
                <w14:textFill>
                  <w14:solidFill>
                    <w14:schemeClr w14:val="tx1"/>
                  </w14:solidFill>
                </w14:textFill>
              </w:rPr>
            </w:pPr>
          </w:p>
        </w:tc>
        <w:tc>
          <w:tcPr>
            <w:tcW w:w="3516" w:type="dxa"/>
            <w:vAlign w:val="center"/>
          </w:tcPr>
          <w:p w14:paraId="2266A3D7">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投资学</w:t>
            </w:r>
          </w:p>
        </w:tc>
        <w:tc>
          <w:tcPr>
            <w:tcW w:w="1081" w:type="dxa"/>
            <w:vAlign w:val="center"/>
          </w:tcPr>
          <w:p w14:paraId="1ED6879F">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ZS0413111</w:t>
            </w:r>
          </w:p>
        </w:tc>
        <w:tc>
          <w:tcPr>
            <w:tcW w:w="709" w:type="dxa"/>
            <w:vAlign w:val="center"/>
          </w:tcPr>
          <w:p w14:paraId="46A1ED4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18D7D6C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39AA595A">
            <w:pPr>
              <w:jc w:val="center"/>
              <w:rPr>
                <w:color w:val="000000" w:themeColor="text1"/>
                <w:sz w:val="18"/>
                <w:szCs w:val="18"/>
                <w14:textFill>
                  <w14:solidFill>
                    <w14:schemeClr w14:val="tx1"/>
                  </w14:solidFill>
                </w14:textFill>
              </w:rPr>
            </w:pPr>
          </w:p>
        </w:tc>
      </w:tr>
      <w:tr w14:paraId="409E8A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377F952B">
            <w:pPr>
              <w:jc w:val="center"/>
              <w:rPr>
                <w:b/>
                <w:color w:val="000000" w:themeColor="text1"/>
                <w:sz w:val="18"/>
                <w:szCs w:val="18"/>
                <w14:textFill>
                  <w14:solidFill>
                    <w14:schemeClr w14:val="tx1"/>
                  </w14:solidFill>
                </w14:textFill>
              </w:rPr>
            </w:pPr>
          </w:p>
        </w:tc>
        <w:tc>
          <w:tcPr>
            <w:tcW w:w="1226" w:type="dxa"/>
            <w:vMerge w:val="restart"/>
            <w:vAlign w:val="center"/>
          </w:tcPr>
          <w:p w14:paraId="25CC6504">
            <w:pPr>
              <w:adjustRightInd w:val="0"/>
              <w:snapToGrid w:val="0"/>
              <w:jc w:val="center"/>
              <w:rPr>
                <w:b/>
                <w:color w:val="FF0000"/>
                <w:sz w:val="18"/>
                <w:szCs w:val="18"/>
              </w:rPr>
            </w:pPr>
            <w:r>
              <w:rPr>
                <w:rFonts w:hint="eastAsia"/>
                <w:b/>
                <w:color w:val="000000" w:themeColor="text1"/>
                <w:sz w:val="18"/>
                <w:szCs w:val="18"/>
                <w14:textFill>
                  <w14:solidFill>
                    <w14:schemeClr w14:val="tx1"/>
                  </w14:solidFill>
                </w14:textFill>
              </w:rPr>
              <w:t>资产评估理论与方法</w:t>
            </w:r>
            <w:r>
              <w:rPr>
                <w:b/>
                <w:color w:val="000000" w:themeColor="text1"/>
                <w:sz w:val="18"/>
                <w:szCs w:val="18"/>
                <w14:textFill>
                  <w14:solidFill>
                    <w14:schemeClr w14:val="tx1"/>
                  </w14:solidFill>
                </w14:textFill>
              </w:rPr>
              <w:t>方向选修课</w:t>
            </w:r>
          </w:p>
        </w:tc>
        <w:tc>
          <w:tcPr>
            <w:tcW w:w="3516" w:type="dxa"/>
            <w:vAlign w:val="center"/>
          </w:tcPr>
          <w:p w14:paraId="088B5215">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财务会计理论与实务</w:t>
            </w:r>
          </w:p>
        </w:tc>
        <w:tc>
          <w:tcPr>
            <w:tcW w:w="1081" w:type="dxa"/>
            <w:vAlign w:val="center"/>
          </w:tcPr>
          <w:p w14:paraId="4C65EB2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ZS041</w:t>
            </w:r>
            <w:r>
              <w:rPr>
                <w:rFonts w:hint="eastAsia"/>
                <w:color w:val="000000" w:themeColor="text1"/>
                <w:sz w:val="18"/>
                <w:szCs w:val="18"/>
                <w:lang w:val="en-US" w:eastAsia="zh-CN"/>
                <w14:textFill>
                  <w14:solidFill>
                    <w14:schemeClr w14:val="tx1"/>
                  </w14:solidFill>
                </w14:textFill>
              </w:rPr>
              <w:t>1003</w:t>
            </w:r>
          </w:p>
        </w:tc>
        <w:tc>
          <w:tcPr>
            <w:tcW w:w="709" w:type="dxa"/>
            <w:vAlign w:val="center"/>
          </w:tcPr>
          <w:p w14:paraId="618B594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709" w:type="dxa"/>
            <w:vAlign w:val="center"/>
          </w:tcPr>
          <w:p w14:paraId="77266E9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5F59B6E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01551B9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10学分</w:t>
            </w:r>
          </w:p>
        </w:tc>
      </w:tr>
      <w:tr w14:paraId="6B830B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3E833184">
            <w:pPr>
              <w:jc w:val="center"/>
              <w:rPr>
                <w:b/>
                <w:color w:val="000000" w:themeColor="text1"/>
                <w:sz w:val="18"/>
                <w:szCs w:val="18"/>
                <w14:textFill>
                  <w14:solidFill>
                    <w14:schemeClr w14:val="tx1"/>
                  </w14:solidFill>
                </w14:textFill>
              </w:rPr>
            </w:pPr>
          </w:p>
        </w:tc>
        <w:tc>
          <w:tcPr>
            <w:tcW w:w="1226" w:type="dxa"/>
            <w:vMerge w:val="continue"/>
            <w:vAlign w:val="center"/>
          </w:tcPr>
          <w:p w14:paraId="0055D4BE">
            <w:pPr>
              <w:jc w:val="center"/>
              <w:rPr>
                <w:b/>
                <w:color w:val="FF0000"/>
                <w:sz w:val="18"/>
                <w:szCs w:val="18"/>
              </w:rPr>
            </w:pPr>
          </w:p>
        </w:tc>
        <w:tc>
          <w:tcPr>
            <w:tcW w:w="3516" w:type="dxa"/>
            <w:vAlign w:val="center"/>
          </w:tcPr>
          <w:p w14:paraId="0F2E6B83">
            <w:pP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财政理论与政策</w:t>
            </w:r>
            <w:r>
              <w:rPr>
                <w:rFonts w:hint="eastAsia"/>
                <w:color w:val="000000" w:themeColor="text1"/>
                <w:sz w:val="18"/>
                <w:szCs w:val="18"/>
                <w:lang w:val="en-US" w:eastAsia="zh-CN"/>
                <w14:textFill>
                  <w14:solidFill>
                    <w14:schemeClr w14:val="tx1"/>
                  </w14:solidFill>
                </w14:textFill>
              </w:rPr>
              <w:t>实践</w:t>
            </w:r>
          </w:p>
        </w:tc>
        <w:tc>
          <w:tcPr>
            <w:tcW w:w="1081" w:type="dxa"/>
            <w:vAlign w:val="center"/>
          </w:tcPr>
          <w:p w14:paraId="5E13778C">
            <w:pPr>
              <w:jc w:val="center"/>
              <w:rPr>
                <w:rFonts w:hint="default" w:eastAsia="宋体"/>
                <w:color w:val="000000" w:themeColor="text1"/>
                <w:sz w:val="18"/>
                <w:szCs w:val="18"/>
                <w:lang w:val="en-US" w:eastAsia="zh-CN"/>
                <w14:textFill>
                  <w14:solidFill>
                    <w14:schemeClr w14:val="tx1"/>
                  </w14:solidFill>
                </w14:textFill>
              </w:rPr>
            </w:pPr>
            <w:r>
              <w:rPr>
                <w:color w:val="000000" w:themeColor="text1"/>
                <w:sz w:val="18"/>
                <w:szCs w:val="18"/>
                <w:highlight w:val="none"/>
                <w14:textFill>
                  <w14:solidFill>
                    <w14:schemeClr w14:val="tx1"/>
                  </w14:solidFill>
                </w14:textFill>
              </w:rPr>
              <w:t>XS04</w:t>
            </w:r>
            <w:r>
              <w:rPr>
                <w:rFonts w:hint="eastAsia"/>
                <w:color w:val="000000" w:themeColor="text1"/>
                <w:sz w:val="18"/>
                <w:szCs w:val="18"/>
                <w:highlight w:val="none"/>
                <w:lang w:val="en-US" w:eastAsia="zh-CN"/>
                <w14:textFill>
                  <w14:solidFill>
                    <w14:schemeClr w14:val="tx1"/>
                  </w14:solidFill>
                </w14:textFill>
              </w:rPr>
              <w:t>61001</w:t>
            </w:r>
          </w:p>
        </w:tc>
        <w:tc>
          <w:tcPr>
            <w:tcW w:w="709" w:type="dxa"/>
            <w:vAlign w:val="center"/>
          </w:tcPr>
          <w:p w14:paraId="575266B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5A08ECB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3DD7E690">
            <w:pPr>
              <w:jc w:val="center"/>
              <w:rPr>
                <w:color w:val="000000" w:themeColor="text1"/>
                <w:sz w:val="18"/>
                <w:szCs w:val="18"/>
                <w14:textFill>
                  <w14:solidFill>
                    <w14:schemeClr w14:val="tx1"/>
                  </w14:solidFill>
                </w14:textFill>
              </w:rPr>
            </w:pPr>
          </w:p>
        </w:tc>
      </w:tr>
      <w:tr w14:paraId="75F472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5A223215">
            <w:pPr>
              <w:jc w:val="center"/>
              <w:rPr>
                <w:b/>
                <w:color w:val="000000" w:themeColor="text1"/>
                <w:sz w:val="18"/>
                <w:szCs w:val="18"/>
                <w14:textFill>
                  <w14:solidFill>
                    <w14:schemeClr w14:val="tx1"/>
                  </w14:solidFill>
                </w14:textFill>
              </w:rPr>
            </w:pPr>
          </w:p>
        </w:tc>
        <w:tc>
          <w:tcPr>
            <w:tcW w:w="1226" w:type="dxa"/>
            <w:vMerge w:val="continue"/>
            <w:vAlign w:val="center"/>
          </w:tcPr>
          <w:p w14:paraId="62EEFC87">
            <w:pPr>
              <w:jc w:val="center"/>
              <w:rPr>
                <w:b/>
                <w:color w:val="000000" w:themeColor="text1"/>
                <w:sz w:val="18"/>
                <w:szCs w:val="18"/>
                <w14:textFill>
                  <w14:solidFill>
                    <w14:schemeClr w14:val="tx1"/>
                  </w14:solidFill>
                </w14:textFill>
              </w:rPr>
            </w:pPr>
          </w:p>
        </w:tc>
        <w:tc>
          <w:tcPr>
            <w:tcW w:w="3516" w:type="dxa"/>
            <w:vAlign w:val="center"/>
          </w:tcPr>
          <w:p w14:paraId="52D7F0F1">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房地产评估理论与实务</w:t>
            </w:r>
          </w:p>
        </w:tc>
        <w:tc>
          <w:tcPr>
            <w:tcW w:w="1081" w:type="dxa"/>
            <w:vAlign w:val="center"/>
          </w:tcPr>
          <w:p w14:paraId="4799FB3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ZS0413103</w:t>
            </w:r>
          </w:p>
        </w:tc>
        <w:tc>
          <w:tcPr>
            <w:tcW w:w="709" w:type="dxa"/>
            <w:vAlign w:val="center"/>
          </w:tcPr>
          <w:p w14:paraId="0A6B57C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CC5259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11B43E11">
            <w:pPr>
              <w:jc w:val="center"/>
              <w:rPr>
                <w:color w:val="000000" w:themeColor="text1"/>
                <w:sz w:val="18"/>
                <w:szCs w:val="18"/>
                <w14:textFill>
                  <w14:solidFill>
                    <w14:schemeClr w14:val="tx1"/>
                  </w14:solidFill>
                </w14:textFill>
              </w:rPr>
            </w:pPr>
          </w:p>
        </w:tc>
      </w:tr>
      <w:tr w14:paraId="582E10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3990AEC1">
            <w:pPr>
              <w:jc w:val="center"/>
              <w:rPr>
                <w:b/>
                <w:color w:val="000000" w:themeColor="text1"/>
                <w:sz w:val="18"/>
                <w:szCs w:val="18"/>
                <w14:textFill>
                  <w14:solidFill>
                    <w14:schemeClr w14:val="tx1"/>
                  </w14:solidFill>
                </w14:textFill>
              </w:rPr>
            </w:pPr>
          </w:p>
        </w:tc>
        <w:tc>
          <w:tcPr>
            <w:tcW w:w="1226" w:type="dxa"/>
            <w:vMerge w:val="continue"/>
            <w:vAlign w:val="center"/>
          </w:tcPr>
          <w:p w14:paraId="70CE8E1A">
            <w:pPr>
              <w:adjustRightInd w:val="0"/>
              <w:snapToGrid w:val="0"/>
              <w:jc w:val="center"/>
              <w:rPr>
                <w:b/>
                <w:color w:val="FF0000"/>
                <w:sz w:val="18"/>
                <w:szCs w:val="18"/>
              </w:rPr>
            </w:pPr>
          </w:p>
        </w:tc>
        <w:tc>
          <w:tcPr>
            <w:tcW w:w="3516" w:type="dxa"/>
            <w:vAlign w:val="center"/>
          </w:tcPr>
          <w:p w14:paraId="06CBB3DE">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管理会计理论与实务</w:t>
            </w:r>
          </w:p>
        </w:tc>
        <w:tc>
          <w:tcPr>
            <w:tcW w:w="1081" w:type="dxa"/>
            <w:vAlign w:val="center"/>
          </w:tcPr>
          <w:p w14:paraId="5C08352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ZS041</w:t>
            </w:r>
            <w:r>
              <w:rPr>
                <w:rFonts w:hint="eastAsia"/>
                <w:color w:val="000000" w:themeColor="text1"/>
                <w:sz w:val="18"/>
                <w:szCs w:val="18"/>
                <w:lang w:val="en-US" w:eastAsia="zh-CN"/>
                <w14:textFill>
                  <w14:solidFill>
                    <w14:schemeClr w14:val="tx1"/>
                  </w14:solidFill>
                </w14:textFill>
              </w:rPr>
              <w:t>10</w:t>
            </w:r>
            <w:r>
              <w:rPr>
                <w:rFonts w:hint="eastAsia"/>
                <w:color w:val="000000" w:themeColor="text1"/>
                <w:sz w:val="18"/>
                <w:szCs w:val="18"/>
                <w14:textFill>
                  <w14:solidFill>
                    <w14:schemeClr w14:val="tx1"/>
                  </w14:solidFill>
                </w14:textFill>
              </w:rPr>
              <w:t>0</w:t>
            </w:r>
            <w:r>
              <w:rPr>
                <w:rFonts w:hint="eastAsia"/>
                <w:color w:val="000000" w:themeColor="text1"/>
                <w:sz w:val="18"/>
                <w:szCs w:val="18"/>
                <w:lang w:val="en-US" w:eastAsia="zh-CN"/>
                <w14:textFill>
                  <w14:solidFill>
                    <w14:schemeClr w14:val="tx1"/>
                  </w14:solidFill>
                </w14:textFill>
              </w:rPr>
              <w:t>6</w:t>
            </w:r>
          </w:p>
        </w:tc>
        <w:tc>
          <w:tcPr>
            <w:tcW w:w="709" w:type="dxa"/>
            <w:vAlign w:val="center"/>
          </w:tcPr>
          <w:p w14:paraId="3B1DBE3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709" w:type="dxa"/>
            <w:vAlign w:val="center"/>
          </w:tcPr>
          <w:p w14:paraId="4F33042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508ED8BA">
            <w:pPr>
              <w:jc w:val="center"/>
              <w:rPr>
                <w:color w:val="000000" w:themeColor="text1"/>
                <w:sz w:val="18"/>
                <w:szCs w:val="18"/>
                <w14:textFill>
                  <w14:solidFill>
                    <w14:schemeClr w14:val="tx1"/>
                  </w14:solidFill>
                </w14:textFill>
              </w:rPr>
            </w:pPr>
          </w:p>
        </w:tc>
      </w:tr>
      <w:tr w14:paraId="1AFC57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704F16BB">
            <w:pPr>
              <w:jc w:val="center"/>
              <w:rPr>
                <w:b/>
                <w:color w:val="000000" w:themeColor="text1"/>
                <w:sz w:val="18"/>
                <w:szCs w:val="18"/>
                <w14:textFill>
                  <w14:solidFill>
                    <w14:schemeClr w14:val="tx1"/>
                  </w14:solidFill>
                </w14:textFill>
              </w:rPr>
            </w:pPr>
          </w:p>
        </w:tc>
        <w:tc>
          <w:tcPr>
            <w:tcW w:w="1226" w:type="dxa"/>
            <w:vMerge w:val="continue"/>
            <w:vAlign w:val="center"/>
          </w:tcPr>
          <w:p w14:paraId="1A58CF9E">
            <w:pPr>
              <w:adjustRightInd w:val="0"/>
              <w:snapToGrid w:val="0"/>
              <w:jc w:val="center"/>
              <w:rPr>
                <w:b/>
                <w:color w:val="FF0000"/>
                <w:sz w:val="18"/>
                <w:szCs w:val="18"/>
              </w:rPr>
            </w:pPr>
          </w:p>
        </w:tc>
        <w:tc>
          <w:tcPr>
            <w:tcW w:w="3516" w:type="dxa"/>
            <w:vAlign w:val="center"/>
          </w:tcPr>
          <w:p w14:paraId="52CCDB5F">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人工智能与项目管理</w:t>
            </w:r>
          </w:p>
        </w:tc>
        <w:tc>
          <w:tcPr>
            <w:tcW w:w="1081" w:type="dxa"/>
            <w:vAlign w:val="center"/>
          </w:tcPr>
          <w:p w14:paraId="35CE3603">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ZS0413</w:t>
            </w:r>
            <w:r>
              <w:rPr>
                <w:rFonts w:hint="eastAsia"/>
                <w:color w:val="000000" w:themeColor="text1"/>
                <w:sz w:val="18"/>
                <w:szCs w:val="18"/>
                <w:lang w:val="en-US" w:eastAsia="zh-CN"/>
                <w14:textFill>
                  <w14:solidFill>
                    <w14:schemeClr w14:val="tx1"/>
                  </w14:solidFill>
                </w14:textFill>
              </w:rPr>
              <w:t>116</w:t>
            </w:r>
          </w:p>
        </w:tc>
        <w:tc>
          <w:tcPr>
            <w:tcW w:w="709" w:type="dxa"/>
            <w:vAlign w:val="center"/>
          </w:tcPr>
          <w:p w14:paraId="66380EB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2A0EA45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27651CCA">
            <w:pPr>
              <w:jc w:val="center"/>
              <w:rPr>
                <w:color w:val="000000" w:themeColor="text1"/>
                <w:sz w:val="18"/>
                <w:szCs w:val="18"/>
                <w14:textFill>
                  <w14:solidFill>
                    <w14:schemeClr w14:val="tx1"/>
                  </w14:solidFill>
                </w14:textFill>
              </w:rPr>
            </w:pPr>
          </w:p>
        </w:tc>
      </w:tr>
      <w:tr w14:paraId="65F9E8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21E2F595">
            <w:pPr>
              <w:jc w:val="center"/>
              <w:rPr>
                <w:b/>
                <w:color w:val="000000" w:themeColor="text1"/>
                <w:sz w:val="18"/>
                <w:szCs w:val="18"/>
                <w14:textFill>
                  <w14:solidFill>
                    <w14:schemeClr w14:val="tx1"/>
                  </w14:solidFill>
                </w14:textFill>
              </w:rPr>
            </w:pPr>
          </w:p>
        </w:tc>
        <w:tc>
          <w:tcPr>
            <w:tcW w:w="1226" w:type="dxa"/>
            <w:vMerge w:val="continue"/>
            <w:vAlign w:val="center"/>
          </w:tcPr>
          <w:p w14:paraId="6AA78335">
            <w:pPr>
              <w:adjustRightInd w:val="0"/>
              <w:snapToGrid w:val="0"/>
              <w:jc w:val="center"/>
              <w:rPr>
                <w:b/>
                <w:color w:val="FF0000"/>
                <w:sz w:val="18"/>
                <w:szCs w:val="18"/>
              </w:rPr>
            </w:pPr>
          </w:p>
        </w:tc>
        <w:tc>
          <w:tcPr>
            <w:tcW w:w="3516" w:type="dxa"/>
            <w:vAlign w:val="center"/>
          </w:tcPr>
          <w:p w14:paraId="1EA36C71">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机器设备评估</w:t>
            </w:r>
          </w:p>
        </w:tc>
        <w:tc>
          <w:tcPr>
            <w:tcW w:w="1081" w:type="dxa"/>
            <w:vAlign w:val="center"/>
          </w:tcPr>
          <w:p w14:paraId="56BDAB9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ZS0413109</w:t>
            </w:r>
          </w:p>
        </w:tc>
        <w:tc>
          <w:tcPr>
            <w:tcW w:w="709" w:type="dxa"/>
            <w:vAlign w:val="center"/>
          </w:tcPr>
          <w:p w14:paraId="2653DFC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553D096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1D257B2F">
            <w:pPr>
              <w:jc w:val="center"/>
              <w:rPr>
                <w:color w:val="000000" w:themeColor="text1"/>
                <w:sz w:val="18"/>
                <w:szCs w:val="18"/>
                <w14:textFill>
                  <w14:solidFill>
                    <w14:schemeClr w14:val="tx1"/>
                  </w14:solidFill>
                </w14:textFill>
              </w:rPr>
            </w:pPr>
          </w:p>
        </w:tc>
      </w:tr>
      <w:tr w14:paraId="206FB9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456219B4">
            <w:pPr>
              <w:jc w:val="center"/>
              <w:rPr>
                <w:b/>
                <w:color w:val="000000" w:themeColor="text1"/>
                <w:sz w:val="18"/>
                <w:szCs w:val="18"/>
                <w14:textFill>
                  <w14:solidFill>
                    <w14:schemeClr w14:val="tx1"/>
                  </w14:solidFill>
                </w14:textFill>
              </w:rPr>
            </w:pPr>
          </w:p>
        </w:tc>
        <w:tc>
          <w:tcPr>
            <w:tcW w:w="1226" w:type="dxa"/>
            <w:vMerge w:val="continue"/>
            <w:vAlign w:val="center"/>
          </w:tcPr>
          <w:p w14:paraId="33BBA0F7">
            <w:pPr>
              <w:jc w:val="center"/>
              <w:rPr>
                <w:b/>
                <w:color w:val="000000" w:themeColor="text1"/>
                <w:sz w:val="18"/>
                <w:szCs w:val="18"/>
                <w14:textFill>
                  <w14:solidFill>
                    <w14:schemeClr w14:val="tx1"/>
                  </w14:solidFill>
                </w14:textFill>
              </w:rPr>
            </w:pPr>
          </w:p>
        </w:tc>
        <w:tc>
          <w:tcPr>
            <w:tcW w:w="3516" w:type="dxa"/>
            <w:vAlign w:val="center"/>
          </w:tcPr>
          <w:p w14:paraId="7E409929">
            <w:pPr>
              <w:rPr>
                <w:rFonts w:hint="default"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特殊类型资产评估</w:t>
            </w:r>
          </w:p>
        </w:tc>
        <w:tc>
          <w:tcPr>
            <w:tcW w:w="1081" w:type="dxa"/>
            <w:vAlign w:val="center"/>
          </w:tcPr>
          <w:p w14:paraId="6438DA7A">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ZS04131</w:t>
            </w:r>
            <w:r>
              <w:rPr>
                <w:rFonts w:hint="eastAsia"/>
                <w:color w:val="000000" w:themeColor="text1"/>
                <w:sz w:val="18"/>
                <w:szCs w:val="18"/>
                <w:lang w:val="en-US" w:eastAsia="zh-CN"/>
                <w14:textFill>
                  <w14:solidFill>
                    <w14:schemeClr w14:val="tx1"/>
                  </w14:solidFill>
                </w14:textFill>
              </w:rPr>
              <w:t>14</w:t>
            </w:r>
          </w:p>
        </w:tc>
        <w:tc>
          <w:tcPr>
            <w:tcW w:w="709" w:type="dxa"/>
            <w:vAlign w:val="center"/>
          </w:tcPr>
          <w:p w14:paraId="3DAE1D2F">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2D0829CF">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3FACFF6C">
            <w:pPr>
              <w:jc w:val="center"/>
              <w:rPr>
                <w:color w:val="000000" w:themeColor="text1"/>
                <w:sz w:val="18"/>
                <w:szCs w:val="18"/>
                <w14:textFill>
                  <w14:solidFill>
                    <w14:schemeClr w14:val="tx1"/>
                  </w14:solidFill>
                </w14:textFill>
              </w:rPr>
            </w:pPr>
          </w:p>
        </w:tc>
      </w:tr>
      <w:tr w14:paraId="7810E9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43E602BF">
            <w:pPr>
              <w:jc w:val="center"/>
            </w:pPr>
          </w:p>
        </w:tc>
        <w:tc>
          <w:tcPr>
            <w:tcW w:w="1226" w:type="dxa"/>
            <w:vMerge w:val="continue"/>
            <w:vAlign w:val="center"/>
          </w:tcPr>
          <w:p w14:paraId="5C3AAF19">
            <w:pPr>
              <w:jc w:val="center"/>
            </w:pPr>
          </w:p>
        </w:tc>
        <w:tc>
          <w:tcPr>
            <w:tcW w:w="3516" w:type="dxa"/>
            <w:vAlign w:val="center"/>
          </w:tcPr>
          <w:p w14:paraId="104D3DB4">
            <w:pP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国有资产管理</w:t>
            </w:r>
            <w:r>
              <w:rPr>
                <w:rFonts w:hint="eastAsia" w:cs="Times New Roman"/>
                <w:color w:val="000000" w:themeColor="text1"/>
                <w:sz w:val="18"/>
                <w:szCs w:val="18"/>
                <w:lang w:val="en-US" w:eastAsia="zh-CN"/>
                <w14:textFill>
                  <w14:solidFill>
                    <w14:schemeClr w14:val="tx1"/>
                  </w14:solidFill>
                </w14:textFill>
              </w:rPr>
              <w:t>与评估</w:t>
            </w:r>
          </w:p>
        </w:tc>
        <w:tc>
          <w:tcPr>
            <w:tcW w:w="1081" w:type="dxa"/>
            <w:vAlign w:val="center"/>
          </w:tcPr>
          <w:p w14:paraId="26B23F60">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ZS041311</w:t>
            </w:r>
            <w:r>
              <w:rPr>
                <w:rFonts w:hint="eastAsia" w:cs="Times New Roman"/>
                <w:color w:val="000000" w:themeColor="text1"/>
                <w:sz w:val="18"/>
                <w:szCs w:val="18"/>
                <w:lang w:val="en-US" w:eastAsia="zh-CN"/>
                <w14:textFill>
                  <w14:solidFill>
                    <w14:schemeClr w14:val="tx1"/>
                  </w14:solidFill>
                </w14:textFill>
              </w:rPr>
              <w:t>5</w:t>
            </w:r>
            <w:bookmarkStart w:id="2" w:name="_GoBack"/>
            <w:bookmarkEnd w:id="2"/>
          </w:p>
        </w:tc>
        <w:tc>
          <w:tcPr>
            <w:tcW w:w="709" w:type="dxa"/>
            <w:vAlign w:val="center"/>
          </w:tcPr>
          <w:p w14:paraId="55A17F7C">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2</w:t>
            </w:r>
          </w:p>
        </w:tc>
        <w:tc>
          <w:tcPr>
            <w:tcW w:w="709" w:type="dxa"/>
            <w:vAlign w:val="center"/>
          </w:tcPr>
          <w:p w14:paraId="3D351BB3">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w:t>
            </w:r>
          </w:p>
        </w:tc>
        <w:tc>
          <w:tcPr>
            <w:tcW w:w="1045" w:type="dxa"/>
            <w:vMerge w:val="continue"/>
            <w:vAlign w:val="center"/>
          </w:tcPr>
          <w:p w14:paraId="618498D3">
            <w:pPr>
              <w:jc w:val="center"/>
              <w:rPr>
                <w:rFonts w:hint="eastAsia"/>
                <w:color w:val="000000" w:themeColor="text1"/>
                <w:sz w:val="18"/>
                <w:szCs w:val="18"/>
                <w14:textFill>
                  <w14:solidFill>
                    <w14:schemeClr w14:val="tx1"/>
                  </w14:solidFill>
                </w14:textFill>
              </w:rPr>
            </w:pPr>
          </w:p>
        </w:tc>
      </w:tr>
      <w:tr w14:paraId="11BF84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196BF68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4329BB10">
            <w:pPr>
              <w:jc w:val="center"/>
              <w:rPr>
                <w:b/>
                <w:color w:val="000000" w:themeColor="text1"/>
                <w:sz w:val="18"/>
                <w:szCs w:val="18"/>
                <w14:textFill>
                  <w14:solidFill>
                    <w14:schemeClr w14:val="tx1"/>
                  </w14:solidFill>
                </w14:textFill>
              </w:rPr>
            </w:pPr>
          </w:p>
        </w:tc>
        <w:tc>
          <w:tcPr>
            <w:tcW w:w="1226" w:type="dxa"/>
            <w:vMerge w:val="restart"/>
            <w:vAlign w:val="center"/>
          </w:tcPr>
          <w:p w14:paraId="3732786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7D9B6BF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02BCBE91">
            <w:pPr>
              <w:jc w:val="center"/>
              <w:rPr>
                <w:color w:val="000000" w:themeColor="text1"/>
                <w:sz w:val="18"/>
                <w:szCs w:val="18"/>
                <w14:textFill>
                  <w14:solidFill>
                    <w14:schemeClr w14:val="tx1"/>
                  </w14:solidFill>
                </w14:textFill>
              </w:rPr>
            </w:pPr>
          </w:p>
        </w:tc>
        <w:tc>
          <w:tcPr>
            <w:tcW w:w="709" w:type="dxa"/>
            <w:vAlign w:val="center"/>
          </w:tcPr>
          <w:p w14:paraId="55C12FAE">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709" w:type="dxa"/>
            <w:vAlign w:val="center"/>
          </w:tcPr>
          <w:p w14:paraId="545348B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06B1E5F8">
            <w:pPr>
              <w:jc w:val="center"/>
              <w:rPr>
                <w:color w:val="000000" w:themeColor="text1"/>
                <w:sz w:val="18"/>
                <w:szCs w:val="18"/>
                <w14:textFill>
                  <w14:solidFill>
                    <w14:schemeClr w14:val="tx1"/>
                  </w14:solidFill>
                </w14:textFill>
              </w:rPr>
            </w:pPr>
            <w:r>
              <w:rPr>
                <w:rFonts w:hint="eastAsia"/>
                <w:sz w:val="18"/>
                <w:szCs w:val="18"/>
              </w:rPr>
              <w:t>-</w:t>
            </w:r>
          </w:p>
        </w:tc>
      </w:tr>
      <w:tr w14:paraId="040F77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156782B5">
            <w:pPr>
              <w:jc w:val="center"/>
              <w:rPr>
                <w:b/>
                <w:color w:val="000000" w:themeColor="text1"/>
                <w:sz w:val="18"/>
                <w:szCs w:val="18"/>
                <w14:textFill>
                  <w14:solidFill>
                    <w14:schemeClr w14:val="tx1"/>
                  </w14:solidFill>
                </w14:textFill>
              </w:rPr>
            </w:pPr>
          </w:p>
        </w:tc>
        <w:tc>
          <w:tcPr>
            <w:tcW w:w="1226" w:type="dxa"/>
            <w:vMerge w:val="continue"/>
            <w:vAlign w:val="center"/>
          </w:tcPr>
          <w:p w14:paraId="777E14B7">
            <w:pPr>
              <w:jc w:val="center"/>
              <w:rPr>
                <w:b/>
                <w:color w:val="000000" w:themeColor="text1"/>
                <w:sz w:val="18"/>
                <w:szCs w:val="18"/>
                <w14:textFill>
                  <w14:solidFill>
                    <w14:schemeClr w14:val="tx1"/>
                  </w14:solidFill>
                </w14:textFill>
              </w:rPr>
            </w:pPr>
          </w:p>
        </w:tc>
        <w:tc>
          <w:tcPr>
            <w:tcW w:w="3516" w:type="dxa"/>
            <w:vAlign w:val="center"/>
          </w:tcPr>
          <w:p w14:paraId="15228B9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学术/实践活动</w:t>
            </w:r>
            <w:r>
              <w:rPr>
                <w:rFonts w:hint="eastAsia"/>
                <w:color w:val="000000" w:themeColor="text1"/>
                <w:sz w:val="18"/>
                <w:szCs w:val="18"/>
                <w:lang w:eastAsia="zh-CN"/>
                <w14:textFill>
                  <w14:solidFill>
                    <w14:schemeClr w14:val="tx1"/>
                  </w14:solidFill>
                </w14:textFill>
              </w:rPr>
              <w:t>（</w:t>
            </w:r>
            <w:r>
              <w:rPr>
                <w:rFonts w:hint="eastAsia"/>
                <w:color w:val="000000" w:themeColor="text1"/>
                <w:sz w:val="18"/>
                <w:szCs w:val="18"/>
                <w:lang w:val="en-US" w:eastAsia="zh-CN"/>
                <w14:textFill>
                  <w14:solidFill>
                    <w14:schemeClr w14:val="tx1"/>
                  </w14:solidFill>
                </w14:textFill>
              </w:rPr>
              <w:t>含</w:t>
            </w:r>
            <w:r>
              <w:rPr>
                <w:color w:val="000000" w:themeColor="text1"/>
                <w:sz w:val="18"/>
                <w:szCs w:val="18"/>
                <w14:textFill>
                  <w14:solidFill>
                    <w14:schemeClr w14:val="tx1"/>
                  </w14:solidFill>
                </w14:textFill>
              </w:rPr>
              <w:t>竞赛活动</w:t>
            </w:r>
            <w:r>
              <w:rPr>
                <w:rFonts w:hint="eastAsia"/>
                <w:color w:val="000000" w:themeColor="text1"/>
                <w:sz w:val="18"/>
                <w:szCs w:val="18"/>
                <w:lang w:eastAsia="zh-CN"/>
                <w14:textFill>
                  <w14:solidFill>
                    <w14:schemeClr w14:val="tx1"/>
                  </w14:solidFill>
                </w14:textFill>
              </w:rPr>
              <w:t>）</w:t>
            </w:r>
          </w:p>
        </w:tc>
        <w:tc>
          <w:tcPr>
            <w:tcW w:w="1081" w:type="dxa"/>
            <w:vAlign w:val="center"/>
          </w:tcPr>
          <w:p w14:paraId="294C6E27">
            <w:pPr>
              <w:jc w:val="center"/>
              <w:rPr>
                <w:rFonts w:hint="eastAsia" w:eastAsia="宋体"/>
                <w:color w:val="000000" w:themeColor="text1"/>
                <w:sz w:val="18"/>
                <w:szCs w:val="18"/>
                <w:lang w:eastAsia="zh-CN"/>
                <w14:textFill>
                  <w14:solidFill>
                    <w14:schemeClr w14:val="tx1"/>
                  </w14:solidFill>
                </w14:textFill>
              </w:rPr>
            </w:pPr>
          </w:p>
        </w:tc>
        <w:tc>
          <w:tcPr>
            <w:tcW w:w="709" w:type="dxa"/>
            <w:vAlign w:val="center"/>
          </w:tcPr>
          <w:p w14:paraId="4124F1B3">
            <w:pPr>
              <w:jc w:val="center"/>
              <w:rPr>
                <w:rFonts w:hint="default" w:eastAsia="宋体"/>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AD9CEDF">
            <w:pPr>
              <w:jc w:val="center"/>
              <w:rPr>
                <w:color w:val="000000" w:themeColor="text1"/>
                <w:sz w:val="18"/>
                <w:szCs w:val="18"/>
                <w14:textFill>
                  <w14:solidFill>
                    <w14:schemeClr w14:val="tx1"/>
                  </w14:solidFill>
                </w14:textFill>
              </w:rPr>
            </w:pPr>
          </w:p>
        </w:tc>
        <w:tc>
          <w:tcPr>
            <w:tcW w:w="1045" w:type="dxa"/>
            <w:vMerge w:val="continue"/>
            <w:vAlign w:val="center"/>
          </w:tcPr>
          <w:p w14:paraId="745D0175">
            <w:pPr>
              <w:jc w:val="center"/>
              <w:rPr>
                <w:color w:val="000000" w:themeColor="text1"/>
                <w:sz w:val="18"/>
                <w:szCs w:val="18"/>
                <w14:textFill>
                  <w14:solidFill>
                    <w14:schemeClr w14:val="tx1"/>
                  </w14:solidFill>
                </w14:textFill>
              </w:rPr>
            </w:pPr>
          </w:p>
        </w:tc>
      </w:tr>
      <w:tr w14:paraId="5C2CB7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0BD8F56">
            <w:pPr>
              <w:rPr>
                <w:b/>
                <w:color w:val="000000" w:themeColor="text1"/>
                <w:sz w:val="18"/>
                <w:szCs w:val="18"/>
                <w14:textFill>
                  <w14:solidFill>
                    <w14:schemeClr w14:val="tx1"/>
                  </w14:solidFill>
                </w14:textFill>
              </w:rPr>
            </w:pPr>
          </w:p>
        </w:tc>
        <w:tc>
          <w:tcPr>
            <w:tcW w:w="1226" w:type="dxa"/>
            <w:vMerge w:val="restart"/>
            <w:vAlign w:val="center"/>
          </w:tcPr>
          <w:p w14:paraId="4F31BA4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2689295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07FE27CD">
            <w:pPr>
              <w:jc w:val="center"/>
              <w:rPr>
                <w:color w:val="000000" w:themeColor="text1"/>
                <w:sz w:val="18"/>
                <w:szCs w:val="18"/>
                <w14:textFill>
                  <w14:solidFill>
                    <w14:schemeClr w14:val="tx1"/>
                  </w14:solidFill>
                </w14:textFill>
              </w:rPr>
            </w:pPr>
          </w:p>
        </w:tc>
        <w:tc>
          <w:tcPr>
            <w:tcW w:w="709" w:type="dxa"/>
            <w:vAlign w:val="center"/>
          </w:tcPr>
          <w:p w14:paraId="1C71AC2C">
            <w:pPr>
              <w:jc w:val="center"/>
              <w:rPr>
                <w:color w:val="000000" w:themeColor="text1"/>
                <w:sz w:val="18"/>
                <w:szCs w:val="18"/>
                <w14:textFill>
                  <w14:solidFill>
                    <w14:schemeClr w14:val="tx1"/>
                  </w14:solidFill>
                </w14:textFill>
              </w:rPr>
            </w:pPr>
          </w:p>
        </w:tc>
        <w:tc>
          <w:tcPr>
            <w:tcW w:w="709" w:type="dxa"/>
            <w:vAlign w:val="center"/>
          </w:tcPr>
          <w:p w14:paraId="71ED549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restart"/>
            <w:vAlign w:val="center"/>
          </w:tcPr>
          <w:p w14:paraId="3D9B9C8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29D961C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62668B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0187978">
            <w:pPr>
              <w:rPr>
                <w:b/>
                <w:color w:val="000000" w:themeColor="text1"/>
                <w:sz w:val="18"/>
                <w:szCs w:val="18"/>
                <w14:textFill>
                  <w14:solidFill>
                    <w14:schemeClr w14:val="tx1"/>
                  </w14:solidFill>
                </w14:textFill>
              </w:rPr>
            </w:pPr>
          </w:p>
        </w:tc>
        <w:tc>
          <w:tcPr>
            <w:tcW w:w="1226" w:type="dxa"/>
            <w:vMerge w:val="continue"/>
            <w:vAlign w:val="center"/>
          </w:tcPr>
          <w:p w14:paraId="7E4C2DCC">
            <w:pPr>
              <w:jc w:val="center"/>
              <w:rPr>
                <w:b/>
                <w:color w:val="000000" w:themeColor="text1"/>
                <w:sz w:val="18"/>
                <w:szCs w:val="18"/>
                <w14:textFill>
                  <w14:solidFill>
                    <w14:schemeClr w14:val="tx1"/>
                  </w14:solidFill>
                </w14:textFill>
              </w:rPr>
            </w:pPr>
          </w:p>
        </w:tc>
        <w:tc>
          <w:tcPr>
            <w:tcW w:w="3516" w:type="dxa"/>
            <w:vAlign w:val="center"/>
          </w:tcPr>
          <w:p w14:paraId="3A0E829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353AABD7">
            <w:pPr>
              <w:jc w:val="center"/>
              <w:rPr>
                <w:color w:val="000000" w:themeColor="text1"/>
                <w:sz w:val="18"/>
                <w:szCs w:val="18"/>
                <w14:textFill>
                  <w14:solidFill>
                    <w14:schemeClr w14:val="tx1"/>
                  </w14:solidFill>
                </w14:textFill>
              </w:rPr>
            </w:pPr>
          </w:p>
        </w:tc>
        <w:tc>
          <w:tcPr>
            <w:tcW w:w="709" w:type="dxa"/>
            <w:vAlign w:val="center"/>
          </w:tcPr>
          <w:p w14:paraId="00F2DF33">
            <w:pPr>
              <w:jc w:val="center"/>
              <w:rPr>
                <w:color w:val="000000" w:themeColor="text1"/>
                <w:sz w:val="18"/>
                <w:szCs w:val="18"/>
                <w14:textFill>
                  <w14:solidFill>
                    <w14:schemeClr w14:val="tx1"/>
                  </w14:solidFill>
                </w14:textFill>
              </w:rPr>
            </w:pPr>
          </w:p>
        </w:tc>
        <w:tc>
          <w:tcPr>
            <w:tcW w:w="709" w:type="dxa"/>
            <w:vAlign w:val="center"/>
          </w:tcPr>
          <w:p w14:paraId="771AA709">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095222AE">
            <w:pPr>
              <w:jc w:val="center"/>
              <w:rPr>
                <w:color w:val="000000" w:themeColor="text1"/>
                <w:sz w:val="18"/>
                <w:szCs w:val="18"/>
                <w14:textFill>
                  <w14:solidFill>
                    <w14:schemeClr w14:val="tx1"/>
                  </w14:solidFill>
                </w14:textFill>
              </w:rPr>
            </w:pPr>
          </w:p>
        </w:tc>
      </w:tr>
      <w:tr w14:paraId="39E673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FAFEEDC">
            <w:pPr>
              <w:rPr>
                <w:b/>
                <w:color w:val="000000" w:themeColor="text1"/>
                <w:sz w:val="18"/>
                <w:szCs w:val="18"/>
                <w14:textFill>
                  <w14:solidFill>
                    <w14:schemeClr w14:val="tx1"/>
                  </w14:solidFill>
                </w14:textFill>
              </w:rPr>
            </w:pPr>
          </w:p>
        </w:tc>
        <w:tc>
          <w:tcPr>
            <w:tcW w:w="1226" w:type="dxa"/>
            <w:vMerge w:val="continue"/>
            <w:vAlign w:val="center"/>
          </w:tcPr>
          <w:p w14:paraId="2A1F4C20">
            <w:pPr>
              <w:jc w:val="center"/>
              <w:rPr>
                <w:b/>
                <w:color w:val="000000" w:themeColor="text1"/>
                <w:sz w:val="18"/>
                <w:szCs w:val="18"/>
                <w14:textFill>
                  <w14:solidFill>
                    <w14:schemeClr w14:val="tx1"/>
                  </w14:solidFill>
                </w14:textFill>
              </w:rPr>
            </w:pPr>
          </w:p>
        </w:tc>
        <w:tc>
          <w:tcPr>
            <w:tcW w:w="3516" w:type="dxa"/>
            <w:vAlign w:val="center"/>
          </w:tcPr>
          <w:p w14:paraId="1EB5723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论文中期进展报告</w:t>
            </w:r>
          </w:p>
        </w:tc>
        <w:tc>
          <w:tcPr>
            <w:tcW w:w="1081" w:type="dxa"/>
            <w:vAlign w:val="center"/>
          </w:tcPr>
          <w:p w14:paraId="2FB7B3D3">
            <w:pPr>
              <w:jc w:val="center"/>
              <w:rPr>
                <w:color w:val="000000" w:themeColor="text1"/>
                <w:sz w:val="18"/>
                <w:szCs w:val="18"/>
                <w14:textFill>
                  <w14:solidFill>
                    <w14:schemeClr w14:val="tx1"/>
                  </w14:solidFill>
                </w14:textFill>
              </w:rPr>
            </w:pPr>
          </w:p>
        </w:tc>
        <w:tc>
          <w:tcPr>
            <w:tcW w:w="709" w:type="dxa"/>
            <w:vAlign w:val="center"/>
          </w:tcPr>
          <w:p w14:paraId="1563E7FF">
            <w:pPr>
              <w:jc w:val="center"/>
              <w:rPr>
                <w:color w:val="000000" w:themeColor="text1"/>
                <w:sz w:val="18"/>
                <w:szCs w:val="18"/>
                <w14:textFill>
                  <w14:solidFill>
                    <w14:schemeClr w14:val="tx1"/>
                  </w14:solidFill>
                </w14:textFill>
              </w:rPr>
            </w:pPr>
          </w:p>
        </w:tc>
        <w:tc>
          <w:tcPr>
            <w:tcW w:w="709" w:type="dxa"/>
            <w:vAlign w:val="center"/>
          </w:tcPr>
          <w:p w14:paraId="0257B00E">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1045" w:type="dxa"/>
            <w:vMerge w:val="continue"/>
          </w:tcPr>
          <w:p w14:paraId="520B611A">
            <w:pPr>
              <w:jc w:val="center"/>
              <w:rPr>
                <w:color w:val="000000" w:themeColor="text1"/>
                <w:sz w:val="18"/>
                <w:szCs w:val="18"/>
                <w14:textFill>
                  <w14:solidFill>
                    <w14:schemeClr w14:val="tx1"/>
                  </w14:solidFill>
                </w14:textFill>
              </w:rPr>
            </w:pPr>
          </w:p>
        </w:tc>
      </w:tr>
      <w:tr w14:paraId="7B9D40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AA0E129">
            <w:pPr>
              <w:rPr>
                <w:b/>
                <w:color w:val="000000" w:themeColor="text1"/>
                <w:sz w:val="18"/>
                <w:szCs w:val="18"/>
                <w14:textFill>
                  <w14:solidFill>
                    <w14:schemeClr w14:val="tx1"/>
                  </w14:solidFill>
                </w14:textFill>
              </w:rPr>
            </w:pPr>
          </w:p>
        </w:tc>
        <w:tc>
          <w:tcPr>
            <w:tcW w:w="1226" w:type="dxa"/>
            <w:vMerge w:val="continue"/>
            <w:vAlign w:val="center"/>
          </w:tcPr>
          <w:p w14:paraId="053F8372">
            <w:pPr>
              <w:jc w:val="center"/>
              <w:rPr>
                <w:b/>
                <w:color w:val="000000" w:themeColor="text1"/>
                <w:sz w:val="18"/>
                <w:szCs w:val="18"/>
                <w14:textFill>
                  <w14:solidFill>
                    <w14:schemeClr w14:val="tx1"/>
                  </w14:solidFill>
                </w14:textFill>
              </w:rPr>
            </w:pPr>
          </w:p>
        </w:tc>
        <w:tc>
          <w:tcPr>
            <w:tcW w:w="3516" w:type="dxa"/>
            <w:vAlign w:val="center"/>
          </w:tcPr>
          <w:p w14:paraId="271D033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450F83E5">
            <w:pPr>
              <w:jc w:val="center"/>
              <w:rPr>
                <w:color w:val="000000" w:themeColor="text1"/>
                <w:sz w:val="18"/>
                <w:szCs w:val="18"/>
                <w14:textFill>
                  <w14:solidFill>
                    <w14:schemeClr w14:val="tx1"/>
                  </w14:solidFill>
                </w14:textFill>
              </w:rPr>
            </w:pPr>
          </w:p>
        </w:tc>
        <w:tc>
          <w:tcPr>
            <w:tcW w:w="709" w:type="dxa"/>
            <w:vAlign w:val="center"/>
          </w:tcPr>
          <w:p w14:paraId="41B23A80">
            <w:pPr>
              <w:jc w:val="center"/>
              <w:rPr>
                <w:color w:val="000000" w:themeColor="text1"/>
                <w:sz w:val="18"/>
                <w:szCs w:val="18"/>
                <w14:textFill>
                  <w14:solidFill>
                    <w14:schemeClr w14:val="tx1"/>
                  </w14:solidFill>
                </w14:textFill>
              </w:rPr>
            </w:pPr>
          </w:p>
        </w:tc>
        <w:tc>
          <w:tcPr>
            <w:tcW w:w="709" w:type="dxa"/>
            <w:vAlign w:val="center"/>
          </w:tcPr>
          <w:p w14:paraId="41C52081">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1045" w:type="dxa"/>
            <w:vMerge w:val="continue"/>
          </w:tcPr>
          <w:p w14:paraId="5212E2C0">
            <w:pPr>
              <w:jc w:val="center"/>
              <w:rPr>
                <w:color w:val="000000" w:themeColor="text1"/>
                <w:sz w:val="18"/>
                <w:szCs w:val="18"/>
                <w14:textFill>
                  <w14:solidFill>
                    <w14:schemeClr w14:val="tx1"/>
                  </w14:solidFill>
                </w14:textFill>
              </w:rPr>
            </w:pPr>
          </w:p>
        </w:tc>
      </w:tr>
      <w:tr w14:paraId="0D4541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5EA13ED">
            <w:pPr>
              <w:rPr>
                <w:color w:val="000000" w:themeColor="text1"/>
                <w:sz w:val="18"/>
                <w:szCs w:val="18"/>
                <w14:textFill>
                  <w14:solidFill>
                    <w14:schemeClr w14:val="tx1"/>
                  </w14:solidFill>
                </w14:textFill>
              </w:rPr>
            </w:pPr>
          </w:p>
        </w:tc>
        <w:tc>
          <w:tcPr>
            <w:tcW w:w="1226" w:type="dxa"/>
            <w:vMerge w:val="continue"/>
          </w:tcPr>
          <w:p w14:paraId="3240B786">
            <w:pPr>
              <w:jc w:val="center"/>
              <w:rPr>
                <w:color w:val="000000" w:themeColor="text1"/>
                <w:sz w:val="18"/>
                <w:szCs w:val="18"/>
                <w14:textFill>
                  <w14:solidFill>
                    <w14:schemeClr w14:val="tx1"/>
                  </w14:solidFill>
                </w14:textFill>
              </w:rPr>
            </w:pPr>
          </w:p>
        </w:tc>
        <w:tc>
          <w:tcPr>
            <w:tcW w:w="3516" w:type="dxa"/>
            <w:vAlign w:val="center"/>
          </w:tcPr>
          <w:p w14:paraId="109FAA5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28DA19E6">
            <w:pPr>
              <w:jc w:val="center"/>
              <w:rPr>
                <w:color w:val="000000" w:themeColor="text1"/>
                <w:sz w:val="18"/>
                <w:szCs w:val="18"/>
                <w14:textFill>
                  <w14:solidFill>
                    <w14:schemeClr w14:val="tx1"/>
                  </w14:solidFill>
                </w14:textFill>
              </w:rPr>
            </w:pPr>
          </w:p>
        </w:tc>
        <w:tc>
          <w:tcPr>
            <w:tcW w:w="709" w:type="dxa"/>
            <w:vAlign w:val="center"/>
          </w:tcPr>
          <w:p w14:paraId="0B18F91C">
            <w:pPr>
              <w:jc w:val="center"/>
              <w:rPr>
                <w:color w:val="000000" w:themeColor="text1"/>
                <w:sz w:val="18"/>
                <w:szCs w:val="18"/>
                <w14:textFill>
                  <w14:solidFill>
                    <w14:schemeClr w14:val="tx1"/>
                  </w14:solidFill>
                </w14:textFill>
              </w:rPr>
            </w:pPr>
          </w:p>
        </w:tc>
        <w:tc>
          <w:tcPr>
            <w:tcW w:w="709" w:type="dxa"/>
            <w:vAlign w:val="center"/>
          </w:tcPr>
          <w:p w14:paraId="120DA58D">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1045" w:type="dxa"/>
            <w:vMerge w:val="continue"/>
          </w:tcPr>
          <w:p w14:paraId="2DC42933">
            <w:pPr>
              <w:jc w:val="center"/>
              <w:rPr>
                <w:color w:val="000000" w:themeColor="text1"/>
                <w:sz w:val="18"/>
                <w:szCs w:val="18"/>
                <w14:textFill>
                  <w14:solidFill>
                    <w14:schemeClr w14:val="tx1"/>
                  </w14:solidFill>
                </w14:textFill>
              </w:rPr>
            </w:pPr>
          </w:p>
        </w:tc>
      </w:tr>
      <w:tr w14:paraId="7179BE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ACD2ED8">
            <w:pPr>
              <w:rPr>
                <w:color w:val="000000" w:themeColor="text1"/>
                <w:sz w:val="18"/>
                <w:szCs w:val="18"/>
                <w14:textFill>
                  <w14:solidFill>
                    <w14:schemeClr w14:val="tx1"/>
                  </w14:solidFill>
                </w14:textFill>
              </w:rPr>
            </w:pPr>
          </w:p>
        </w:tc>
        <w:tc>
          <w:tcPr>
            <w:tcW w:w="1226" w:type="dxa"/>
            <w:vMerge w:val="continue"/>
          </w:tcPr>
          <w:p w14:paraId="2A36EC73">
            <w:pPr>
              <w:jc w:val="center"/>
              <w:rPr>
                <w:color w:val="000000" w:themeColor="text1"/>
                <w:sz w:val="18"/>
                <w:szCs w:val="18"/>
                <w14:textFill>
                  <w14:solidFill>
                    <w14:schemeClr w14:val="tx1"/>
                  </w14:solidFill>
                </w14:textFill>
              </w:rPr>
            </w:pPr>
          </w:p>
        </w:tc>
        <w:tc>
          <w:tcPr>
            <w:tcW w:w="3516" w:type="dxa"/>
            <w:vAlign w:val="center"/>
          </w:tcPr>
          <w:p w14:paraId="5EC9888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3AF01E64">
            <w:pPr>
              <w:jc w:val="center"/>
              <w:rPr>
                <w:color w:val="000000" w:themeColor="text1"/>
                <w:sz w:val="18"/>
                <w:szCs w:val="18"/>
                <w14:textFill>
                  <w14:solidFill>
                    <w14:schemeClr w14:val="tx1"/>
                  </w14:solidFill>
                </w14:textFill>
              </w:rPr>
            </w:pPr>
          </w:p>
        </w:tc>
        <w:tc>
          <w:tcPr>
            <w:tcW w:w="709" w:type="dxa"/>
            <w:vAlign w:val="center"/>
          </w:tcPr>
          <w:p w14:paraId="47219FD3">
            <w:pPr>
              <w:jc w:val="center"/>
              <w:rPr>
                <w:color w:val="000000" w:themeColor="text1"/>
                <w:sz w:val="18"/>
                <w:szCs w:val="18"/>
                <w14:textFill>
                  <w14:solidFill>
                    <w14:schemeClr w14:val="tx1"/>
                  </w14:solidFill>
                </w14:textFill>
              </w:rPr>
            </w:pPr>
          </w:p>
        </w:tc>
        <w:tc>
          <w:tcPr>
            <w:tcW w:w="709" w:type="dxa"/>
            <w:vAlign w:val="center"/>
          </w:tcPr>
          <w:p w14:paraId="55B88C51">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1045" w:type="dxa"/>
            <w:vMerge w:val="continue"/>
          </w:tcPr>
          <w:p w14:paraId="609A0787">
            <w:pPr>
              <w:jc w:val="center"/>
              <w:rPr>
                <w:color w:val="000000" w:themeColor="text1"/>
                <w:sz w:val="18"/>
                <w:szCs w:val="18"/>
                <w14:textFill>
                  <w14:solidFill>
                    <w14:schemeClr w14:val="tx1"/>
                  </w14:solidFill>
                </w14:textFill>
              </w:rPr>
            </w:pPr>
          </w:p>
        </w:tc>
      </w:tr>
    </w:tbl>
    <w:p w14:paraId="4601B39C">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3F39B5E1">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69C474D">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bookmarkEnd w:id="0"/>
    <w:bookmarkEnd w:id="1"/>
    <w:p w14:paraId="4684FDB4">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Y2N2Y0MzA4ZGJmNTg3YWIyNWJkMDQ3MmVmNDdmMjYifQ=="/>
    <w:docVar w:name="KSO_WPS_MARK_KEY" w:val="7aad76fd-2b19-4278-92ff-a63f079f2703"/>
  </w:docVars>
  <w:rsids>
    <w:rsidRoot w:val="00EF013F"/>
    <w:rsid w:val="00045A08"/>
    <w:rsid w:val="00060194"/>
    <w:rsid w:val="00086A5A"/>
    <w:rsid w:val="000B311F"/>
    <w:rsid w:val="000D7525"/>
    <w:rsid w:val="000E13E7"/>
    <w:rsid w:val="000E2CA1"/>
    <w:rsid w:val="000F4146"/>
    <w:rsid w:val="000F7990"/>
    <w:rsid w:val="001122EB"/>
    <w:rsid w:val="0014508E"/>
    <w:rsid w:val="001861F3"/>
    <w:rsid w:val="0019439C"/>
    <w:rsid w:val="001A595B"/>
    <w:rsid w:val="002240E4"/>
    <w:rsid w:val="002C1C75"/>
    <w:rsid w:val="003165DE"/>
    <w:rsid w:val="0033035B"/>
    <w:rsid w:val="00341159"/>
    <w:rsid w:val="00353F19"/>
    <w:rsid w:val="0037505D"/>
    <w:rsid w:val="003D755B"/>
    <w:rsid w:val="00400A80"/>
    <w:rsid w:val="00443B56"/>
    <w:rsid w:val="00490B77"/>
    <w:rsid w:val="004A4103"/>
    <w:rsid w:val="004A6A72"/>
    <w:rsid w:val="004E587A"/>
    <w:rsid w:val="00504C9C"/>
    <w:rsid w:val="005206DE"/>
    <w:rsid w:val="00534328"/>
    <w:rsid w:val="00592D3D"/>
    <w:rsid w:val="005A6E31"/>
    <w:rsid w:val="005C0697"/>
    <w:rsid w:val="005C3768"/>
    <w:rsid w:val="005D6F47"/>
    <w:rsid w:val="00625701"/>
    <w:rsid w:val="00642639"/>
    <w:rsid w:val="00652845"/>
    <w:rsid w:val="006862E9"/>
    <w:rsid w:val="006F049A"/>
    <w:rsid w:val="00721AB6"/>
    <w:rsid w:val="007230C9"/>
    <w:rsid w:val="00757813"/>
    <w:rsid w:val="00775AA8"/>
    <w:rsid w:val="007D56AA"/>
    <w:rsid w:val="008241B2"/>
    <w:rsid w:val="00832979"/>
    <w:rsid w:val="00873E30"/>
    <w:rsid w:val="008B72AD"/>
    <w:rsid w:val="00926437"/>
    <w:rsid w:val="00927C98"/>
    <w:rsid w:val="0094236B"/>
    <w:rsid w:val="00985B25"/>
    <w:rsid w:val="009A1035"/>
    <w:rsid w:val="009B7C23"/>
    <w:rsid w:val="009F1BCE"/>
    <w:rsid w:val="00A01CAE"/>
    <w:rsid w:val="00A306F3"/>
    <w:rsid w:val="00A4310A"/>
    <w:rsid w:val="00A63D9F"/>
    <w:rsid w:val="00AC3456"/>
    <w:rsid w:val="00AC5FBA"/>
    <w:rsid w:val="00AD43CE"/>
    <w:rsid w:val="00B24EEA"/>
    <w:rsid w:val="00B30321"/>
    <w:rsid w:val="00B3376A"/>
    <w:rsid w:val="00B33CDD"/>
    <w:rsid w:val="00B4222D"/>
    <w:rsid w:val="00B60368"/>
    <w:rsid w:val="00B709C1"/>
    <w:rsid w:val="00B8097E"/>
    <w:rsid w:val="00BA080E"/>
    <w:rsid w:val="00BD707A"/>
    <w:rsid w:val="00BE4F7A"/>
    <w:rsid w:val="00C07BEC"/>
    <w:rsid w:val="00C345D7"/>
    <w:rsid w:val="00D73F31"/>
    <w:rsid w:val="00D87BC0"/>
    <w:rsid w:val="00D932CF"/>
    <w:rsid w:val="00DE061A"/>
    <w:rsid w:val="00E3345B"/>
    <w:rsid w:val="00E33EC4"/>
    <w:rsid w:val="00E47DA4"/>
    <w:rsid w:val="00E500FB"/>
    <w:rsid w:val="00E82015"/>
    <w:rsid w:val="00E85295"/>
    <w:rsid w:val="00E902B8"/>
    <w:rsid w:val="00EC60B5"/>
    <w:rsid w:val="00EF013F"/>
    <w:rsid w:val="00F24792"/>
    <w:rsid w:val="00F25BCA"/>
    <w:rsid w:val="00F52539"/>
    <w:rsid w:val="00F8624E"/>
    <w:rsid w:val="00FA2A22"/>
    <w:rsid w:val="019E4ED3"/>
    <w:rsid w:val="01B670FD"/>
    <w:rsid w:val="01FD4469"/>
    <w:rsid w:val="02110224"/>
    <w:rsid w:val="024263C4"/>
    <w:rsid w:val="02A86030"/>
    <w:rsid w:val="045022D1"/>
    <w:rsid w:val="05465FAD"/>
    <w:rsid w:val="05FE4192"/>
    <w:rsid w:val="06F15928"/>
    <w:rsid w:val="0A013BF7"/>
    <w:rsid w:val="0B2E376B"/>
    <w:rsid w:val="0C930D9B"/>
    <w:rsid w:val="0D674D12"/>
    <w:rsid w:val="0FA60EC6"/>
    <w:rsid w:val="125C0BBE"/>
    <w:rsid w:val="141B79DC"/>
    <w:rsid w:val="159E2945"/>
    <w:rsid w:val="15A84394"/>
    <w:rsid w:val="173043C7"/>
    <w:rsid w:val="17A776A1"/>
    <w:rsid w:val="19023E8D"/>
    <w:rsid w:val="1A616AC1"/>
    <w:rsid w:val="1B2E1DB1"/>
    <w:rsid w:val="1BC52F2F"/>
    <w:rsid w:val="1C527EEE"/>
    <w:rsid w:val="1C7065E0"/>
    <w:rsid w:val="1CF30371"/>
    <w:rsid w:val="1D1327C1"/>
    <w:rsid w:val="1E34544D"/>
    <w:rsid w:val="1EA261A1"/>
    <w:rsid w:val="20BD4F1E"/>
    <w:rsid w:val="21E0250F"/>
    <w:rsid w:val="2344585C"/>
    <w:rsid w:val="243811B4"/>
    <w:rsid w:val="245711E5"/>
    <w:rsid w:val="25B06DFF"/>
    <w:rsid w:val="26C04E12"/>
    <w:rsid w:val="26C64400"/>
    <w:rsid w:val="26D46B1D"/>
    <w:rsid w:val="29333212"/>
    <w:rsid w:val="294855A0"/>
    <w:rsid w:val="2A032BEA"/>
    <w:rsid w:val="2A123F9C"/>
    <w:rsid w:val="2B600314"/>
    <w:rsid w:val="2C396FCF"/>
    <w:rsid w:val="2C945F04"/>
    <w:rsid w:val="2D3C0C46"/>
    <w:rsid w:val="2D8C77AF"/>
    <w:rsid w:val="2DA66DBF"/>
    <w:rsid w:val="2F7A5329"/>
    <w:rsid w:val="311C680A"/>
    <w:rsid w:val="313905F0"/>
    <w:rsid w:val="32464086"/>
    <w:rsid w:val="327E2C3F"/>
    <w:rsid w:val="327F3BFA"/>
    <w:rsid w:val="33A31D51"/>
    <w:rsid w:val="34805AD1"/>
    <w:rsid w:val="3527432E"/>
    <w:rsid w:val="35A907F1"/>
    <w:rsid w:val="37490F27"/>
    <w:rsid w:val="38125073"/>
    <w:rsid w:val="387C7014"/>
    <w:rsid w:val="3A285C17"/>
    <w:rsid w:val="3A4934F6"/>
    <w:rsid w:val="3AB137F0"/>
    <w:rsid w:val="3BFA6BCE"/>
    <w:rsid w:val="3D1912D6"/>
    <w:rsid w:val="3D7C0B09"/>
    <w:rsid w:val="3D9531E8"/>
    <w:rsid w:val="3DC076EC"/>
    <w:rsid w:val="438C2802"/>
    <w:rsid w:val="43B835F7"/>
    <w:rsid w:val="45C06792"/>
    <w:rsid w:val="462A00B0"/>
    <w:rsid w:val="480D1FFB"/>
    <w:rsid w:val="48E32CCA"/>
    <w:rsid w:val="4C4503FB"/>
    <w:rsid w:val="4C6D441A"/>
    <w:rsid w:val="4CA478EC"/>
    <w:rsid w:val="4E1963C9"/>
    <w:rsid w:val="50BA5D8C"/>
    <w:rsid w:val="50E517A3"/>
    <w:rsid w:val="512A6844"/>
    <w:rsid w:val="52816D53"/>
    <w:rsid w:val="530878B8"/>
    <w:rsid w:val="5310681A"/>
    <w:rsid w:val="540E0FDA"/>
    <w:rsid w:val="558A1642"/>
    <w:rsid w:val="57F91F71"/>
    <w:rsid w:val="585D475E"/>
    <w:rsid w:val="590B5B1F"/>
    <w:rsid w:val="592D59EA"/>
    <w:rsid w:val="59513E7A"/>
    <w:rsid w:val="596D4A2C"/>
    <w:rsid w:val="5AF256FA"/>
    <w:rsid w:val="5AF54CD9"/>
    <w:rsid w:val="5B173B9F"/>
    <w:rsid w:val="5B9444F1"/>
    <w:rsid w:val="5BB81099"/>
    <w:rsid w:val="5C233BF6"/>
    <w:rsid w:val="5C593045"/>
    <w:rsid w:val="5C6D5F77"/>
    <w:rsid w:val="5C8C341B"/>
    <w:rsid w:val="5D37510F"/>
    <w:rsid w:val="5DF213F1"/>
    <w:rsid w:val="5EEB0F59"/>
    <w:rsid w:val="5F5B1101"/>
    <w:rsid w:val="5FEF1CF6"/>
    <w:rsid w:val="61AE069A"/>
    <w:rsid w:val="634A366B"/>
    <w:rsid w:val="639D7B4D"/>
    <w:rsid w:val="63C5459C"/>
    <w:rsid w:val="648551CE"/>
    <w:rsid w:val="651144BD"/>
    <w:rsid w:val="651D2E62"/>
    <w:rsid w:val="65D74B1E"/>
    <w:rsid w:val="6694184A"/>
    <w:rsid w:val="67DF53F4"/>
    <w:rsid w:val="68116F63"/>
    <w:rsid w:val="69B00BB8"/>
    <w:rsid w:val="6A6E111B"/>
    <w:rsid w:val="6AB73D58"/>
    <w:rsid w:val="6AE346EB"/>
    <w:rsid w:val="6B9708B1"/>
    <w:rsid w:val="6D403D17"/>
    <w:rsid w:val="6DC9627D"/>
    <w:rsid w:val="6ED80710"/>
    <w:rsid w:val="6EDA44CF"/>
    <w:rsid w:val="70911111"/>
    <w:rsid w:val="71381029"/>
    <w:rsid w:val="715B62AC"/>
    <w:rsid w:val="72D14428"/>
    <w:rsid w:val="733C129F"/>
    <w:rsid w:val="740B2C42"/>
    <w:rsid w:val="74192817"/>
    <w:rsid w:val="74B07CC7"/>
    <w:rsid w:val="74DB4C39"/>
    <w:rsid w:val="75304859"/>
    <w:rsid w:val="76595A9C"/>
    <w:rsid w:val="77764653"/>
    <w:rsid w:val="795409C4"/>
    <w:rsid w:val="7B5C2F3D"/>
    <w:rsid w:val="7C4A67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页眉 字符"/>
    <w:basedOn w:val="5"/>
    <w:link w:val="3"/>
    <w:qFormat/>
    <w:uiPriority w:val="0"/>
    <w:rPr>
      <w:rFonts w:ascii="Times New Roman" w:hAnsi="Times New Roman" w:eastAsia="宋体" w:cs="Times New Roman"/>
      <w:kern w:val="2"/>
      <w:sz w:val="18"/>
      <w:szCs w:val="18"/>
    </w:rPr>
  </w:style>
  <w:style w:type="character" w:customStyle="1" w:styleId="8">
    <w:name w:val="页脚 字符"/>
    <w:basedOn w:val="5"/>
    <w:link w:val="2"/>
    <w:qFormat/>
    <w:uiPriority w:val="0"/>
    <w:rPr>
      <w:rFonts w:ascii="Times New Roman" w:hAnsi="Times New Roman" w:eastAsia="宋体" w:cs="Times New Roman"/>
      <w:kern w:val="2"/>
      <w:sz w:val="18"/>
      <w:szCs w:val="18"/>
    </w:rPr>
  </w:style>
  <w:style w:type="character" w:customStyle="1" w:styleId="9">
    <w:name w:val="lb"/>
    <w:basedOn w:val="5"/>
    <w:qFormat/>
    <w:uiPriority w:val="0"/>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4607</Words>
  <Characters>4948</Characters>
  <Lines>299</Lines>
  <Paragraphs>311</Paragraphs>
  <TotalTime>5</TotalTime>
  <ScaleCrop>false</ScaleCrop>
  <LinksUpToDate>false</LinksUpToDate>
  <CharactersWithSpaces>4957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2025-04-01T11:21:00Z</dcterms:created>
  <dc:creator>HUAWEI</dc:creator>
  <cp:lastModifiedBy>送送</cp:lastModifiedBy>
  <dcterms:modified xsi:type="dcterms:W3CDTF">2025-07-10T07:50:30Z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D969D57C8BEC4967A04A8855B393C78A</vt:lpwstr>
  </property>
  <property fmtid="{D5CDD505-2E9C-101B-9397-08002B2CF9AE}" pid="4" name="KSOTemplateDocerSaveRecord">
    <vt:lpwstr>eyJoZGlkIjoiNDVlZmQyZjg4MzI5NTBhYmIyZWMxYjk4MzMyMTIwYWMiLCJ1c2VySWQiOiI0MzA0MzQzNjkifQ==</vt:lpwstr>
  </property>
</Properties>
</file>