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C2F9D">
      <w:pPr>
        <w:ind w:left="321" w:leftChars="153" w:right="227"/>
        <w:jc w:val="center"/>
        <w:rPr>
          <w:rFonts w:eastAsia="黑体"/>
          <w:b/>
          <w:bCs/>
          <w:color w:val="000000" w:themeColor="text1"/>
          <w:sz w:val="36"/>
          <w:szCs w:val="36"/>
          <w14:textFill>
            <w14:solidFill>
              <w14:schemeClr w14:val="tx1"/>
            </w14:solidFill>
          </w14:textFill>
        </w:rPr>
      </w:pPr>
      <w:bookmarkStart w:id="0" w:name="OLE_LINK11"/>
      <w:r>
        <w:rPr>
          <w:rFonts w:hint="eastAsia" w:eastAsia="黑体"/>
          <w:b/>
          <w:bCs/>
          <w:color w:val="000000" w:themeColor="text1"/>
          <w:sz w:val="36"/>
          <w:szCs w:val="36"/>
          <w14:textFill>
            <w14:solidFill>
              <w14:schemeClr w14:val="tx1"/>
            </w14:solidFill>
          </w14:textFill>
        </w:rPr>
        <w:t>财政学</w:t>
      </w:r>
      <w:r>
        <w:rPr>
          <w:rFonts w:eastAsia="黑体"/>
          <w:b/>
          <w:bCs/>
          <w:color w:val="000000" w:themeColor="text1"/>
          <w:sz w:val="36"/>
          <w:szCs w:val="36"/>
          <w14:textFill>
            <w14:solidFill>
              <w14:schemeClr w14:val="tx1"/>
            </w14:solidFill>
          </w14:textFill>
        </w:rPr>
        <w:t>专业学术学位硕士研究生培养方案</w:t>
      </w:r>
      <w:bookmarkEnd w:id="0"/>
    </w:p>
    <w:p w14:paraId="041B82A4">
      <w:pPr>
        <w:ind w:left="321" w:leftChars="153" w:right="227"/>
        <w:jc w:val="center"/>
        <w:rPr>
          <w:rFonts w:eastAsia="黑体"/>
          <w:b/>
          <w:bCs/>
          <w:color w:val="000000" w:themeColor="text1"/>
          <w:sz w:val="28"/>
          <w:szCs w:val="28"/>
          <w14:textFill>
            <w14:solidFill>
              <w14:schemeClr w14:val="tx1"/>
            </w14:solidFill>
          </w14:textFill>
        </w:rPr>
      </w:pPr>
      <w:r>
        <w:rPr>
          <w:rFonts w:eastAsia="黑体"/>
          <w:b/>
          <w:bCs/>
          <w:color w:val="000000" w:themeColor="text1"/>
          <w:sz w:val="28"/>
          <w:szCs w:val="28"/>
          <w14:textFill>
            <w14:solidFill>
              <w14:schemeClr w14:val="tx1"/>
            </w14:solidFill>
          </w14:textFill>
        </w:rPr>
        <w:t>（</w:t>
      </w:r>
      <w:r>
        <w:rPr>
          <w:rFonts w:hint="eastAsia" w:eastAsia="黑体"/>
          <w:b/>
          <w:bCs/>
          <w:color w:val="000000" w:themeColor="text1"/>
          <w:sz w:val="28"/>
          <w:szCs w:val="28"/>
          <w14:textFill>
            <w14:solidFill>
              <w14:schemeClr w14:val="tx1"/>
            </w14:solidFill>
          </w14:textFill>
        </w:rPr>
        <w:t>管理</w:t>
      </w:r>
      <w:r>
        <w:rPr>
          <w:rFonts w:eastAsia="黑体"/>
          <w:b/>
          <w:bCs/>
          <w:color w:val="000000" w:themeColor="text1"/>
          <w:sz w:val="28"/>
          <w:szCs w:val="28"/>
          <w14:textFill>
            <w14:solidFill>
              <w14:schemeClr w14:val="tx1"/>
            </w14:solidFill>
          </w14:textFill>
        </w:rPr>
        <w:t>学院)</w:t>
      </w:r>
    </w:p>
    <w:p w14:paraId="4AFF378C">
      <w:pPr>
        <w:spacing w:line="360" w:lineRule="auto"/>
        <w:ind w:firstLine="56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一、专业名称、代码</w:t>
      </w:r>
    </w:p>
    <w:p w14:paraId="3C02E0A2">
      <w:pPr>
        <w:widowControl/>
        <w:spacing w:line="360" w:lineRule="auto"/>
        <w:ind w:firstLine="960" w:firstLineChars="400"/>
        <w:jc w:val="left"/>
        <w:rPr>
          <w:color w:val="000000" w:themeColor="text1"/>
          <w:kern w:val="0"/>
          <w:sz w:val="18"/>
          <w:szCs w:val="18"/>
          <w14:textFill>
            <w14:solidFill>
              <w14:schemeClr w14:val="tx1"/>
            </w14:solidFill>
          </w14:textFill>
        </w:rPr>
      </w:pPr>
      <w:r>
        <w:rPr>
          <w:color w:val="000000" w:themeColor="text1"/>
          <w:kern w:val="0"/>
          <w:sz w:val="24"/>
          <w14:textFill>
            <w14:solidFill>
              <w14:schemeClr w14:val="tx1"/>
            </w14:solidFill>
          </w14:textFill>
        </w:rPr>
        <w:t>专业名称：</w:t>
      </w:r>
      <w:r>
        <w:rPr>
          <w:rFonts w:hint="eastAsia"/>
          <w:color w:val="000000" w:themeColor="text1"/>
          <w:kern w:val="0"/>
          <w:sz w:val="24"/>
          <w14:textFill>
            <w14:solidFill>
              <w14:schemeClr w14:val="tx1"/>
            </w14:solidFill>
          </w14:textFill>
        </w:rPr>
        <w:t>财政学</w:t>
      </w:r>
    </w:p>
    <w:p w14:paraId="55707A78">
      <w:pPr>
        <w:widowControl/>
        <w:spacing w:line="360" w:lineRule="auto"/>
        <w:ind w:firstLine="960" w:firstLineChars="400"/>
        <w:jc w:val="left"/>
        <w:rPr>
          <w:color w:val="000000" w:themeColor="text1"/>
          <w:kern w:val="0"/>
          <w:sz w:val="18"/>
          <w:szCs w:val="18"/>
          <w14:textFill>
            <w14:solidFill>
              <w14:schemeClr w14:val="tx1"/>
            </w14:solidFill>
          </w14:textFill>
        </w:rPr>
      </w:pPr>
      <w:r>
        <w:rPr>
          <w:color w:val="000000" w:themeColor="text1"/>
          <w:kern w:val="0"/>
          <w:sz w:val="24"/>
          <w14:textFill>
            <w14:solidFill>
              <w14:schemeClr w14:val="tx1"/>
            </w14:solidFill>
          </w14:textFill>
        </w:rPr>
        <w:t>专业代码：020203</w:t>
      </w:r>
    </w:p>
    <w:p w14:paraId="571742B5">
      <w:pPr>
        <w:spacing w:line="360" w:lineRule="auto"/>
        <w:ind w:firstLine="560" w:firstLineChars="200"/>
        <w:rPr>
          <w:rFonts w:eastAsia="黑体"/>
          <w:bCs/>
          <w:i/>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二、专业简介</w:t>
      </w:r>
    </w:p>
    <w:p w14:paraId="1E8179A7">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财政学硕士学位点2007年开始招生。学科设立以来，始终坚持思政融通、科教融汇、学科融合的发展思路，聚焦学科发展前沿和国家重大战略发展需求，不断拓宽专业发展和人才培养的空间。基于财政学专业综合改革试点、财政学本科一流专业和财政学国家级教学团队等良好的发展基础，聚焦科学研究和社会服务方向，在财政政策评价与完善、直接税体系建设与税制结构优化等领域积累了丰富研究成果和咨政报告，形成广泛社会影响。同时，依托河北省人文社会科学重点研究基地——政府管理与公共政策研究中心、共同富裕研究中心等科研平台加强资源保障能力，有效融合社会实践、学科竞赛等培养环节，构建起科学、系统的高层次复合型人才培养体系。</w:t>
      </w:r>
    </w:p>
    <w:p w14:paraId="320F063B">
      <w:pPr>
        <w:spacing w:after="156" w:afterLines="50"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三、研究方向</w:t>
      </w:r>
    </w:p>
    <w:p w14:paraId="2A3F4B92">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综合考虑学科自身特点和优势，把握本学科专业的发展趋势，在研究方向设置上密切关注了国家和地方经济建设、科技进步、社会发展中具有重大或深远意义的领域，设置了两个相互联系的研究方向，即：财政理论与政策、税收理论与制度。</w:t>
      </w:r>
    </w:p>
    <w:p w14:paraId="5942F72E">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1.财政理论与政策</w:t>
      </w:r>
    </w:p>
    <w:p w14:paraId="79118310">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研究方向以经济学、管理学、政治学等理论为基础，重点研究财政收支、预算管理、财政政策、财政管理等内容，突出财政学科理论性和应用性的深度融合。本研究方向要求学生熟悉财政学理论与相关政策，把握财政学发展的前沿，注重理论研究和实际工作的相互结合，致力于培养熟练掌握财政学基本理论与相关政策，具有宏观科研视角，能够适应我国治理体系和治理能力现代化建设需要的财政学高级人才。</w:t>
      </w:r>
    </w:p>
    <w:p w14:paraId="2FDDF779">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2.税收理论与制度</w:t>
      </w:r>
    </w:p>
    <w:p w14:paraId="716B9DC4">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本研究方向重点研究税收基本理论与实务、税收管理理论与实务、税收筹划基本方法与实践、以及国际税收理论与实务等。要求学生熟悉税收基本理论，熟练掌握税收、会计、财务管理等相关操作技能，注重学以致用，突出专业理论在实践中的应用，致力于培养熟练掌握税收基本理论与制度，熟悉税收改革思路和发展趋势，能够适应国内外复杂的税收征纳实践的复合型应用人才。</w:t>
      </w:r>
    </w:p>
    <w:p w14:paraId="052B63A3">
      <w:pPr>
        <w:spacing w:after="156" w:afterLines="50"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四、学制及学习年限</w:t>
      </w:r>
    </w:p>
    <w:p w14:paraId="6C9A1CB5">
      <w:pPr>
        <w:spacing w:line="360" w:lineRule="auto"/>
        <w:ind w:firstLine="480" w:firstLineChars="200"/>
        <w:rPr>
          <w:rFonts w:eastAsiaTheme="minorEastAsia"/>
          <w:i/>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本专业学制为3年，在校最长学习年限（含休学）不超过6年。</w:t>
      </w:r>
    </w:p>
    <w:p w14:paraId="6F4C4A4E">
      <w:pPr>
        <w:spacing w:after="156" w:afterLines="50"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五、培养目标</w:t>
      </w:r>
    </w:p>
    <w:p w14:paraId="160F12BF">
      <w:pPr>
        <w:adjustRightInd w:val="0"/>
        <w:spacing w:line="360" w:lineRule="auto"/>
        <w:ind w:firstLine="48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全面贯彻落实党的教育方针，培养适应新时代国家治理及中国特色社会主义现代化建设需要的，具有良好的思想政治品质和职业道德素养，系统掌握财政学科理论、政策和方法，具有创新意识和创新能力，具备一定数字素养与国际视野，能够在各级政府财税部门、经济管理部门、事业单位、金融机构和企业以及非营利性组织从事公共经济分析、财政税务管理、国有资产管理、财务管理等工作的高层次复合型专业人才。具体要求包括：</w:t>
      </w:r>
    </w:p>
    <w:p w14:paraId="1CBD0A40">
      <w:pPr>
        <w:adjustRightInd w:val="0"/>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1.</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树立正确的中国特色社会主义核心价值观，具有坚定的理想信念</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高尚的道德情操</w:t>
      </w:r>
      <w:r>
        <w:rPr>
          <w:rFonts w:hint="eastAsia" w:eastAsiaTheme="minorEastAsia"/>
          <w:color w:val="000000" w:themeColor="text1"/>
          <w:sz w:val="24"/>
          <w14:textFill>
            <w14:solidFill>
              <w14:schemeClr w14:val="tx1"/>
            </w14:solidFill>
          </w14:textFill>
        </w:rPr>
        <w:t>、</w:t>
      </w:r>
      <w:r>
        <w:rPr>
          <w:rFonts w:eastAsiaTheme="minorEastAsia"/>
          <w:color w:val="000000" w:themeColor="text1"/>
          <w:sz w:val="24"/>
          <w14:textFill>
            <w14:solidFill>
              <w14:schemeClr w14:val="tx1"/>
            </w14:solidFill>
          </w14:textFill>
        </w:rPr>
        <w:t>优良的学术作风</w:t>
      </w:r>
      <w:r>
        <w:rPr>
          <w:rFonts w:hint="eastAsia" w:eastAsiaTheme="minorEastAsia"/>
          <w:color w:val="000000" w:themeColor="text1"/>
          <w:sz w:val="24"/>
          <w14:textFill>
            <w14:solidFill>
              <w14:schemeClr w14:val="tx1"/>
            </w14:solidFill>
          </w14:textFill>
        </w:rPr>
        <w:t>和</w:t>
      </w:r>
      <w:r>
        <w:rPr>
          <w:rFonts w:eastAsiaTheme="minorEastAsia"/>
          <w:color w:val="000000" w:themeColor="text1"/>
          <w:sz w:val="24"/>
          <w14:textFill>
            <w14:solidFill>
              <w14:schemeClr w14:val="tx1"/>
            </w14:solidFill>
          </w14:textFill>
        </w:rPr>
        <w:t>高度的社会责任感。</w:t>
      </w:r>
    </w:p>
    <w:p w14:paraId="7CF9A2D6">
      <w:pPr>
        <w:adjustRightInd w:val="0"/>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2.</w:t>
      </w:r>
      <w:r>
        <w:rPr>
          <w:rFonts w:hint="eastAsia" w:eastAsiaTheme="minorEastAsia"/>
          <w:color w:val="000000" w:themeColor="text1"/>
          <w:sz w:val="24"/>
          <w14:textFill>
            <w14:solidFill>
              <w14:schemeClr w14:val="tx1"/>
            </w14:solidFill>
          </w14:textFill>
        </w:rPr>
        <w:t xml:space="preserve"> 具有宽厚扎实的经济、财税理论，熟悉学科前沿理论和发展动态，</w:t>
      </w:r>
      <w:r>
        <w:rPr>
          <w:rFonts w:eastAsiaTheme="minorEastAsia"/>
          <w:color w:val="000000" w:themeColor="text1"/>
          <w:sz w:val="24"/>
          <w14:textFill>
            <w14:solidFill>
              <w14:schemeClr w14:val="tx1"/>
            </w14:solidFill>
          </w14:textFill>
        </w:rPr>
        <w:t>具有独立从事</w:t>
      </w:r>
      <w:r>
        <w:rPr>
          <w:rFonts w:hint="eastAsia" w:eastAsiaTheme="minorEastAsia"/>
          <w:color w:val="000000" w:themeColor="text1"/>
          <w:sz w:val="24"/>
          <w14:textFill>
            <w14:solidFill>
              <w14:schemeClr w14:val="tx1"/>
            </w14:solidFill>
          </w14:textFill>
        </w:rPr>
        <w:t>本学科理论</w:t>
      </w:r>
      <w:r>
        <w:rPr>
          <w:rFonts w:eastAsiaTheme="minorEastAsia"/>
          <w:color w:val="000000" w:themeColor="text1"/>
          <w:sz w:val="24"/>
          <w14:textFill>
            <w14:solidFill>
              <w14:schemeClr w14:val="tx1"/>
            </w14:solidFill>
          </w14:textFill>
        </w:rPr>
        <w:t>研究和解决实际问题的能力</w:t>
      </w:r>
      <w:r>
        <w:rPr>
          <w:rFonts w:hint="eastAsia" w:eastAsiaTheme="minorEastAsia"/>
          <w:color w:val="000000" w:themeColor="text1"/>
          <w:sz w:val="24"/>
          <w14:textFill>
            <w14:solidFill>
              <w14:schemeClr w14:val="tx1"/>
            </w14:solidFill>
          </w14:textFill>
        </w:rPr>
        <w:t>，能够灵活运用现代财税理论和实证分析方法解决经济社会发展中的实践问题。</w:t>
      </w:r>
    </w:p>
    <w:p w14:paraId="5876C875">
      <w:pPr>
        <w:adjustRightInd w:val="0"/>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w:t>
      </w:r>
      <w:r>
        <w:rPr>
          <w:rFonts w:hint="eastAsia" w:eastAsiaTheme="minorEastAsia"/>
          <w:color w:val="000000" w:themeColor="text1"/>
          <w:sz w:val="24"/>
          <w14:textFill>
            <w14:solidFill>
              <w14:schemeClr w14:val="tx1"/>
            </w14:solidFill>
          </w14:textFill>
        </w:rPr>
        <w:t xml:space="preserve"> </w:t>
      </w:r>
      <w:r>
        <w:rPr>
          <w:rFonts w:eastAsiaTheme="minorEastAsia"/>
          <w:color w:val="000000" w:themeColor="text1"/>
          <w:sz w:val="24"/>
          <w14:textFill>
            <w14:solidFill>
              <w14:schemeClr w14:val="tx1"/>
            </w14:solidFill>
          </w14:textFill>
        </w:rPr>
        <w:t>掌握</w:t>
      </w:r>
      <w:r>
        <w:rPr>
          <w:rFonts w:hint="eastAsia" w:eastAsiaTheme="minorEastAsia"/>
          <w:color w:val="000000" w:themeColor="text1"/>
          <w:sz w:val="24"/>
          <w14:textFill>
            <w14:solidFill>
              <w14:schemeClr w14:val="tx1"/>
            </w14:solidFill>
          </w14:textFill>
        </w:rPr>
        <w:t>一门外国语</w:t>
      </w:r>
      <w:r>
        <w:rPr>
          <w:rFonts w:eastAsiaTheme="minorEastAsia"/>
          <w:color w:val="000000" w:themeColor="text1"/>
          <w:sz w:val="24"/>
          <w14:textFill>
            <w14:solidFill>
              <w14:schemeClr w14:val="tx1"/>
            </w14:solidFill>
          </w14:textFill>
        </w:rPr>
        <w:t>，能熟练阅读</w:t>
      </w:r>
      <w:r>
        <w:rPr>
          <w:rFonts w:hint="eastAsia" w:eastAsiaTheme="minorEastAsia"/>
          <w:color w:val="000000" w:themeColor="text1"/>
          <w:sz w:val="24"/>
          <w14:textFill>
            <w14:solidFill>
              <w14:schemeClr w14:val="tx1"/>
            </w14:solidFill>
          </w14:textFill>
        </w:rPr>
        <w:t>和翻译</w:t>
      </w:r>
      <w:r>
        <w:rPr>
          <w:rFonts w:eastAsiaTheme="minorEastAsia"/>
          <w:color w:val="000000" w:themeColor="text1"/>
          <w:sz w:val="24"/>
          <w14:textFill>
            <w14:solidFill>
              <w14:schemeClr w14:val="tx1"/>
            </w14:solidFill>
          </w14:textFill>
        </w:rPr>
        <w:t>本专业的</w:t>
      </w:r>
      <w:r>
        <w:rPr>
          <w:rFonts w:hint="eastAsia" w:eastAsiaTheme="minorEastAsia"/>
          <w:color w:val="000000" w:themeColor="text1"/>
          <w:sz w:val="24"/>
          <w14:textFill>
            <w14:solidFill>
              <w14:schemeClr w14:val="tx1"/>
            </w14:solidFill>
          </w14:textFill>
        </w:rPr>
        <w:t>外文</w:t>
      </w:r>
      <w:r>
        <w:rPr>
          <w:rFonts w:eastAsiaTheme="minorEastAsia"/>
          <w:color w:val="000000" w:themeColor="text1"/>
          <w:sz w:val="24"/>
          <w14:textFill>
            <w14:solidFill>
              <w14:schemeClr w14:val="tx1"/>
            </w14:solidFill>
          </w14:textFill>
        </w:rPr>
        <w:t>资料，具</w:t>
      </w:r>
      <w:r>
        <w:rPr>
          <w:rFonts w:hint="eastAsia" w:eastAsiaTheme="minorEastAsia"/>
          <w:color w:val="000000" w:themeColor="text1"/>
          <w:sz w:val="24"/>
          <w14:textFill>
            <w14:solidFill>
              <w14:schemeClr w14:val="tx1"/>
            </w14:solidFill>
          </w14:textFill>
        </w:rPr>
        <w:t>备</w:t>
      </w:r>
      <w:r>
        <w:rPr>
          <w:rFonts w:eastAsiaTheme="minorEastAsia"/>
          <w:color w:val="000000" w:themeColor="text1"/>
          <w:sz w:val="24"/>
          <w14:textFill>
            <w14:solidFill>
              <w14:schemeClr w14:val="tx1"/>
            </w14:solidFill>
          </w14:textFill>
        </w:rPr>
        <w:t>撰写学术论文和</w:t>
      </w:r>
      <w:r>
        <w:rPr>
          <w:rFonts w:hint="eastAsia" w:eastAsiaTheme="minorEastAsia"/>
          <w:color w:val="000000" w:themeColor="text1"/>
          <w:sz w:val="24"/>
          <w14:textFill>
            <w14:solidFill>
              <w14:schemeClr w14:val="tx1"/>
            </w14:solidFill>
          </w14:textFill>
        </w:rPr>
        <w:t>一定</w:t>
      </w:r>
      <w:r>
        <w:rPr>
          <w:rFonts w:eastAsiaTheme="minorEastAsia"/>
          <w:color w:val="000000" w:themeColor="text1"/>
          <w:sz w:val="24"/>
          <w14:textFill>
            <w14:solidFill>
              <w14:schemeClr w14:val="tx1"/>
            </w14:solidFill>
          </w14:textFill>
        </w:rPr>
        <w:t>国际学术交流的能力。</w:t>
      </w:r>
    </w:p>
    <w:p w14:paraId="5FF50ADE">
      <w:pPr>
        <w:adjustRightInd w:val="0"/>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4.</w:t>
      </w:r>
      <w:r>
        <w:rPr>
          <w:color w:val="000000" w:themeColor="text1"/>
          <w:sz w:val="24"/>
          <w14:textFill>
            <w14:solidFill>
              <w14:schemeClr w14:val="tx1"/>
            </w14:solidFill>
          </w14:textFill>
        </w:rPr>
        <w:t>具有独立思考、善于表达新思想的科学</w:t>
      </w:r>
      <w:r>
        <w:rPr>
          <w:rFonts w:hint="eastAsia"/>
          <w:color w:val="000000" w:themeColor="text1"/>
          <w:sz w:val="24"/>
          <w14:textFill>
            <w14:solidFill>
              <w14:schemeClr w14:val="tx1"/>
            </w14:solidFill>
          </w14:textFill>
        </w:rPr>
        <w:t>态度以及</w:t>
      </w:r>
      <w:r>
        <w:rPr>
          <w:rFonts w:eastAsiaTheme="minorEastAsia"/>
          <w:color w:val="000000" w:themeColor="text1"/>
          <w:sz w:val="24"/>
          <w14:textFill>
            <w14:solidFill>
              <w14:schemeClr w14:val="tx1"/>
            </w14:solidFill>
          </w14:textFill>
        </w:rPr>
        <w:t>良好的团队意识和团队合作精神。</w:t>
      </w:r>
    </w:p>
    <w:p w14:paraId="56AEC2BC">
      <w:pPr>
        <w:adjustRightInd w:val="0"/>
        <w:spacing w:line="360" w:lineRule="auto"/>
        <w:ind w:firstLine="48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5.</w:t>
      </w:r>
      <w:r>
        <w:rPr>
          <w:rFonts w:hint="eastAsia" w:asciiTheme="majorEastAsia" w:hAnsiTheme="majorEastAsia" w:eastAsiaTheme="majorEastAsia" w:cstheme="majorEastAsia"/>
          <w:iCs/>
          <w:color w:val="000000" w:themeColor="text1"/>
          <w:sz w:val="24"/>
          <w14:textFill>
            <w14:solidFill>
              <w14:schemeClr w14:val="tx1"/>
            </w14:solidFill>
          </w14:textFill>
        </w:rPr>
        <w:t>培养德智体美劳全面发展的社会主义事业接班人，拥有健康的体魄</w:t>
      </w:r>
      <w:r>
        <w:rPr>
          <w:rFonts w:eastAsiaTheme="minorEastAsia"/>
          <w:color w:val="000000" w:themeColor="text1"/>
          <w:sz w:val="24"/>
          <w14:textFill>
            <w14:solidFill>
              <w14:schemeClr w14:val="tx1"/>
            </w14:solidFill>
          </w14:textFill>
        </w:rPr>
        <w:t>和良好的心理素质</w:t>
      </w:r>
      <w:r>
        <w:rPr>
          <w:rFonts w:hint="eastAsia" w:ascii="宋体" w:hAnsi="宋体"/>
          <w:color w:val="000000" w:themeColor="text1"/>
          <w:sz w:val="24"/>
          <w14:textFill>
            <w14:solidFill>
              <w14:schemeClr w14:val="tx1"/>
            </w14:solidFill>
          </w14:textFill>
        </w:rPr>
        <w:t>，适应研究生学习需要与未来岗位的需要。</w:t>
      </w:r>
    </w:p>
    <w:p w14:paraId="102C2B39">
      <w:pPr>
        <w:spacing w:after="156" w:afterLines="50"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六、培养方式</w:t>
      </w:r>
    </w:p>
    <w:p w14:paraId="79A7CAB2">
      <w:pPr>
        <w:spacing w:line="360" w:lineRule="auto"/>
        <w:ind w:firstLine="480" w:firstLineChars="200"/>
        <w:rPr>
          <w:rFonts w:eastAsiaTheme="minorEastAsia"/>
          <w:bCs/>
          <w:iCs/>
          <w:color w:val="000000" w:themeColor="text1"/>
          <w:sz w:val="24"/>
          <w14:textFill>
            <w14:solidFill>
              <w14:schemeClr w14:val="tx1"/>
            </w14:solidFill>
          </w14:textFill>
        </w:rPr>
      </w:pPr>
      <w:r>
        <w:rPr>
          <w:rFonts w:hint="eastAsia" w:eastAsiaTheme="minorEastAsia"/>
          <w:bCs/>
          <w:iCs/>
          <w:color w:val="000000" w:themeColor="text1"/>
          <w:sz w:val="24"/>
          <w14:textFill>
            <w14:solidFill>
              <w14:schemeClr w14:val="tx1"/>
            </w14:solidFill>
          </w14:textFill>
        </w:rPr>
        <w:t>1.实行全日制培养方式。</w:t>
      </w:r>
    </w:p>
    <w:p w14:paraId="0982D1B9">
      <w:pPr>
        <w:spacing w:line="360" w:lineRule="auto"/>
        <w:ind w:firstLine="480" w:firstLineChars="200"/>
        <w:rPr>
          <w:rFonts w:hint="eastAsia" w:asciiTheme="minorEastAsia" w:hAnsiTheme="minorEastAsia" w:eastAsiaTheme="minorEastAsia"/>
          <w:bCs/>
          <w:iCs/>
          <w:color w:val="000000" w:themeColor="text1"/>
          <w:sz w:val="24"/>
          <w14:textFill>
            <w14:solidFill>
              <w14:schemeClr w14:val="tx1"/>
            </w14:solidFill>
          </w14:textFill>
        </w:rPr>
      </w:pPr>
      <w:r>
        <w:rPr>
          <w:rFonts w:hint="eastAsia" w:eastAsiaTheme="minorEastAsia"/>
          <w:bCs/>
          <w:iCs/>
          <w:color w:val="000000" w:themeColor="text1"/>
          <w:sz w:val="24"/>
          <w14:textFill>
            <w14:solidFill>
              <w14:schemeClr w14:val="tx1"/>
            </w14:solidFill>
          </w14:textFill>
        </w:rPr>
        <w:t>2</w:t>
      </w:r>
      <w:r>
        <w:rPr>
          <w:rFonts w:eastAsiaTheme="minorEastAsia"/>
          <w:bCs/>
          <w:iCs/>
          <w:color w:val="000000" w:themeColor="text1"/>
          <w:sz w:val="24"/>
          <w14:textFill>
            <w14:solidFill>
              <w14:schemeClr w14:val="tx1"/>
            </w14:solidFill>
          </w14:textFill>
        </w:rPr>
        <w:t>.实</w:t>
      </w:r>
      <w:r>
        <w:rPr>
          <w:rFonts w:hint="eastAsia" w:asciiTheme="minorEastAsia" w:hAnsiTheme="minorEastAsia" w:eastAsiaTheme="minorEastAsia"/>
          <w:bCs/>
          <w:iCs/>
          <w:color w:val="000000" w:themeColor="text1"/>
          <w:sz w:val="24"/>
          <w14:textFill>
            <w14:solidFill>
              <w14:schemeClr w14:val="tx1"/>
            </w14:solidFill>
          </w14:textFill>
        </w:rPr>
        <w:t>行导师个性化指导与导师组联合培养相结合的培养方式。研究生培养过程中，在落实导师负责制的基础上，实施导师组集体指导、联合培养方式，培养清晰专业认知，拓宽专业知识空间，提升学科综合能力。</w:t>
      </w:r>
    </w:p>
    <w:p w14:paraId="29A9B761">
      <w:pPr>
        <w:spacing w:line="360" w:lineRule="auto"/>
        <w:ind w:firstLine="480" w:firstLineChars="200"/>
        <w:rPr>
          <w:rFonts w:hint="eastAsia" w:asciiTheme="majorEastAsia" w:hAnsiTheme="majorEastAsia" w:eastAsiaTheme="majorEastAsia"/>
          <w:bCs/>
          <w:iCs/>
          <w:color w:val="000000" w:themeColor="text1"/>
          <w:sz w:val="24"/>
          <w14:textFill>
            <w14:solidFill>
              <w14:schemeClr w14:val="tx1"/>
            </w14:solidFill>
          </w14:textFill>
        </w:rPr>
      </w:pPr>
      <w:r>
        <w:rPr>
          <w:rFonts w:hint="eastAsia" w:eastAsiaTheme="minorEastAsia"/>
          <w:bCs/>
          <w:iCs/>
          <w:color w:val="000000" w:themeColor="text1"/>
          <w:sz w:val="24"/>
          <w14:textFill>
            <w14:solidFill>
              <w14:schemeClr w14:val="tx1"/>
            </w14:solidFill>
          </w14:textFill>
        </w:rPr>
        <w:t>3</w:t>
      </w:r>
      <w:r>
        <w:rPr>
          <w:rFonts w:eastAsiaTheme="minorEastAsia"/>
          <w:bCs/>
          <w:iCs/>
          <w:color w:val="000000" w:themeColor="text1"/>
          <w:sz w:val="24"/>
          <w14:textFill>
            <w14:solidFill>
              <w14:schemeClr w14:val="tx1"/>
            </w14:solidFill>
          </w14:textFill>
        </w:rPr>
        <w:t>.实</w:t>
      </w:r>
      <w:r>
        <w:rPr>
          <w:rFonts w:hint="eastAsia" w:asciiTheme="minorEastAsia" w:hAnsiTheme="minorEastAsia" w:eastAsiaTheme="minorEastAsia"/>
          <w:bCs/>
          <w:iCs/>
          <w:color w:val="000000" w:themeColor="text1"/>
          <w:sz w:val="24"/>
          <w14:textFill>
            <w14:solidFill>
              <w14:schemeClr w14:val="tx1"/>
            </w14:solidFill>
          </w14:textFill>
        </w:rPr>
        <w:t>行课程学习、科学研究、学科竞赛和学位论文各环节融会贯通的培养机制，使研究生具备扎实的专业理论基础和研究方法，培养学生勇于探索的创新精神，培养严谨的科学作风和实事求是的科学态度。</w:t>
      </w:r>
    </w:p>
    <w:p w14:paraId="7AB45988">
      <w:pPr>
        <w:spacing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七、中期筛选</w:t>
      </w:r>
    </w:p>
    <w:p w14:paraId="73DBA080">
      <w:pPr>
        <w:spacing w:before="156" w:beforeLines="50" w:line="360" w:lineRule="auto"/>
        <w:ind w:firstLine="480" w:firstLineChars="200"/>
        <w:rPr>
          <w:rFonts w:eastAsiaTheme="minorEastAsia"/>
          <w:bCs/>
          <w:color w:val="000000" w:themeColor="text1"/>
          <w:sz w:val="24"/>
          <w14:textFill>
            <w14:solidFill>
              <w14:schemeClr w14:val="tx1"/>
            </w14:solidFill>
          </w14:textFill>
        </w:rPr>
      </w:pPr>
      <w:bookmarkStart w:id="1" w:name="_Toc59002625"/>
      <w:r>
        <w:rPr>
          <w:rFonts w:eastAsiaTheme="minorEastAsia"/>
          <w:bCs/>
          <w:color w:val="000000" w:themeColor="text1"/>
          <w:sz w:val="24"/>
          <w14:textFill>
            <w14:solidFill>
              <w14:schemeClr w14:val="tx1"/>
            </w14:solidFill>
          </w14:textFill>
        </w:rPr>
        <w:t>在完成培养方案规定的课程学习、考核成绩合格、获得规定的学分后，</w:t>
      </w:r>
      <w:bookmarkEnd w:id="1"/>
      <w:r>
        <w:rPr>
          <w:rFonts w:eastAsiaTheme="minorEastAsia"/>
          <w:bCs/>
          <w:color w:val="000000" w:themeColor="text1"/>
          <w:sz w:val="24"/>
          <w14:textFill>
            <w14:solidFill>
              <w14:schemeClr w14:val="tx1"/>
            </w14:solidFill>
          </w14:textFill>
        </w:rPr>
        <w:t>按照《河北大学研究生中期筛选管理办法》（校政字〔2021〕15号）的相关规定，组织开展中期筛选工作。</w:t>
      </w:r>
    </w:p>
    <w:p w14:paraId="4BA9567F">
      <w:pPr>
        <w:spacing w:line="360" w:lineRule="auto"/>
        <w:ind w:firstLine="560" w:firstLineChars="200"/>
        <w:rPr>
          <w:rFonts w:eastAsia="黑体"/>
          <w:bCs/>
          <w:color w:val="000000" w:themeColor="text1"/>
          <w:sz w:val="28"/>
          <w:szCs w:val="28"/>
          <w14:textFill>
            <w14:solidFill>
              <w14:schemeClr w14:val="tx1"/>
            </w14:solidFill>
          </w14:textFill>
        </w:rPr>
      </w:pPr>
      <w:r>
        <w:rPr>
          <w:rFonts w:hint="eastAsia" w:eastAsia="黑体"/>
          <w:bCs/>
          <w:color w:val="000000" w:themeColor="text1"/>
          <w:sz w:val="28"/>
          <w:szCs w:val="28"/>
          <w14:textFill>
            <w14:solidFill>
              <w14:schemeClr w14:val="tx1"/>
            </w14:solidFill>
          </w14:textFill>
        </w:rPr>
        <w:t>八</w:t>
      </w:r>
      <w:r>
        <w:rPr>
          <w:rFonts w:eastAsia="黑体"/>
          <w:bCs/>
          <w:color w:val="000000" w:themeColor="text1"/>
          <w:sz w:val="28"/>
          <w:szCs w:val="28"/>
          <w14:textFill>
            <w14:solidFill>
              <w14:schemeClr w14:val="tx1"/>
            </w14:solidFill>
          </w14:textFill>
        </w:rPr>
        <w:t>、学位（毕业）论文</w:t>
      </w:r>
    </w:p>
    <w:p w14:paraId="3A6813B0">
      <w:pPr>
        <w:widowControl/>
        <w:spacing w:line="360" w:lineRule="auto"/>
        <w:ind w:firstLine="482"/>
        <w:jc w:val="left"/>
        <w:rPr>
          <w:color w:val="000000" w:themeColor="text1"/>
          <w:kern w:val="0"/>
          <w:sz w:val="18"/>
          <w:szCs w:val="18"/>
          <w14:textFill>
            <w14:solidFill>
              <w14:schemeClr w14:val="tx1"/>
            </w14:solidFill>
          </w14:textFill>
        </w:rPr>
      </w:pPr>
      <w:r>
        <w:rPr>
          <w:bCs/>
          <w:color w:val="000000" w:themeColor="text1"/>
          <w:kern w:val="0"/>
          <w:sz w:val="24"/>
          <w14:textFill>
            <w14:solidFill>
              <w14:schemeClr w14:val="tx1"/>
            </w14:solidFill>
          </w14:textFill>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color w:val="000000" w:themeColor="text1"/>
          <w:sz w:val="24"/>
          <w14:textFill>
            <w14:solidFill>
              <w14:schemeClr w14:val="tx1"/>
            </w14:solidFill>
          </w14:textFill>
        </w:rPr>
        <w:t>〔2025〕*号</w:t>
      </w:r>
      <w:r>
        <w:rPr>
          <w:color w:val="000000" w:themeColor="text1"/>
          <w:kern w:val="0"/>
          <w:sz w:val="24"/>
          <w14:textFill>
            <w14:solidFill>
              <w14:schemeClr w14:val="tx1"/>
            </w14:solidFill>
          </w14:textFill>
        </w:rPr>
        <w:t>）规定，硕士研究生论文开题与答辩时间间隔原则上不少于12个月。学位（毕业）论文应当表明作者具有独立从事学术研究工作的能力，鼓励硕士研究生参与科学研究，取得创新性成果</w:t>
      </w:r>
      <w:r>
        <w:rPr>
          <w:rFonts w:hint="eastAsia"/>
          <w:color w:val="000000" w:themeColor="text1"/>
          <w:kern w:val="0"/>
          <w:sz w:val="24"/>
          <w14:textFill>
            <w14:solidFill>
              <w14:schemeClr w14:val="tx1"/>
            </w14:solidFill>
          </w14:textFill>
        </w:rPr>
        <w:t>。</w:t>
      </w:r>
    </w:p>
    <w:p w14:paraId="45C820B4">
      <w:pPr>
        <w:widowControl/>
        <w:spacing w:line="360" w:lineRule="auto"/>
        <w:ind w:firstLine="482"/>
        <w:jc w:val="left"/>
        <w:rPr>
          <w:color w:val="000000" w:themeColor="text1"/>
          <w:kern w:val="0"/>
          <w:sz w:val="18"/>
          <w:szCs w:val="18"/>
          <w14:textFill>
            <w14:solidFill>
              <w14:schemeClr w14:val="tx1"/>
            </w14:solidFill>
          </w14:textFill>
        </w:rPr>
      </w:pPr>
      <w:r>
        <w:rPr>
          <w:bCs/>
          <w:color w:val="000000" w:themeColor="text1"/>
          <w:kern w:val="0"/>
          <w:sz w:val="24"/>
          <w14:textFill>
            <w14:solidFill>
              <w14:schemeClr w14:val="tx1"/>
            </w14:solidFill>
          </w14:textFill>
        </w:rPr>
        <w:t>2.开题：</w:t>
      </w:r>
      <w:r>
        <w:rPr>
          <w:color w:val="000000" w:themeColor="text1"/>
          <w:kern w:val="0"/>
          <w:sz w:val="24"/>
          <w14:textFill>
            <w14:solidFill>
              <w14:schemeClr w14:val="tx1"/>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99B6419">
      <w:pPr>
        <w:widowControl/>
        <w:spacing w:line="360" w:lineRule="auto"/>
        <w:ind w:firstLine="482"/>
        <w:jc w:val="left"/>
        <w:rPr>
          <w:color w:val="000000" w:themeColor="text1"/>
          <w:kern w:val="0"/>
          <w:sz w:val="18"/>
          <w:szCs w:val="18"/>
          <w14:textFill>
            <w14:solidFill>
              <w14:schemeClr w14:val="tx1"/>
            </w14:solidFill>
          </w14:textFill>
        </w:rPr>
      </w:pPr>
      <w:r>
        <w:rPr>
          <w:color w:val="000000" w:themeColor="text1"/>
          <w:kern w:val="0"/>
          <w:sz w:val="24"/>
          <w14:textFill>
            <w14:solidFill>
              <w14:schemeClr w14:val="tx1"/>
            </w14:solidFill>
          </w14:textFill>
        </w:rPr>
        <w:t>原则上在入学后第3学期（最迟不超过第4学期）完成开题。开题由3-5名具有高级专业技术职务人员参加，以学术报告的方式进行。</w:t>
      </w:r>
    </w:p>
    <w:p w14:paraId="495BCA3B">
      <w:pPr>
        <w:widowControl/>
        <w:spacing w:line="360" w:lineRule="auto"/>
        <w:ind w:firstLine="482"/>
        <w:jc w:val="left"/>
        <w:rPr>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3.中期进展报告：</w:t>
      </w:r>
      <w:r>
        <w:rPr>
          <w:color w:val="000000" w:themeColor="text1"/>
          <w:kern w:val="0"/>
          <w:sz w:val="24"/>
          <w14:textFill>
            <w14:solidFill>
              <w14:schemeClr w14:val="tx1"/>
            </w14:solidFill>
          </w14:textFill>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16A0748">
      <w:pPr>
        <w:widowControl/>
        <w:spacing w:line="360" w:lineRule="auto"/>
        <w:ind w:firstLine="482"/>
        <w:jc w:val="left"/>
        <w:rPr>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4.学位申请：</w:t>
      </w:r>
      <w:r>
        <w:rPr>
          <w:color w:val="000000" w:themeColor="text1"/>
          <w:kern w:val="0"/>
          <w:sz w:val="24"/>
          <w14:textFill>
            <w14:solidFill>
              <w14:schemeClr w14:val="tx1"/>
            </w14:solidFill>
          </w14:textFill>
        </w:rPr>
        <w:t>达到学位授予条件的申请人，经导师同意后，应于答辩前三个月，向所属学位评定分委员会提出学位申请，提交学位申请材料。</w:t>
      </w:r>
    </w:p>
    <w:p w14:paraId="3BA64ACB">
      <w:pPr>
        <w:widowControl/>
        <w:spacing w:line="360" w:lineRule="auto"/>
        <w:ind w:firstLine="482"/>
        <w:jc w:val="left"/>
        <w:rPr>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5.预答辩：</w:t>
      </w:r>
      <w:r>
        <w:rPr>
          <w:color w:val="000000" w:themeColor="text1"/>
          <w:kern w:val="0"/>
          <w:sz w:val="24"/>
          <w14:textFill>
            <w14:solidFill>
              <w14:schemeClr w14:val="tx1"/>
            </w14:solidFill>
          </w14:textFill>
        </w:rPr>
        <w:t>学位申请人须进行学位论文预答辩。预答辩通过者，方可进入学位论文评阅、学位论文答辩等环节。学位（毕业）论文预答辩在正式答辩前3个月进行。</w:t>
      </w:r>
    </w:p>
    <w:p w14:paraId="75902E53">
      <w:pPr>
        <w:widowControl/>
        <w:spacing w:line="360" w:lineRule="auto"/>
        <w:ind w:firstLine="482"/>
        <w:jc w:val="left"/>
        <w:rPr>
          <w:color w:val="000000" w:themeColor="text1"/>
          <w:kern w:val="0"/>
          <w:sz w:val="24"/>
          <w14:textFill>
            <w14:solidFill>
              <w14:schemeClr w14:val="tx1"/>
            </w14:solidFill>
          </w14:textFill>
        </w:rPr>
      </w:pPr>
      <w:r>
        <w:rPr>
          <w:bCs/>
          <w:color w:val="000000" w:themeColor="text1"/>
          <w:kern w:val="0"/>
          <w:sz w:val="24"/>
          <w14:textFill>
            <w14:solidFill>
              <w14:schemeClr w14:val="tx1"/>
            </w14:solidFill>
          </w14:textFill>
        </w:rPr>
        <w:t>6.论文评阅：</w:t>
      </w:r>
      <w:r>
        <w:rPr>
          <w:color w:val="000000" w:themeColor="text1"/>
          <w:kern w:val="0"/>
          <w:sz w:val="24"/>
          <w14:textFill>
            <w14:solidFill>
              <w14:schemeClr w14:val="tx1"/>
            </w14:solidFill>
          </w14:textFill>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374E2B87">
      <w:pPr>
        <w:widowControl/>
        <w:spacing w:line="360" w:lineRule="auto"/>
        <w:ind w:firstLine="482"/>
        <w:jc w:val="left"/>
        <w:rPr>
          <w:rFonts w:eastAsiaTheme="minorEastAsia"/>
          <w:color w:val="000000" w:themeColor="text1"/>
          <w:sz w:val="24"/>
          <w14:textFill>
            <w14:solidFill>
              <w14:schemeClr w14:val="tx1"/>
            </w14:solidFill>
          </w14:textFill>
        </w:rPr>
      </w:pPr>
      <w:r>
        <w:rPr>
          <w:bCs/>
          <w:color w:val="000000" w:themeColor="text1"/>
          <w:kern w:val="0"/>
          <w:sz w:val="24"/>
          <w14:textFill>
            <w14:solidFill>
              <w14:schemeClr w14:val="tx1"/>
            </w14:solidFill>
          </w14:textFill>
        </w:rPr>
        <w:t>7.答辩：学位（毕业）论文答辩按照</w:t>
      </w:r>
      <w:r>
        <w:rPr>
          <w:color w:val="000000" w:themeColor="text1"/>
          <w:kern w:val="0"/>
          <w:sz w:val="24"/>
          <w14:textFill>
            <w14:solidFill>
              <w14:schemeClr w14:val="tx1"/>
            </w14:solidFill>
          </w14:textFill>
        </w:rPr>
        <w:t>《河北大学博士、硕士学位授予工作实施细则》（校政字〔2025〕7号）执行。</w:t>
      </w:r>
    </w:p>
    <w:p w14:paraId="4CE899CE">
      <w:pPr>
        <w:spacing w:line="360" w:lineRule="auto"/>
        <w:ind w:firstLine="560" w:firstLineChars="200"/>
        <w:rPr>
          <w:rFonts w:eastAsia="黑体"/>
          <w:bCs/>
          <w:color w:val="000000" w:themeColor="text1"/>
          <w:sz w:val="28"/>
          <w:szCs w:val="28"/>
          <w14:textFill>
            <w14:solidFill>
              <w14:schemeClr w14:val="tx1"/>
            </w14:solidFill>
          </w14:textFill>
        </w:rPr>
      </w:pPr>
      <w:r>
        <w:rPr>
          <w:rFonts w:hint="eastAsia" w:eastAsia="黑体"/>
          <w:bCs/>
          <w:color w:val="000000" w:themeColor="text1"/>
          <w:sz w:val="28"/>
          <w:szCs w:val="28"/>
          <w14:textFill>
            <w14:solidFill>
              <w14:schemeClr w14:val="tx1"/>
            </w14:solidFill>
          </w14:textFill>
        </w:rPr>
        <w:t>九</w:t>
      </w:r>
      <w:r>
        <w:rPr>
          <w:rFonts w:eastAsia="黑体"/>
          <w:bCs/>
          <w:color w:val="000000" w:themeColor="text1"/>
          <w:sz w:val="28"/>
          <w:szCs w:val="28"/>
          <w14:textFill>
            <w14:solidFill>
              <w14:schemeClr w14:val="tx1"/>
            </w14:solidFill>
          </w14:textFill>
        </w:rPr>
        <w:t>、毕业条件</w:t>
      </w:r>
    </w:p>
    <w:p w14:paraId="126163C8">
      <w:pPr>
        <w:spacing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1. 课程学习。研究生在规定修业年限内完成培养方案规定的课程学习，考核成绩合格，获得规定的学分。</w:t>
      </w:r>
    </w:p>
    <w:p w14:paraId="3D3DB15E">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2. 学术活动。研究生</w:t>
      </w:r>
      <w:r>
        <w:rPr>
          <w:rFonts w:eastAsiaTheme="minorEastAsia"/>
          <w:color w:val="000000" w:themeColor="text1"/>
          <w:sz w:val="24"/>
          <w14:textFill>
            <w14:solidFill>
              <w14:schemeClr w14:val="tx1"/>
            </w14:solidFill>
          </w14:textFill>
        </w:rPr>
        <w:t>在读期间参加不少于1</w:t>
      </w:r>
      <w:r>
        <w:rPr>
          <w:rFonts w:hint="eastAsia" w:eastAsiaTheme="minorEastAsia"/>
          <w:color w:val="000000" w:themeColor="text1"/>
          <w:sz w:val="24"/>
          <w14:textFill>
            <w14:solidFill>
              <w14:schemeClr w14:val="tx1"/>
            </w14:solidFill>
          </w14:textFill>
        </w:rPr>
        <w:t>2</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次学术活动，并撰写学术报告小结；以主讲人或宣讲人身份，参加在校内外举行的学术报告或学术讲座不少于1次。</w:t>
      </w:r>
    </w:p>
    <w:p w14:paraId="254A53CC">
      <w:pPr>
        <w:spacing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3. 符合提前毕业条件的研究生，可按照学校相关规定</w:t>
      </w:r>
      <w:r>
        <w:rPr>
          <w:rFonts w:eastAsiaTheme="minorEastAsia"/>
          <w:bCs/>
          <w:color w:val="000000" w:themeColor="text1"/>
          <w:sz w:val="24"/>
          <w14:textFill>
            <w14:solidFill>
              <w14:schemeClr w14:val="tx1"/>
            </w14:solidFill>
          </w14:textFill>
        </w:rPr>
        <w:t>申请</w:t>
      </w:r>
      <w:r>
        <w:rPr>
          <w:rFonts w:eastAsiaTheme="minorEastAsia"/>
          <w:color w:val="000000" w:themeColor="text1"/>
          <w:sz w:val="24"/>
          <w14:textFill>
            <w14:solidFill>
              <w14:schemeClr w14:val="tx1"/>
            </w14:solidFill>
          </w14:textFill>
        </w:rPr>
        <w:t>提前毕业。</w:t>
      </w:r>
    </w:p>
    <w:p w14:paraId="2F7D81CB">
      <w:pPr>
        <w:spacing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4. 论文答辩。学位（毕业）论文经专家评审合格、通过学位（毕业）答辩，符合毕业资格审查后，准予毕业。</w:t>
      </w:r>
    </w:p>
    <w:p w14:paraId="7CE91A90">
      <w:pPr>
        <w:spacing w:line="360" w:lineRule="auto"/>
        <w:ind w:firstLine="560" w:firstLineChars="200"/>
        <w:rPr>
          <w:rFonts w:eastAsia="黑体"/>
          <w:bCs/>
          <w:color w:val="000000" w:themeColor="text1"/>
          <w:sz w:val="28"/>
          <w:szCs w:val="28"/>
          <w14:textFill>
            <w14:solidFill>
              <w14:schemeClr w14:val="tx1"/>
            </w14:solidFill>
          </w14:textFill>
        </w:rPr>
      </w:pPr>
      <w:r>
        <w:rPr>
          <w:rFonts w:hint="eastAsia" w:eastAsia="黑体"/>
          <w:bCs/>
          <w:color w:val="000000" w:themeColor="text1"/>
          <w:sz w:val="28"/>
          <w:szCs w:val="28"/>
          <w14:textFill>
            <w14:solidFill>
              <w14:schemeClr w14:val="tx1"/>
            </w14:solidFill>
          </w14:textFill>
        </w:rPr>
        <w:t>十</w:t>
      </w:r>
      <w:r>
        <w:rPr>
          <w:rFonts w:eastAsia="黑体"/>
          <w:bCs/>
          <w:color w:val="000000" w:themeColor="text1"/>
          <w:sz w:val="28"/>
          <w:szCs w:val="28"/>
          <w14:textFill>
            <w14:solidFill>
              <w14:schemeClr w14:val="tx1"/>
            </w14:solidFill>
          </w14:textFill>
        </w:rPr>
        <w:t>、创新性成果</w:t>
      </w:r>
    </w:p>
    <w:p w14:paraId="7C9F5EA0">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鼓励学生通过参加国内国际学术会议交流创新成果、参与导师项目课题、开展社会实践撰写咨政报告、深入科学研究发表学术论文等多种形式的创新活动，实现创新性成果多元化。</w:t>
      </w:r>
    </w:p>
    <w:p w14:paraId="2BE5306C">
      <w:pPr>
        <w:spacing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十一、学位授予</w:t>
      </w:r>
    </w:p>
    <w:p w14:paraId="127F72B5">
      <w:pPr>
        <w:spacing w:line="360" w:lineRule="auto"/>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研究生通过毕业资格审查，</w:t>
      </w:r>
      <w:r>
        <w:rPr>
          <w:color w:val="000000" w:themeColor="text1"/>
          <w:kern w:val="0"/>
          <w:sz w:val="24"/>
          <w14:textFill>
            <w14:solidFill>
              <w14:schemeClr w14:val="tx1"/>
            </w14:solidFill>
          </w14:textFill>
        </w:rPr>
        <w:t>满足本学院制定的创新性成果要求，</w:t>
      </w:r>
      <w:r>
        <w:rPr>
          <w:rFonts w:eastAsiaTheme="minorEastAsia"/>
          <w:bCs/>
          <w:color w:val="000000" w:themeColor="text1"/>
          <w:sz w:val="24"/>
          <w14:textFill>
            <w14:solidFill>
              <w14:schemeClr w14:val="tx1"/>
            </w14:solidFill>
          </w14:textFill>
        </w:rPr>
        <w:t>符合</w:t>
      </w:r>
      <w:r>
        <w:rPr>
          <w:color w:val="000000" w:themeColor="text1"/>
          <w:kern w:val="0"/>
          <w:sz w:val="24"/>
          <w14:textFill>
            <w14:solidFill>
              <w14:schemeClr w14:val="tx1"/>
            </w14:solidFill>
          </w14:textFill>
        </w:rPr>
        <w:t>《河北大学博士、硕士学位授予工作实施细则》（校政字〔2025〕7号）</w:t>
      </w:r>
      <w:r>
        <w:rPr>
          <w:rFonts w:eastAsiaTheme="minorEastAsia"/>
          <w:bCs/>
          <w:color w:val="000000" w:themeColor="text1"/>
          <w:sz w:val="24"/>
          <w14:textFill>
            <w14:solidFill>
              <w14:schemeClr w14:val="tx1"/>
            </w14:solidFill>
          </w14:textFill>
        </w:rPr>
        <w:t>的有关规定，达到学校学位授予标准，经学校学位评定委员会审议，授予硕士学位。</w:t>
      </w:r>
    </w:p>
    <w:p w14:paraId="3E604A91">
      <w:pPr>
        <w:spacing w:line="360" w:lineRule="auto"/>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十</w:t>
      </w:r>
      <w:r>
        <w:rPr>
          <w:rFonts w:hint="eastAsia" w:eastAsia="黑体"/>
          <w:bCs/>
          <w:color w:val="000000" w:themeColor="text1"/>
          <w:sz w:val="28"/>
          <w:szCs w:val="28"/>
          <w14:textFill>
            <w14:solidFill>
              <w14:schemeClr w14:val="tx1"/>
            </w14:solidFill>
          </w14:textFill>
        </w:rPr>
        <w:t>二</w:t>
      </w:r>
      <w:r>
        <w:rPr>
          <w:rFonts w:eastAsia="黑体"/>
          <w:bCs/>
          <w:color w:val="000000" w:themeColor="text1"/>
          <w:sz w:val="28"/>
          <w:szCs w:val="28"/>
          <w14:textFill>
            <w14:solidFill>
              <w14:schemeClr w14:val="tx1"/>
            </w14:solidFill>
          </w14:textFill>
        </w:rPr>
        <w:t>、学分及课程设置</w:t>
      </w:r>
    </w:p>
    <w:p w14:paraId="0F197B17">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29</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18</w:t>
      </w:r>
      <w:r>
        <w:rPr>
          <w:rFonts w:eastAsiaTheme="minorEastAsia"/>
          <w:color w:val="000000" w:themeColor="text1"/>
          <w:sz w:val="24"/>
          <w14:textFill>
            <w14:solidFill>
              <w14:schemeClr w14:val="tx1"/>
            </w14:solidFill>
          </w14:textFill>
        </w:rPr>
        <w:t>学分，非学位课1</w:t>
      </w:r>
      <w:r>
        <w:rPr>
          <w:rFonts w:hint="eastAsia" w:eastAsiaTheme="minorEastAsia"/>
          <w:color w:val="000000" w:themeColor="text1"/>
          <w:sz w:val="24"/>
          <w14:textFill>
            <w14:solidFill>
              <w14:schemeClr w14:val="tx1"/>
            </w14:solidFill>
          </w14:textFill>
        </w:rPr>
        <w:t>0</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分。</w:t>
      </w:r>
    </w:p>
    <w:p w14:paraId="5F93CFBC">
      <w:pPr>
        <w:spacing w:line="360" w:lineRule="auto"/>
        <w:rPr>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课程考试不设补考环节，</w:t>
      </w:r>
      <w:r>
        <w:rPr>
          <w:color w:val="000000" w:themeColor="text1"/>
          <w:sz w:val="24"/>
          <w14:textFill>
            <w14:solidFill>
              <w14:schemeClr w14:val="tx1"/>
            </w14:solidFill>
          </w14:textFill>
        </w:rPr>
        <w:t>考试成绩低于60分的需重修。</w:t>
      </w:r>
    </w:p>
    <w:p w14:paraId="7888DE08">
      <w:pPr>
        <w:adjustRightInd w:val="0"/>
        <w:spacing w:line="360" w:lineRule="auto"/>
        <w:ind w:firstLine="480"/>
        <w:rPr>
          <w:rFonts w:eastAsiaTheme="minorEastAsia"/>
          <w:bCs/>
          <w:color w:val="000000" w:themeColor="text1"/>
          <w:sz w:val="24"/>
          <w14:textFill>
            <w14:solidFill>
              <w14:schemeClr w14:val="tx1"/>
            </w14:solidFill>
          </w14:textFill>
        </w:rPr>
      </w:pPr>
      <w:r>
        <w:rPr>
          <w:rFonts w:hint="eastAsia" w:eastAsiaTheme="minorEastAsia"/>
          <w:bCs/>
          <w:color w:val="000000" w:themeColor="text1"/>
          <w:sz w:val="24"/>
          <w14:textFill>
            <w14:solidFill>
              <w14:schemeClr w14:val="tx1"/>
            </w14:solidFill>
          </w14:textFill>
        </w:rPr>
        <w:t>课程考核方式包括考试和考查，</w:t>
      </w:r>
      <w:r>
        <w:rPr>
          <w:rFonts w:eastAsiaTheme="minorEastAsia"/>
          <w:bCs/>
          <w:color w:val="000000" w:themeColor="text1"/>
          <w:sz w:val="24"/>
          <w14:textFill>
            <w14:solidFill>
              <w14:schemeClr w14:val="tx1"/>
            </w14:solidFill>
          </w14:textFill>
        </w:rPr>
        <w:t>可以采用口试、笔试或写读书报告、论文的形式</w:t>
      </w:r>
      <w:r>
        <w:rPr>
          <w:rFonts w:hint="eastAsia" w:eastAsiaTheme="minorEastAsia"/>
          <w:bCs/>
          <w:color w:val="000000" w:themeColor="text1"/>
          <w:sz w:val="24"/>
          <w14:textFill>
            <w14:solidFill>
              <w14:schemeClr w14:val="tx1"/>
            </w14:solidFill>
          </w14:textFill>
        </w:rPr>
        <w:t>或几种方式相结合的方式，力求</w:t>
      </w:r>
      <w:r>
        <w:rPr>
          <w:rFonts w:eastAsiaTheme="minorEastAsia"/>
          <w:bCs/>
          <w:color w:val="000000" w:themeColor="text1"/>
          <w:sz w:val="24"/>
          <w14:textFill>
            <w14:solidFill>
              <w14:schemeClr w14:val="tx1"/>
            </w14:solidFill>
          </w14:textFill>
        </w:rPr>
        <w:t>真实反映学生对所学课程掌握的程度及运用知识的能力</w:t>
      </w:r>
      <w:r>
        <w:rPr>
          <w:rFonts w:hint="eastAsia" w:eastAsiaTheme="minorEastAsia"/>
          <w:bCs/>
          <w:color w:val="000000" w:themeColor="text1"/>
          <w:sz w:val="24"/>
          <w14:textFill>
            <w14:solidFill>
              <w14:schemeClr w14:val="tx1"/>
            </w14:solidFill>
          </w14:textFill>
        </w:rPr>
        <w:t>。</w:t>
      </w:r>
      <w:r>
        <w:rPr>
          <w:rFonts w:eastAsiaTheme="minorEastAsia"/>
          <w:bCs/>
          <w:color w:val="000000" w:themeColor="text1"/>
          <w:sz w:val="24"/>
          <w14:textFill>
            <w14:solidFill>
              <w14:schemeClr w14:val="tx1"/>
            </w14:solidFill>
          </w14:textFill>
        </w:rPr>
        <w:t>成绩均按百分制成绩评定。</w:t>
      </w:r>
    </w:p>
    <w:p w14:paraId="4E445065">
      <w:pPr>
        <w:adjustRightInd w:val="0"/>
        <w:spacing w:line="360" w:lineRule="auto"/>
        <w:ind w:firstLine="480"/>
        <w:rPr>
          <w:rFonts w:eastAsiaTheme="minorEastAsia"/>
          <w:bCs/>
          <w:color w:val="000000" w:themeColor="text1"/>
          <w:sz w:val="24"/>
          <w14:textFill>
            <w14:solidFill>
              <w14:schemeClr w14:val="tx1"/>
            </w14:solidFill>
          </w14:textFill>
        </w:rPr>
      </w:pPr>
    </w:p>
    <w:p w14:paraId="413752EE">
      <w:pPr>
        <w:spacing w:after="156" w:afterLines="50" w:line="440" w:lineRule="exact"/>
        <w:ind w:firstLine="482" w:firstLineChars="200"/>
        <w:jc w:val="center"/>
        <w:rPr>
          <w:rFonts w:eastAsiaTheme="minorEastAsia"/>
          <w:b/>
          <w:bCs/>
          <w:color w:val="000000" w:themeColor="text1"/>
          <w:sz w:val="24"/>
          <w14:textFill>
            <w14:solidFill>
              <w14:schemeClr w14:val="tx1"/>
            </w14:solidFill>
          </w14:textFill>
        </w:rPr>
      </w:pPr>
      <w:r>
        <w:rPr>
          <w:rFonts w:hint="eastAsia" w:eastAsiaTheme="minorEastAsia"/>
          <w:b/>
          <w:bCs/>
          <w:color w:val="000000" w:themeColor="text1"/>
          <w:sz w:val="24"/>
          <w14:textFill>
            <w14:solidFill>
              <w14:schemeClr w14:val="tx1"/>
            </w14:solidFill>
          </w14:textFill>
        </w:rPr>
        <w:t>财政学</w:t>
      </w:r>
      <w:r>
        <w:rPr>
          <w:rFonts w:eastAsiaTheme="minorEastAsia"/>
          <w:b/>
          <w:bCs/>
          <w:color w:val="000000" w:themeColor="text1"/>
          <w:sz w:val="24"/>
          <w14:textFill>
            <w14:solidFill>
              <w14:schemeClr w14:val="tx1"/>
            </w14:solidFill>
          </w14:textFill>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7E73E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0275571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6A9A028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315F458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2EFBA9D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07AF1D0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63F98EC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2DA81A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D45AB0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74BE3D7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1492B6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F126C7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70D8534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36004F5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4EFC5F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D8B8CD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3CDF6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50FA7BC">
            <w:pPr>
              <w:jc w:val="center"/>
              <w:rPr>
                <w:b/>
                <w:color w:val="000000" w:themeColor="text1"/>
                <w:sz w:val="18"/>
                <w:szCs w:val="18"/>
                <w14:textFill>
                  <w14:solidFill>
                    <w14:schemeClr w14:val="tx1"/>
                  </w14:solidFill>
                </w14:textFill>
              </w:rPr>
            </w:pPr>
          </w:p>
        </w:tc>
        <w:tc>
          <w:tcPr>
            <w:tcW w:w="1226" w:type="dxa"/>
            <w:vMerge w:val="continue"/>
            <w:vAlign w:val="center"/>
          </w:tcPr>
          <w:p w14:paraId="64A28B38">
            <w:pPr>
              <w:jc w:val="center"/>
              <w:rPr>
                <w:b/>
                <w:color w:val="000000" w:themeColor="text1"/>
                <w:sz w:val="18"/>
                <w:szCs w:val="18"/>
                <w14:textFill>
                  <w14:solidFill>
                    <w14:schemeClr w14:val="tx1"/>
                  </w14:solidFill>
                </w14:textFill>
              </w:rPr>
            </w:pPr>
          </w:p>
        </w:tc>
        <w:tc>
          <w:tcPr>
            <w:tcW w:w="3516" w:type="dxa"/>
            <w:vAlign w:val="center"/>
          </w:tcPr>
          <w:p w14:paraId="4AC3DED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通用学术英语</w:t>
            </w:r>
          </w:p>
        </w:tc>
        <w:tc>
          <w:tcPr>
            <w:tcW w:w="1081" w:type="dxa"/>
            <w:vAlign w:val="center"/>
          </w:tcPr>
          <w:p w14:paraId="57482B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TS0000002</w:t>
            </w:r>
          </w:p>
        </w:tc>
        <w:tc>
          <w:tcPr>
            <w:tcW w:w="709" w:type="dxa"/>
            <w:vAlign w:val="center"/>
          </w:tcPr>
          <w:p w14:paraId="06C082B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2262509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0B967C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C5DE5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76B730">
            <w:pPr>
              <w:jc w:val="center"/>
              <w:rPr>
                <w:b/>
                <w:color w:val="000000" w:themeColor="text1"/>
                <w:sz w:val="18"/>
                <w:szCs w:val="18"/>
                <w14:textFill>
                  <w14:solidFill>
                    <w14:schemeClr w14:val="tx1"/>
                  </w14:solidFill>
                </w14:textFill>
              </w:rPr>
            </w:pPr>
          </w:p>
        </w:tc>
        <w:tc>
          <w:tcPr>
            <w:tcW w:w="1226" w:type="dxa"/>
            <w:vMerge w:val="restart"/>
            <w:vAlign w:val="center"/>
          </w:tcPr>
          <w:p w14:paraId="285E7DB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4C0A723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7</w:t>
            </w:r>
            <w:r>
              <w:rPr>
                <w:b/>
                <w:color w:val="000000" w:themeColor="text1"/>
                <w:sz w:val="18"/>
                <w:szCs w:val="18"/>
                <w14:textFill>
                  <w14:solidFill>
                    <w14:schemeClr w14:val="tx1"/>
                  </w14:solidFill>
                </w14:textFill>
              </w:rPr>
              <w:t>学分）</w:t>
            </w:r>
          </w:p>
        </w:tc>
        <w:tc>
          <w:tcPr>
            <w:tcW w:w="3516" w:type="dxa"/>
            <w:vAlign w:val="center"/>
          </w:tcPr>
          <w:p w14:paraId="47CC3E1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01769BE0">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14:textFill>
                  <w14:solidFill>
                    <w14:schemeClr w14:val="tx1"/>
                  </w14:solidFill>
                </w14:textFill>
              </w:rPr>
              <w:t>1</w:t>
            </w:r>
            <w:r>
              <w:rPr>
                <w:color w:val="000000" w:themeColor="text1"/>
                <w:sz w:val="18"/>
                <w:szCs w:val="18"/>
                <w14:textFill>
                  <w14:solidFill>
                    <w14:schemeClr w14:val="tx1"/>
                  </w14:solidFill>
                </w14:textFill>
              </w:rPr>
              <w:t>01</w:t>
            </w:r>
          </w:p>
        </w:tc>
        <w:tc>
          <w:tcPr>
            <w:tcW w:w="709" w:type="dxa"/>
            <w:vAlign w:val="center"/>
          </w:tcPr>
          <w:p w14:paraId="3E469799">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35329D67">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71CD4F08">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7C694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660D38">
            <w:pPr>
              <w:jc w:val="center"/>
              <w:rPr>
                <w:b/>
                <w:color w:val="000000" w:themeColor="text1"/>
                <w:sz w:val="18"/>
                <w:szCs w:val="18"/>
                <w14:textFill>
                  <w14:solidFill>
                    <w14:schemeClr w14:val="tx1"/>
                  </w14:solidFill>
                </w14:textFill>
              </w:rPr>
            </w:pPr>
          </w:p>
        </w:tc>
        <w:tc>
          <w:tcPr>
            <w:tcW w:w="1226" w:type="dxa"/>
            <w:vMerge w:val="continue"/>
            <w:vAlign w:val="center"/>
          </w:tcPr>
          <w:p w14:paraId="2915D491">
            <w:pPr>
              <w:jc w:val="center"/>
              <w:rPr>
                <w:b/>
                <w:color w:val="000000" w:themeColor="text1"/>
                <w:sz w:val="18"/>
                <w:szCs w:val="18"/>
                <w14:textFill>
                  <w14:solidFill>
                    <w14:schemeClr w14:val="tx1"/>
                  </w14:solidFill>
                </w14:textFill>
              </w:rPr>
            </w:pPr>
          </w:p>
        </w:tc>
        <w:tc>
          <w:tcPr>
            <w:tcW w:w="3516" w:type="dxa"/>
            <w:vAlign w:val="center"/>
          </w:tcPr>
          <w:p w14:paraId="4588937F">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现代经济学（含宏、微观经济学）</w:t>
            </w:r>
          </w:p>
        </w:tc>
        <w:tc>
          <w:tcPr>
            <w:tcW w:w="1081" w:type="dxa"/>
            <w:vAlign w:val="center"/>
          </w:tcPr>
          <w:p w14:paraId="238F3A4B">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003</w:t>
            </w:r>
          </w:p>
        </w:tc>
        <w:tc>
          <w:tcPr>
            <w:tcW w:w="709" w:type="dxa"/>
            <w:vAlign w:val="center"/>
          </w:tcPr>
          <w:p w14:paraId="48BC09D7">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vAlign w:val="center"/>
          </w:tcPr>
          <w:p w14:paraId="70D25897">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509D90BD">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1D4D15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4D07D7C">
            <w:pPr>
              <w:jc w:val="center"/>
              <w:rPr>
                <w:b/>
                <w:color w:val="000000" w:themeColor="text1"/>
                <w:sz w:val="18"/>
                <w:szCs w:val="18"/>
                <w14:textFill>
                  <w14:solidFill>
                    <w14:schemeClr w14:val="tx1"/>
                  </w14:solidFill>
                </w14:textFill>
              </w:rPr>
            </w:pPr>
          </w:p>
        </w:tc>
        <w:tc>
          <w:tcPr>
            <w:tcW w:w="1226" w:type="dxa"/>
            <w:vMerge w:val="continue"/>
            <w:vAlign w:val="center"/>
          </w:tcPr>
          <w:p w14:paraId="6D6AD496">
            <w:pPr>
              <w:jc w:val="center"/>
              <w:rPr>
                <w:b/>
                <w:color w:val="000000" w:themeColor="text1"/>
                <w:sz w:val="18"/>
                <w:szCs w:val="18"/>
                <w14:textFill>
                  <w14:solidFill>
                    <w14:schemeClr w14:val="tx1"/>
                  </w14:solidFill>
                </w14:textFill>
              </w:rPr>
            </w:pPr>
          </w:p>
        </w:tc>
        <w:tc>
          <w:tcPr>
            <w:tcW w:w="3516" w:type="dxa"/>
            <w:vAlign w:val="center"/>
          </w:tcPr>
          <w:p w14:paraId="366A76D4">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数量分析方法</w:t>
            </w:r>
          </w:p>
        </w:tc>
        <w:tc>
          <w:tcPr>
            <w:tcW w:w="1081" w:type="dxa"/>
            <w:vAlign w:val="center"/>
          </w:tcPr>
          <w:p w14:paraId="2D5D7211">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w:t>
            </w:r>
            <w:r>
              <w:rPr>
                <w:rFonts w:hint="eastAsia"/>
                <w:color w:val="000000" w:themeColor="text1"/>
                <w:sz w:val="18"/>
                <w:szCs w:val="18"/>
                <w14:textFill>
                  <w14:solidFill>
                    <w14:schemeClr w14:val="tx1"/>
                  </w14:solidFill>
                </w14:textFill>
              </w:rPr>
              <w:t>4</w:t>
            </w:r>
            <w:r>
              <w:rPr>
                <w:rFonts w:hint="eastAsia"/>
                <w:color w:val="000000" w:themeColor="text1"/>
                <w:sz w:val="18"/>
                <w:szCs w:val="18"/>
                <w:lang w:val="en-US" w:eastAsia="zh-CN"/>
                <w14:textFill>
                  <w14:solidFill>
                    <w14:schemeClr w14:val="tx1"/>
                  </w14:solidFill>
                </w14:textFill>
              </w:rPr>
              <w:t>4</w:t>
            </w: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005</w:t>
            </w:r>
          </w:p>
        </w:tc>
        <w:tc>
          <w:tcPr>
            <w:tcW w:w="709" w:type="dxa"/>
            <w:vAlign w:val="center"/>
          </w:tcPr>
          <w:p w14:paraId="74EDC1DA">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vAlign w:val="center"/>
          </w:tcPr>
          <w:p w14:paraId="6032B391">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41FA6C2">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62F550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A0FDBBB">
            <w:pPr>
              <w:jc w:val="center"/>
              <w:rPr>
                <w:b/>
                <w:color w:val="000000" w:themeColor="text1"/>
                <w:sz w:val="18"/>
                <w:szCs w:val="18"/>
                <w14:textFill>
                  <w14:solidFill>
                    <w14:schemeClr w14:val="tx1"/>
                  </w14:solidFill>
                </w14:textFill>
              </w:rPr>
            </w:pPr>
          </w:p>
        </w:tc>
        <w:tc>
          <w:tcPr>
            <w:tcW w:w="1226" w:type="dxa"/>
            <w:vMerge w:val="restart"/>
            <w:vAlign w:val="center"/>
          </w:tcPr>
          <w:p w14:paraId="2D6D822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5D27F21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7</w:t>
            </w:r>
            <w:r>
              <w:rPr>
                <w:b/>
                <w:color w:val="000000" w:themeColor="text1"/>
                <w:sz w:val="18"/>
                <w:szCs w:val="18"/>
                <w14:textFill>
                  <w14:solidFill>
                    <w14:schemeClr w14:val="tx1"/>
                  </w14:solidFill>
                </w14:textFill>
              </w:rPr>
              <w:t>学分）</w:t>
            </w:r>
          </w:p>
        </w:tc>
        <w:tc>
          <w:tcPr>
            <w:tcW w:w="3516" w:type="dxa"/>
            <w:vAlign w:val="center"/>
          </w:tcPr>
          <w:p w14:paraId="607FD604">
            <w:pP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公共经济学</w:t>
            </w:r>
          </w:p>
        </w:tc>
        <w:tc>
          <w:tcPr>
            <w:tcW w:w="1081" w:type="dxa"/>
            <w:vAlign w:val="center"/>
          </w:tcPr>
          <w:p w14:paraId="234239FC">
            <w:pPr>
              <w:jc w:val="center"/>
              <w:rPr>
                <w:rFonts w:hint="default" w:eastAsia="宋体"/>
                <w:color w:val="000000" w:themeColor="text1"/>
                <w:sz w:val="18"/>
                <w:szCs w:val="18"/>
                <w:lang w:val="en-US" w:eastAsia="zh-CN"/>
                <w14:textFill>
                  <w14:solidFill>
                    <w14:schemeClr w14:val="tx1"/>
                  </w14:solidFill>
                </w14:textFill>
              </w:rPr>
            </w:pPr>
            <w:bookmarkStart w:id="2" w:name="OLE_LINK7"/>
            <w:r>
              <w:rPr>
                <w:color w:val="000000" w:themeColor="text1"/>
                <w:sz w:val="18"/>
                <w:szCs w:val="18"/>
                <w14:textFill>
                  <w14:solidFill>
                    <w14:schemeClr w14:val="tx1"/>
                  </w14:solidFill>
                </w14:textFill>
              </w:rPr>
              <w:t>XS0</w:t>
            </w:r>
            <w:r>
              <w:rPr>
                <w:rFonts w:hint="eastAsia"/>
                <w:color w:val="000000" w:themeColor="text1"/>
                <w:sz w:val="18"/>
                <w:szCs w:val="18"/>
                <w14:textFill>
                  <w14:solidFill>
                    <w14:schemeClr w14:val="tx1"/>
                  </w14:solidFill>
                </w14:textFill>
              </w:rPr>
              <w:t>4</w:t>
            </w:r>
            <w:r>
              <w:rPr>
                <w:rFonts w:hint="eastAsia"/>
                <w:color w:val="000000" w:themeColor="text1"/>
                <w:sz w:val="18"/>
                <w:szCs w:val="18"/>
                <w:lang w:val="en-US" w:eastAsia="zh-CN"/>
                <w14:textFill>
                  <w14:solidFill>
                    <w14:schemeClr w14:val="tx1"/>
                  </w14:solidFill>
                </w14:textFill>
              </w:rPr>
              <w:t>4</w:t>
            </w:r>
            <w:r>
              <w:rPr>
                <w:rFonts w:hint="eastAsia"/>
                <w:color w:val="000000" w:themeColor="text1"/>
                <w:sz w:val="18"/>
                <w:szCs w:val="18"/>
                <w14:textFill>
                  <w14:solidFill>
                    <w14:schemeClr w14:val="tx1"/>
                  </w14:solidFill>
                </w14:textFill>
              </w:rPr>
              <w:t>1</w:t>
            </w:r>
            <w:bookmarkEnd w:id="2"/>
            <w:r>
              <w:rPr>
                <w:rFonts w:hint="eastAsia"/>
                <w:color w:val="000000" w:themeColor="text1"/>
                <w:sz w:val="18"/>
                <w:szCs w:val="18"/>
                <w:lang w:val="en-US" w:eastAsia="zh-CN"/>
                <w14:textFill>
                  <w14:solidFill>
                    <w14:schemeClr w14:val="tx1"/>
                  </w14:solidFill>
                </w14:textFill>
              </w:rPr>
              <w:t>006</w:t>
            </w:r>
          </w:p>
        </w:tc>
        <w:tc>
          <w:tcPr>
            <w:tcW w:w="709" w:type="dxa"/>
            <w:vAlign w:val="center"/>
          </w:tcPr>
          <w:p w14:paraId="3EB74CEB">
            <w:pPr>
              <w:jc w:val="center"/>
              <w:rPr>
                <w:color w:val="000000" w:themeColor="text1"/>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90E9B15">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6060219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493BC0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46B3BED">
            <w:pPr>
              <w:jc w:val="center"/>
              <w:rPr>
                <w:b/>
                <w:color w:val="000000" w:themeColor="text1"/>
                <w:sz w:val="18"/>
                <w:szCs w:val="18"/>
                <w14:textFill>
                  <w14:solidFill>
                    <w14:schemeClr w14:val="tx1"/>
                  </w14:solidFill>
                </w14:textFill>
              </w:rPr>
            </w:pPr>
          </w:p>
        </w:tc>
        <w:tc>
          <w:tcPr>
            <w:tcW w:w="1226" w:type="dxa"/>
            <w:vMerge w:val="continue"/>
            <w:vAlign w:val="center"/>
          </w:tcPr>
          <w:p w14:paraId="70E69CE8">
            <w:pPr>
              <w:jc w:val="center"/>
              <w:rPr>
                <w:b/>
                <w:color w:val="000000" w:themeColor="text1"/>
                <w:sz w:val="18"/>
                <w:szCs w:val="18"/>
                <w14:textFill>
                  <w14:solidFill>
                    <w14:schemeClr w14:val="tx1"/>
                  </w14:solidFill>
                </w14:textFill>
              </w:rPr>
            </w:pPr>
          </w:p>
        </w:tc>
        <w:tc>
          <w:tcPr>
            <w:tcW w:w="3516" w:type="dxa"/>
            <w:vAlign w:val="center"/>
          </w:tcPr>
          <w:p w14:paraId="5A1E57C2">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财政理论与政策实践</w:t>
            </w:r>
          </w:p>
        </w:tc>
        <w:tc>
          <w:tcPr>
            <w:tcW w:w="1081" w:type="dxa"/>
            <w:vAlign w:val="center"/>
          </w:tcPr>
          <w:p w14:paraId="59198178">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w:t>
            </w:r>
            <w:r>
              <w:rPr>
                <w:rFonts w:hint="eastAsia"/>
                <w:color w:val="000000" w:themeColor="text1"/>
                <w:sz w:val="18"/>
                <w:szCs w:val="18"/>
                <w14:textFill>
                  <w14:solidFill>
                    <w14:schemeClr w14:val="tx1"/>
                  </w14:solidFill>
                </w14:textFill>
              </w:rPr>
              <w:t>4</w:t>
            </w:r>
            <w:r>
              <w:rPr>
                <w:rFonts w:hint="eastAsia"/>
                <w:color w:val="000000" w:themeColor="text1"/>
                <w:sz w:val="18"/>
                <w:szCs w:val="18"/>
                <w:lang w:val="en-US" w:eastAsia="zh-CN"/>
                <w14:textFill>
                  <w14:solidFill>
                    <w14:schemeClr w14:val="tx1"/>
                  </w14:solidFill>
                </w14:textFill>
              </w:rPr>
              <w:t>61001</w:t>
            </w:r>
          </w:p>
        </w:tc>
        <w:tc>
          <w:tcPr>
            <w:tcW w:w="709" w:type="dxa"/>
            <w:vAlign w:val="center"/>
          </w:tcPr>
          <w:p w14:paraId="4288CA2F">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4C15501">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57E6B85E">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14EC49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2E1CD4A">
            <w:pPr>
              <w:jc w:val="center"/>
              <w:rPr>
                <w:b/>
                <w:color w:val="000000" w:themeColor="text1"/>
                <w:sz w:val="18"/>
                <w:szCs w:val="18"/>
                <w14:textFill>
                  <w14:solidFill>
                    <w14:schemeClr w14:val="tx1"/>
                  </w14:solidFill>
                </w14:textFill>
              </w:rPr>
            </w:pPr>
          </w:p>
        </w:tc>
        <w:tc>
          <w:tcPr>
            <w:tcW w:w="1226" w:type="dxa"/>
            <w:vMerge w:val="continue"/>
            <w:vAlign w:val="center"/>
          </w:tcPr>
          <w:p w14:paraId="6B8D6D17">
            <w:pPr>
              <w:jc w:val="center"/>
              <w:rPr>
                <w:b/>
                <w:color w:val="000000" w:themeColor="text1"/>
                <w:sz w:val="18"/>
                <w:szCs w:val="18"/>
                <w14:textFill>
                  <w14:solidFill>
                    <w14:schemeClr w14:val="tx1"/>
                  </w14:solidFill>
                </w14:textFill>
              </w:rPr>
            </w:pPr>
          </w:p>
        </w:tc>
        <w:tc>
          <w:tcPr>
            <w:tcW w:w="3516" w:type="dxa"/>
            <w:vAlign w:val="center"/>
          </w:tcPr>
          <w:p w14:paraId="2B9F0A10">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中国税制专题</w:t>
            </w:r>
          </w:p>
        </w:tc>
        <w:tc>
          <w:tcPr>
            <w:tcW w:w="1081" w:type="dxa"/>
            <w:vAlign w:val="center"/>
          </w:tcPr>
          <w:p w14:paraId="0F51C149">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w:t>
            </w:r>
            <w:r>
              <w:rPr>
                <w:rFonts w:hint="eastAsia"/>
                <w:color w:val="000000" w:themeColor="text1"/>
                <w:sz w:val="18"/>
                <w:szCs w:val="18"/>
                <w14:textFill>
                  <w14:solidFill>
                    <w14:schemeClr w14:val="tx1"/>
                  </w14:solidFill>
                </w14:textFill>
              </w:rPr>
              <w:t>4</w:t>
            </w:r>
            <w:r>
              <w:rPr>
                <w:rFonts w:hint="eastAsia"/>
                <w:color w:val="000000" w:themeColor="text1"/>
                <w:sz w:val="18"/>
                <w:szCs w:val="18"/>
                <w:lang w:val="en-US" w:eastAsia="zh-CN"/>
                <w14:textFill>
                  <w14:solidFill>
                    <w14:schemeClr w14:val="tx1"/>
                  </w14:solidFill>
                </w14:textFill>
              </w:rPr>
              <w:t>41214</w:t>
            </w:r>
          </w:p>
        </w:tc>
        <w:tc>
          <w:tcPr>
            <w:tcW w:w="709" w:type="dxa"/>
            <w:vAlign w:val="center"/>
          </w:tcPr>
          <w:p w14:paraId="4E70CD35">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vAlign w:val="center"/>
          </w:tcPr>
          <w:p w14:paraId="587D533A">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AEEC444">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504463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FCEDF8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6E623A9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96DEF0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19786A8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3B9B048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450A4A5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6D309D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592DE20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251EB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AAC2FF3">
            <w:pPr>
              <w:jc w:val="center"/>
              <w:rPr>
                <w:b/>
                <w:color w:val="000000" w:themeColor="text1"/>
                <w:sz w:val="18"/>
                <w:szCs w:val="18"/>
                <w14:textFill>
                  <w14:solidFill>
                    <w14:schemeClr w14:val="tx1"/>
                  </w14:solidFill>
                </w14:textFill>
              </w:rPr>
            </w:pPr>
          </w:p>
        </w:tc>
        <w:tc>
          <w:tcPr>
            <w:tcW w:w="1226" w:type="dxa"/>
            <w:vMerge w:val="continue"/>
            <w:vAlign w:val="center"/>
          </w:tcPr>
          <w:p w14:paraId="6AB876A9">
            <w:pPr>
              <w:jc w:val="center"/>
              <w:rPr>
                <w:b/>
                <w:color w:val="000000" w:themeColor="text1"/>
                <w:sz w:val="18"/>
                <w:szCs w:val="18"/>
                <w14:textFill>
                  <w14:solidFill>
                    <w14:schemeClr w14:val="tx1"/>
                  </w14:solidFill>
                </w14:textFill>
              </w:rPr>
            </w:pPr>
          </w:p>
        </w:tc>
        <w:tc>
          <w:tcPr>
            <w:tcW w:w="3516" w:type="dxa"/>
            <w:vAlign w:val="center"/>
          </w:tcPr>
          <w:p w14:paraId="41AD152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28103D6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1210448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1522AE8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E8EAB6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364D42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65CFF7">
            <w:pPr>
              <w:rPr>
                <w:b/>
                <w:color w:val="000000" w:themeColor="text1"/>
                <w:sz w:val="18"/>
                <w:szCs w:val="18"/>
                <w14:textFill>
                  <w14:solidFill>
                    <w14:schemeClr w14:val="tx1"/>
                  </w14:solidFill>
                </w14:textFill>
              </w:rPr>
            </w:pPr>
            <w:bookmarkStart w:id="4" w:name="_GoBack" w:colFirst="2" w:colLast="4"/>
          </w:p>
        </w:tc>
        <w:tc>
          <w:tcPr>
            <w:tcW w:w="1226" w:type="dxa"/>
            <w:vMerge w:val="restart"/>
            <w:vAlign w:val="center"/>
          </w:tcPr>
          <w:p w14:paraId="5CE7EB67">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财政理论与政策</w:t>
            </w:r>
            <w:r>
              <w:rPr>
                <w:b/>
                <w:color w:val="000000" w:themeColor="text1"/>
                <w:sz w:val="18"/>
                <w:szCs w:val="18"/>
                <w14:textFill>
                  <w14:solidFill>
                    <w14:schemeClr w14:val="tx1"/>
                  </w14:solidFill>
                </w14:textFill>
              </w:rPr>
              <w:t>方向</w:t>
            </w:r>
          </w:p>
          <w:p w14:paraId="483EC2DC">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2AC63E20">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政府预算理论与实务</w:t>
            </w:r>
          </w:p>
        </w:tc>
        <w:tc>
          <w:tcPr>
            <w:tcW w:w="1081" w:type="dxa"/>
            <w:vAlign w:val="center"/>
          </w:tcPr>
          <w:p w14:paraId="124A210D">
            <w:pPr>
              <w:jc w:val="cente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203</w:t>
            </w:r>
          </w:p>
        </w:tc>
        <w:tc>
          <w:tcPr>
            <w:tcW w:w="709" w:type="dxa"/>
            <w:vAlign w:val="center"/>
          </w:tcPr>
          <w:p w14:paraId="40E2B7E1">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4B50981">
            <w:pPr>
              <w:jc w:val="center"/>
              <w:rPr>
                <w:color w:val="000000" w:themeColor="text1"/>
                <w14:textFill>
                  <w14:solidFill>
                    <w14:schemeClr w14:val="tx1"/>
                  </w14:solidFill>
                </w14:textFill>
              </w:rPr>
            </w:pPr>
            <w:r>
              <w:rPr>
                <w:color w:val="000000" w:themeColor="text1"/>
                <w:sz w:val="18"/>
                <w:szCs w:val="18"/>
                <w14:textFill>
                  <w14:solidFill>
                    <w14:schemeClr w14:val="tx1"/>
                  </w14:solidFill>
                </w14:textFill>
              </w:rPr>
              <w:t>2</w:t>
            </w:r>
          </w:p>
        </w:tc>
        <w:tc>
          <w:tcPr>
            <w:tcW w:w="1045" w:type="dxa"/>
            <w:vMerge w:val="restart"/>
            <w:vAlign w:val="center"/>
          </w:tcPr>
          <w:p w14:paraId="403A80BD">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F69BB90">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学分</w:t>
            </w:r>
          </w:p>
        </w:tc>
      </w:tr>
      <w:tr w14:paraId="43B0DE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F248CB7">
            <w:pPr>
              <w:rPr>
                <w:b/>
                <w:color w:val="000000" w:themeColor="text1"/>
                <w:sz w:val="18"/>
                <w:szCs w:val="18"/>
                <w14:textFill>
                  <w14:solidFill>
                    <w14:schemeClr w14:val="tx1"/>
                  </w14:solidFill>
                </w14:textFill>
              </w:rPr>
            </w:pPr>
          </w:p>
        </w:tc>
        <w:tc>
          <w:tcPr>
            <w:tcW w:w="1226" w:type="dxa"/>
            <w:vMerge w:val="continue"/>
            <w:vAlign w:val="center"/>
          </w:tcPr>
          <w:p w14:paraId="6837302E">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28403D8A">
            <w:pP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资产评估理论与管理</w:t>
            </w:r>
          </w:p>
        </w:tc>
        <w:tc>
          <w:tcPr>
            <w:tcW w:w="1081" w:type="dxa"/>
            <w:vAlign w:val="center"/>
          </w:tcPr>
          <w:p w14:paraId="43858F08">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ZS0413005</w:t>
            </w:r>
          </w:p>
        </w:tc>
        <w:tc>
          <w:tcPr>
            <w:tcW w:w="709" w:type="dxa"/>
            <w:vAlign w:val="center"/>
          </w:tcPr>
          <w:p w14:paraId="75CCECB6">
            <w:pPr>
              <w:jc w:val="center"/>
              <w:rPr>
                <w:rFonts w:hint="eastAsia" w:eastAsia="宋体"/>
                <w:color w:val="000000" w:themeColor="text1"/>
                <w:sz w:val="18"/>
                <w:szCs w:val="18"/>
                <w:highlight w:val="none"/>
                <w:lang w:eastAsia="zh-CN"/>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3</w:t>
            </w:r>
          </w:p>
        </w:tc>
        <w:tc>
          <w:tcPr>
            <w:tcW w:w="709" w:type="dxa"/>
            <w:vAlign w:val="center"/>
          </w:tcPr>
          <w:p w14:paraId="51A1F4E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continue"/>
            <w:vAlign w:val="center"/>
          </w:tcPr>
          <w:p w14:paraId="4D3D4C9C">
            <w:pPr>
              <w:adjustRightInd w:val="0"/>
              <w:snapToGrid w:val="0"/>
              <w:jc w:val="center"/>
              <w:rPr>
                <w:color w:val="000000" w:themeColor="text1"/>
                <w:sz w:val="18"/>
                <w:szCs w:val="18"/>
                <w14:textFill>
                  <w14:solidFill>
                    <w14:schemeClr w14:val="tx1"/>
                  </w14:solidFill>
                </w14:textFill>
              </w:rPr>
            </w:pPr>
          </w:p>
        </w:tc>
      </w:tr>
      <w:tr w14:paraId="7A959C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05BFB1">
            <w:pPr>
              <w:rPr>
                <w:b/>
                <w:color w:val="000000" w:themeColor="text1"/>
                <w:sz w:val="18"/>
                <w:szCs w:val="18"/>
                <w14:textFill>
                  <w14:solidFill>
                    <w14:schemeClr w14:val="tx1"/>
                  </w14:solidFill>
                </w14:textFill>
              </w:rPr>
            </w:pPr>
          </w:p>
        </w:tc>
        <w:tc>
          <w:tcPr>
            <w:tcW w:w="1226" w:type="dxa"/>
            <w:vMerge w:val="continue"/>
            <w:vAlign w:val="center"/>
          </w:tcPr>
          <w:p w14:paraId="3097A71E">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44F2FE1E">
            <w:pPr>
              <w:rPr>
                <w:i/>
                <w:color w:val="000000" w:themeColor="text1"/>
                <w:sz w:val="18"/>
                <w:szCs w:val="18"/>
                <w14:textFill>
                  <w14:solidFill>
                    <w14:schemeClr w14:val="tx1"/>
                  </w14:solidFill>
                </w14:textFill>
              </w:rPr>
            </w:pPr>
            <w:r>
              <w:rPr>
                <w:rFonts w:hint="eastAsia" w:asciiTheme="majorEastAsia" w:hAnsiTheme="majorEastAsia" w:eastAsiaTheme="majorEastAsia" w:cstheme="majorEastAsia"/>
                <w:color w:val="000000" w:themeColor="text1"/>
                <w:sz w:val="18"/>
                <w:szCs w:val="18"/>
                <w14:textFill>
                  <w14:solidFill>
                    <w14:schemeClr w14:val="tx1"/>
                  </w14:solidFill>
                </w14:textFill>
              </w:rPr>
              <w:t>社会保障学</w:t>
            </w:r>
          </w:p>
        </w:tc>
        <w:tc>
          <w:tcPr>
            <w:tcW w:w="1081" w:type="dxa"/>
            <w:vAlign w:val="center"/>
          </w:tcPr>
          <w:p w14:paraId="390BA508">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w:t>
            </w:r>
            <w:r>
              <w:rPr>
                <w:rFonts w:hint="eastAsia"/>
                <w:color w:val="000000" w:themeColor="text1"/>
                <w:sz w:val="18"/>
                <w:szCs w:val="18"/>
                <w14:textFill>
                  <w14:solidFill>
                    <w14:schemeClr w14:val="tx1"/>
                  </w14:solidFill>
                </w14:textFill>
              </w:rPr>
              <w:t>413</w:t>
            </w:r>
            <w:r>
              <w:rPr>
                <w:color w:val="000000" w:themeColor="text1"/>
                <w:sz w:val="18"/>
                <w:szCs w:val="18"/>
                <w14:textFill>
                  <w14:solidFill>
                    <w14:schemeClr w14:val="tx1"/>
                  </w14:solidFill>
                </w14:textFill>
              </w:rPr>
              <w:t>03</w:t>
            </w:r>
          </w:p>
        </w:tc>
        <w:tc>
          <w:tcPr>
            <w:tcW w:w="709" w:type="dxa"/>
            <w:vAlign w:val="center"/>
          </w:tcPr>
          <w:p w14:paraId="0EC6FF79">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3437717">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E3C4E53">
            <w:pPr>
              <w:adjustRightInd w:val="0"/>
              <w:snapToGrid w:val="0"/>
              <w:jc w:val="center"/>
              <w:rPr>
                <w:color w:val="000000" w:themeColor="text1"/>
                <w:sz w:val="18"/>
                <w:szCs w:val="18"/>
                <w14:textFill>
                  <w14:solidFill>
                    <w14:schemeClr w14:val="tx1"/>
                  </w14:solidFill>
                </w14:textFill>
              </w:rPr>
            </w:pPr>
          </w:p>
        </w:tc>
      </w:tr>
      <w:tr w14:paraId="234C99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17A558">
            <w:pPr>
              <w:rPr>
                <w:b/>
                <w:color w:val="000000" w:themeColor="text1"/>
                <w:sz w:val="18"/>
                <w:szCs w:val="18"/>
                <w14:textFill>
                  <w14:solidFill>
                    <w14:schemeClr w14:val="tx1"/>
                  </w14:solidFill>
                </w14:textFill>
              </w:rPr>
            </w:pPr>
          </w:p>
        </w:tc>
        <w:tc>
          <w:tcPr>
            <w:tcW w:w="1226" w:type="dxa"/>
            <w:vMerge w:val="continue"/>
            <w:vAlign w:val="center"/>
          </w:tcPr>
          <w:p w14:paraId="4C2F0BF7">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43EAEB41">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财税理论前沿专题</w:t>
            </w:r>
          </w:p>
        </w:tc>
        <w:tc>
          <w:tcPr>
            <w:tcW w:w="1081" w:type="dxa"/>
            <w:vAlign w:val="center"/>
          </w:tcPr>
          <w:p w14:paraId="2650055D">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XS040</w:t>
            </w:r>
            <w:r>
              <w:rPr>
                <w:rFonts w:hint="eastAsia"/>
                <w:color w:val="000000" w:themeColor="text1"/>
                <w:sz w:val="18"/>
                <w:szCs w:val="18"/>
                <w:lang w:val="en-US" w:eastAsia="zh-CN"/>
                <w14:textFill>
                  <w14:solidFill>
                    <w14:schemeClr w14:val="tx1"/>
                  </w14:solidFill>
                </w14:textFill>
              </w:rPr>
              <w:t>1204</w:t>
            </w:r>
          </w:p>
        </w:tc>
        <w:tc>
          <w:tcPr>
            <w:tcW w:w="709" w:type="dxa"/>
            <w:vAlign w:val="center"/>
          </w:tcPr>
          <w:p w14:paraId="66EA9813">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0D90231">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30360438">
            <w:pPr>
              <w:adjustRightInd w:val="0"/>
              <w:snapToGrid w:val="0"/>
              <w:jc w:val="center"/>
              <w:rPr>
                <w:color w:val="000000" w:themeColor="text1"/>
                <w:sz w:val="18"/>
                <w:szCs w:val="18"/>
                <w14:textFill>
                  <w14:solidFill>
                    <w14:schemeClr w14:val="tx1"/>
                  </w14:solidFill>
                </w14:textFill>
              </w:rPr>
            </w:pPr>
          </w:p>
        </w:tc>
      </w:tr>
      <w:tr w14:paraId="74B873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90BFA8">
            <w:pPr>
              <w:rPr>
                <w:b/>
                <w:color w:val="000000" w:themeColor="text1"/>
                <w:sz w:val="18"/>
                <w:szCs w:val="18"/>
                <w14:textFill>
                  <w14:solidFill>
                    <w14:schemeClr w14:val="tx1"/>
                  </w14:solidFill>
                </w14:textFill>
              </w:rPr>
            </w:pPr>
          </w:p>
        </w:tc>
        <w:tc>
          <w:tcPr>
            <w:tcW w:w="1226" w:type="dxa"/>
            <w:vMerge w:val="continue"/>
            <w:vAlign w:val="center"/>
          </w:tcPr>
          <w:p w14:paraId="1E1578C9">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38C76819">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财政经济思想史</w:t>
            </w:r>
          </w:p>
        </w:tc>
        <w:tc>
          <w:tcPr>
            <w:tcW w:w="1081" w:type="dxa"/>
            <w:vAlign w:val="center"/>
          </w:tcPr>
          <w:p w14:paraId="54F15FF2">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05</w:t>
            </w:r>
          </w:p>
        </w:tc>
        <w:tc>
          <w:tcPr>
            <w:tcW w:w="709" w:type="dxa"/>
            <w:vAlign w:val="center"/>
          </w:tcPr>
          <w:p w14:paraId="4AFAB116">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E688198">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A406D93">
            <w:pPr>
              <w:adjustRightInd w:val="0"/>
              <w:snapToGrid w:val="0"/>
              <w:jc w:val="center"/>
              <w:rPr>
                <w:color w:val="000000" w:themeColor="text1"/>
                <w:sz w:val="18"/>
                <w:szCs w:val="18"/>
                <w14:textFill>
                  <w14:solidFill>
                    <w14:schemeClr w14:val="tx1"/>
                  </w14:solidFill>
                </w14:textFill>
              </w:rPr>
            </w:pPr>
          </w:p>
        </w:tc>
      </w:tr>
      <w:tr w14:paraId="1EFC64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B59CF0">
            <w:pPr>
              <w:rPr>
                <w:b/>
                <w:color w:val="000000" w:themeColor="text1"/>
                <w:sz w:val="18"/>
                <w:szCs w:val="18"/>
                <w14:textFill>
                  <w14:solidFill>
                    <w14:schemeClr w14:val="tx1"/>
                  </w14:solidFill>
                </w14:textFill>
              </w:rPr>
            </w:pPr>
          </w:p>
        </w:tc>
        <w:tc>
          <w:tcPr>
            <w:tcW w:w="1226" w:type="dxa"/>
            <w:vMerge w:val="continue"/>
            <w:vAlign w:val="center"/>
          </w:tcPr>
          <w:p w14:paraId="3A524C40">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0243FB69">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比较财政学</w:t>
            </w:r>
          </w:p>
        </w:tc>
        <w:tc>
          <w:tcPr>
            <w:tcW w:w="1081" w:type="dxa"/>
            <w:vAlign w:val="center"/>
          </w:tcPr>
          <w:p w14:paraId="05109B8D">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06</w:t>
            </w:r>
          </w:p>
        </w:tc>
        <w:tc>
          <w:tcPr>
            <w:tcW w:w="709" w:type="dxa"/>
            <w:vAlign w:val="center"/>
          </w:tcPr>
          <w:p w14:paraId="692C30BC">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F569C30">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Merge w:val="continue"/>
            <w:vAlign w:val="center"/>
          </w:tcPr>
          <w:p w14:paraId="18B2D0AE">
            <w:pPr>
              <w:adjustRightInd w:val="0"/>
              <w:snapToGrid w:val="0"/>
              <w:jc w:val="center"/>
              <w:rPr>
                <w:color w:val="000000" w:themeColor="text1"/>
                <w:sz w:val="18"/>
                <w:szCs w:val="18"/>
                <w14:textFill>
                  <w14:solidFill>
                    <w14:schemeClr w14:val="tx1"/>
                  </w14:solidFill>
                </w14:textFill>
              </w:rPr>
            </w:pPr>
          </w:p>
        </w:tc>
      </w:tr>
      <w:tr w14:paraId="14CF5B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5CE5D7">
            <w:pPr>
              <w:rPr>
                <w:b/>
                <w:color w:val="000000" w:themeColor="text1"/>
                <w:sz w:val="18"/>
                <w:szCs w:val="18"/>
                <w14:textFill>
                  <w14:solidFill>
                    <w14:schemeClr w14:val="tx1"/>
                  </w14:solidFill>
                </w14:textFill>
              </w:rPr>
            </w:pPr>
          </w:p>
        </w:tc>
        <w:tc>
          <w:tcPr>
            <w:tcW w:w="1226" w:type="dxa"/>
            <w:vMerge w:val="continue"/>
            <w:vAlign w:val="center"/>
          </w:tcPr>
          <w:p w14:paraId="39EA5740">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6E220C89">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税务管理专题</w:t>
            </w:r>
          </w:p>
        </w:tc>
        <w:tc>
          <w:tcPr>
            <w:tcW w:w="1081" w:type="dxa"/>
            <w:vAlign w:val="center"/>
          </w:tcPr>
          <w:p w14:paraId="2B47DF41">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07</w:t>
            </w:r>
          </w:p>
        </w:tc>
        <w:tc>
          <w:tcPr>
            <w:tcW w:w="709" w:type="dxa"/>
            <w:vAlign w:val="center"/>
          </w:tcPr>
          <w:p w14:paraId="7F4C8146">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5085144">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Merge w:val="continue"/>
            <w:vAlign w:val="center"/>
          </w:tcPr>
          <w:p w14:paraId="1B227AD7">
            <w:pPr>
              <w:adjustRightInd w:val="0"/>
              <w:snapToGrid w:val="0"/>
              <w:jc w:val="center"/>
              <w:rPr>
                <w:color w:val="000000" w:themeColor="text1"/>
                <w:sz w:val="18"/>
                <w:szCs w:val="18"/>
                <w14:textFill>
                  <w14:solidFill>
                    <w14:schemeClr w14:val="tx1"/>
                  </w14:solidFill>
                </w14:textFill>
              </w:rPr>
            </w:pPr>
          </w:p>
        </w:tc>
      </w:tr>
      <w:tr w14:paraId="3C1D3B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6DAE5E">
            <w:pPr>
              <w:rPr>
                <w:b/>
                <w:color w:val="000000" w:themeColor="text1"/>
                <w:sz w:val="18"/>
                <w:szCs w:val="18"/>
                <w14:textFill>
                  <w14:solidFill>
                    <w14:schemeClr w14:val="tx1"/>
                  </w14:solidFill>
                </w14:textFill>
              </w:rPr>
            </w:pPr>
          </w:p>
        </w:tc>
        <w:tc>
          <w:tcPr>
            <w:tcW w:w="1226" w:type="dxa"/>
            <w:vMerge w:val="continue"/>
            <w:vAlign w:val="center"/>
          </w:tcPr>
          <w:p w14:paraId="3BC74695">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66EB9453">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国际税收专题</w:t>
            </w:r>
          </w:p>
        </w:tc>
        <w:tc>
          <w:tcPr>
            <w:tcW w:w="1081" w:type="dxa"/>
            <w:vAlign w:val="center"/>
          </w:tcPr>
          <w:p w14:paraId="76A617F4">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08</w:t>
            </w:r>
          </w:p>
        </w:tc>
        <w:tc>
          <w:tcPr>
            <w:tcW w:w="709" w:type="dxa"/>
            <w:vAlign w:val="center"/>
          </w:tcPr>
          <w:p w14:paraId="5CF1E9BE">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47A112D6">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95C7C67">
            <w:pPr>
              <w:adjustRightInd w:val="0"/>
              <w:snapToGrid w:val="0"/>
              <w:jc w:val="center"/>
              <w:rPr>
                <w:color w:val="000000" w:themeColor="text1"/>
                <w:sz w:val="18"/>
                <w:szCs w:val="18"/>
                <w14:textFill>
                  <w14:solidFill>
                    <w14:schemeClr w14:val="tx1"/>
                  </w14:solidFill>
                </w14:textFill>
              </w:rPr>
            </w:pPr>
          </w:p>
        </w:tc>
      </w:tr>
      <w:tr w14:paraId="2B21F5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74130A0">
            <w:pPr>
              <w:rPr>
                <w:b/>
                <w:color w:val="000000" w:themeColor="text1"/>
                <w:sz w:val="18"/>
                <w:szCs w:val="18"/>
                <w14:textFill>
                  <w14:solidFill>
                    <w14:schemeClr w14:val="tx1"/>
                  </w14:solidFill>
                </w14:textFill>
              </w:rPr>
            </w:pPr>
          </w:p>
        </w:tc>
        <w:tc>
          <w:tcPr>
            <w:tcW w:w="1226" w:type="dxa"/>
            <w:vMerge w:val="continue"/>
            <w:vAlign w:val="center"/>
          </w:tcPr>
          <w:p w14:paraId="7AF3453C">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61B40A34">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公共政策学</w:t>
            </w:r>
          </w:p>
        </w:tc>
        <w:tc>
          <w:tcPr>
            <w:tcW w:w="1081" w:type="dxa"/>
            <w:vAlign w:val="center"/>
          </w:tcPr>
          <w:p w14:paraId="52F84D06">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w:t>
            </w:r>
            <w:r>
              <w:rPr>
                <w:color w:val="000000" w:themeColor="text1"/>
                <w:sz w:val="18"/>
                <w:szCs w:val="18"/>
                <w14:textFill>
                  <w14:solidFill>
                    <w14:schemeClr w14:val="tx1"/>
                  </w14:solidFill>
                </w14:textFill>
              </w:rPr>
              <w:t>09</w:t>
            </w:r>
          </w:p>
        </w:tc>
        <w:tc>
          <w:tcPr>
            <w:tcW w:w="709" w:type="dxa"/>
            <w:vAlign w:val="center"/>
          </w:tcPr>
          <w:p w14:paraId="1AAFBABF">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29BE383">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174064A">
            <w:pPr>
              <w:adjustRightInd w:val="0"/>
              <w:snapToGrid w:val="0"/>
              <w:jc w:val="center"/>
              <w:rPr>
                <w:color w:val="000000" w:themeColor="text1"/>
                <w:sz w:val="18"/>
                <w:szCs w:val="18"/>
                <w14:textFill>
                  <w14:solidFill>
                    <w14:schemeClr w14:val="tx1"/>
                  </w14:solidFill>
                </w14:textFill>
              </w:rPr>
            </w:pPr>
          </w:p>
        </w:tc>
      </w:tr>
      <w:tr w14:paraId="34371A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F0A166">
            <w:pPr>
              <w:rPr>
                <w:b/>
                <w:color w:val="000000" w:themeColor="text1"/>
                <w:sz w:val="18"/>
                <w:szCs w:val="18"/>
                <w14:textFill>
                  <w14:solidFill>
                    <w14:schemeClr w14:val="tx1"/>
                  </w14:solidFill>
                </w14:textFill>
              </w:rPr>
            </w:pPr>
          </w:p>
        </w:tc>
        <w:tc>
          <w:tcPr>
            <w:tcW w:w="1226" w:type="dxa"/>
            <w:vMerge w:val="continue"/>
            <w:vAlign w:val="center"/>
          </w:tcPr>
          <w:p w14:paraId="466C92DB">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4E4ABC5E">
            <w:pPr>
              <w:rPr>
                <w:i/>
                <w:color w:val="000000" w:themeColor="text1"/>
                <w:sz w:val="18"/>
                <w:szCs w:val="18"/>
                <w:highlight w:val="none"/>
                <w14:textFill>
                  <w14:solidFill>
                    <w14:schemeClr w14:val="tx1"/>
                  </w14:solidFill>
                </w14:textFill>
              </w:rPr>
            </w:pPr>
            <w:r>
              <w:rPr>
                <w:rFonts w:hint="eastAsia" w:asciiTheme="majorEastAsia" w:hAnsiTheme="majorEastAsia" w:eastAsiaTheme="majorEastAsia" w:cstheme="majorEastAsia"/>
                <w:color w:val="000000" w:themeColor="text1"/>
                <w:sz w:val="18"/>
                <w:szCs w:val="18"/>
                <w:highlight w:val="none"/>
                <w14:textFill>
                  <w14:solidFill>
                    <w14:schemeClr w14:val="tx1"/>
                  </w14:solidFill>
                </w14:textFill>
              </w:rPr>
              <w:t>社会保障基金管理</w:t>
            </w:r>
          </w:p>
        </w:tc>
        <w:tc>
          <w:tcPr>
            <w:tcW w:w="1081" w:type="dxa"/>
            <w:vAlign w:val="center"/>
          </w:tcPr>
          <w:p w14:paraId="24292FB4">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XS0441205</w:t>
            </w:r>
          </w:p>
        </w:tc>
        <w:tc>
          <w:tcPr>
            <w:tcW w:w="709" w:type="dxa"/>
            <w:vAlign w:val="center"/>
          </w:tcPr>
          <w:p w14:paraId="5B17BFCA">
            <w:pPr>
              <w:jc w:val="center"/>
              <w:rPr>
                <w:color w:val="000000" w:themeColor="text1"/>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vAlign w:val="center"/>
          </w:tcPr>
          <w:p w14:paraId="39259973">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727CAE49">
            <w:pPr>
              <w:adjustRightInd w:val="0"/>
              <w:snapToGrid w:val="0"/>
              <w:jc w:val="center"/>
              <w:rPr>
                <w:color w:val="000000" w:themeColor="text1"/>
                <w:sz w:val="18"/>
                <w:szCs w:val="18"/>
                <w14:textFill>
                  <w14:solidFill>
                    <w14:schemeClr w14:val="tx1"/>
                  </w14:solidFill>
                </w14:textFill>
              </w:rPr>
            </w:pPr>
          </w:p>
        </w:tc>
      </w:tr>
      <w:tr w14:paraId="3BB744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096DA5">
            <w:pPr>
              <w:rPr>
                <w:b/>
                <w:color w:val="000000" w:themeColor="text1"/>
                <w:sz w:val="18"/>
                <w:szCs w:val="18"/>
                <w14:textFill>
                  <w14:solidFill>
                    <w14:schemeClr w14:val="tx1"/>
                  </w14:solidFill>
                </w14:textFill>
              </w:rPr>
            </w:pPr>
          </w:p>
        </w:tc>
        <w:tc>
          <w:tcPr>
            <w:tcW w:w="1226" w:type="dxa"/>
            <w:vMerge w:val="continue"/>
            <w:vAlign w:val="center"/>
          </w:tcPr>
          <w:p w14:paraId="21C03A7F">
            <w:pPr>
              <w:jc w:val="center"/>
              <w:rPr>
                <w:b/>
                <w:color w:val="000000" w:themeColor="text1"/>
                <w:sz w:val="18"/>
                <w:szCs w:val="18"/>
                <w14:textFill>
                  <w14:solidFill>
                    <w14:schemeClr w14:val="tx1"/>
                  </w14:solidFill>
                </w14:textFill>
              </w:rPr>
            </w:pPr>
          </w:p>
        </w:tc>
        <w:tc>
          <w:tcPr>
            <w:tcW w:w="3516" w:type="dxa"/>
            <w:vAlign w:val="center"/>
          </w:tcPr>
          <w:p w14:paraId="6690CEA9">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财税大数据与国家治理专题</w:t>
            </w:r>
          </w:p>
        </w:tc>
        <w:tc>
          <w:tcPr>
            <w:tcW w:w="1081" w:type="dxa"/>
            <w:vAlign w:val="center"/>
          </w:tcPr>
          <w:p w14:paraId="5C550FE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XS04</w:t>
            </w:r>
            <w:r>
              <w:rPr>
                <w:rFonts w:hint="eastAsia"/>
                <w:color w:val="000000" w:themeColor="text1"/>
                <w:sz w:val="18"/>
                <w:szCs w:val="18"/>
                <w14:textFill>
                  <w14:solidFill>
                    <w14:schemeClr w14:val="tx1"/>
                  </w14:solidFill>
                </w14:textFill>
              </w:rPr>
              <w:t>41311</w:t>
            </w:r>
          </w:p>
        </w:tc>
        <w:tc>
          <w:tcPr>
            <w:tcW w:w="709" w:type="dxa"/>
            <w:vAlign w:val="center"/>
          </w:tcPr>
          <w:p w14:paraId="464FB09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A374A8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36321E0A">
            <w:pPr>
              <w:jc w:val="center"/>
              <w:rPr>
                <w:color w:val="000000" w:themeColor="text1"/>
                <w:sz w:val="18"/>
                <w:szCs w:val="18"/>
                <w14:textFill>
                  <w14:solidFill>
                    <w14:schemeClr w14:val="tx1"/>
                  </w14:solidFill>
                </w14:textFill>
              </w:rPr>
            </w:pPr>
          </w:p>
        </w:tc>
      </w:tr>
      <w:tr w14:paraId="45C22B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BD0E9D">
            <w:pPr>
              <w:rPr>
                <w:b/>
                <w:color w:val="000000" w:themeColor="text1"/>
                <w:sz w:val="18"/>
                <w:szCs w:val="18"/>
                <w14:textFill>
                  <w14:solidFill>
                    <w14:schemeClr w14:val="tx1"/>
                  </w14:solidFill>
                </w14:textFill>
              </w:rPr>
            </w:pPr>
          </w:p>
        </w:tc>
        <w:tc>
          <w:tcPr>
            <w:tcW w:w="1226" w:type="dxa"/>
            <w:vMerge w:val="restart"/>
            <w:vAlign w:val="center"/>
          </w:tcPr>
          <w:p w14:paraId="6FE65D19">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税收理论与制度</w:t>
            </w:r>
            <w:r>
              <w:rPr>
                <w:b/>
                <w:color w:val="000000" w:themeColor="text1"/>
                <w:sz w:val="18"/>
                <w:szCs w:val="18"/>
                <w14:textFill>
                  <w14:solidFill>
                    <w14:schemeClr w14:val="tx1"/>
                  </w14:solidFill>
                </w14:textFill>
              </w:rPr>
              <w:t>方向</w:t>
            </w:r>
          </w:p>
          <w:p w14:paraId="738E6D89">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3A0D03E6">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205B7462">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高级财务会计</w:t>
            </w:r>
          </w:p>
        </w:tc>
        <w:tc>
          <w:tcPr>
            <w:tcW w:w="1081" w:type="dxa"/>
            <w:vAlign w:val="center"/>
          </w:tcPr>
          <w:p w14:paraId="6F8CA7AB">
            <w:pPr>
              <w:jc w:val="center"/>
              <w:rPr>
                <w:rFonts w:hint="default" w:eastAsia="宋体"/>
                <w:color w:val="000000" w:themeColor="text1"/>
                <w:sz w:val="18"/>
                <w:szCs w:val="18"/>
                <w:highlight w:val="none"/>
                <w:lang w:val="en-US" w:eastAsia="zh-CN"/>
                <w14:textFill>
                  <w14:solidFill>
                    <w14:schemeClr w14:val="tx1"/>
                  </w14:solidFill>
                </w14:textFill>
              </w:rPr>
            </w:pPr>
            <w:r>
              <w:rPr>
                <w:color w:val="000000" w:themeColor="text1"/>
                <w:sz w:val="18"/>
                <w:szCs w:val="18"/>
                <w:highlight w:val="none"/>
                <w14:textFill>
                  <w14:solidFill>
                    <w14:schemeClr w14:val="tx1"/>
                  </w14:solidFill>
                </w14:textFill>
              </w:rPr>
              <w:t>XS04312</w:t>
            </w:r>
            <w:r>
              <w:rPr>
                <w:rFonts w:hint="eastAsia"/>
                <w:color w:val="000000" w:themeColor="text1"/>
                <w:sz w:val="18"/>
                <w:szCs w:val="18"/>
                <w:highlight w:val="none"/>
                <w:lang w:val="en-US" w:eastAsia="zh-CN"/>
                <w14:textFill>
                  <w14:solidFill>
                    <w14:schemeClr w14:val="tx1"/>
                  </w14:solidFill>
                </w14:textFill>
              </w:rPr>
              <w:t>12</w:t>
            </w:r>
          </w:p>
        </w:tc>
        <w:tc>
          <w:tcPr>
            <w:tcW w:w="709" w:type="dxa"/>
            <w:vAlign w:val="center"/>
          </w:tcPr>
          <w:p w14:paraId="020943AF">
            <w:pPr>
              <w:jc w:val="center"/>
              <w:rPr>
                <w:color w:val="000000" w:themeColor="text1"/>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vAlign w:val="center"/>
          </w:tcPr>
          <w:p w14:paraId="38764E17">
            <w:pPr>
              <w:jc w:val="center"/>
              <w:rPr>
                <w:color w:val="000000" w:themeColor="text1"/>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2D9EA712">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A7C186F">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r>
              <w:rPr>
                <w:color w:val="000000" w:themeColor="text1"/>
                <w:sz w:val="18"/>
                <w:szCs w:val="18"/>
                <w14:textFill>
                  <w14:solidFill>
                    <w14:schemeClr w14:val="tx1"/>
                  </w14:solidFill>
                </w14:textFill>
              </w:rPr>
              <w:t>学分</w:t>
            </w:r>
          </w:p>
        </w:tc>
      </w:tr>
      <w:tr w14:paraId="3F1AFE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BBB93F">
            <w:pPr>
              <w:rPr>
                <w:b/>
                <w:color w:val="000000" w:themeColor="text1"/>
                <w:sz w:val="18"/>
                <w:szCs w:val="18"/>
                <w14:textFill>
                  <w14:solidFill>
                    <w14:schemeClr w14:val="tx1"/>
                  </w14:solidFill>
                </w14:textFill>
              </w:rPr>
            </w:pPr>
          </w:p>
        </w:tc>
        <w:tc>
          <w:tcPr>
            <w:tcW w:w="1226" w:type="dxa"/>
            <w:vMerge w:val="continue"/>
            <w:vAlign w:val="center"/>
          </w:tcPr>
          <w:p w14:paraId="25BE98AE">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1BF4092E">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财税理论前沿专题</w:t>
            </w:r>
          </w:p>
        </w:tc>
        <w:tc>
          <w:tcPr>
            <w:tcW w:w="1081" w:type="dxa"/>
            <w:vAlign w:val="center"/>
          </w:tcPr>
          <w:p w14:paraId="7C10E580">
            <w:pPr>
              <w:jc w:val="center"/>
              <w:rPr>
                <w:rFonts w:hint="default" w:eastAsia="宋体"/>
                <w:i/>
                <w:color w:val="000000" w:themeColor="text1"/>
                <w:sz w:val="18"/>
                <w:szCs w:val="18"/>
                <w:highlight w:val="none"/>
                <w:lang w:val="en-US" w:eastAsia="zh-CN"/>
                <w14:textFill>
                  <w14:solidFill>
                    <w14:schemeClr w14:val="tx1"/>
                  </w14:solidFill>
                </w14:textFill>
              </w:rPr>
            </w:pPr>
            <w:r>
              <w:rPr>
                <w:color w:val="000000" w:themeColor="text1"/>
                <w:sz w:val="18"/>
                <w:szCs w:val="18"/>
                <w:highlight w:val="none"/>
                <w14:textFill>
                  <w14:solidFill>
                    <w14:schemeClr w14:val="tx1"/>
                  </w14:solidFill>
                </w14:textFill>
              </w:rPr>
              <w:t>XS0401</w:t>
            </w:r>
            <w:r>
              <w:rPr>
                <w:rFonts w:hint="eastAsia"/>
                <w:color w:val="000000" w:themeColor="text1"/>
                <w:sz w:val="18"/>
                <w:szCs w:val="18"/>
                <w:highlight w:val="none"/>
                <w:lang w:val="en-US" w:eastAsia="zh-CN"/>
                <w14:textFill>
                  <w14:solidFill>
                    <w14:schemeClr w14:val="tx1"/>
                  </w14:solidFill>
                </w14:textFill>
              </w:rPr>
              <w:t>204</w:t>
            </w:r>
          </w:p>
        </w:tc>
        <w:tc>
          <w:tcPr>
            <w:tcW w:w="709" w:type="dxa"/>
            <w:vAlign w:val="center"/>
          </w:tcPr>
          <w:p w14:paraId="2F415DC1">
            <w:pPr>
              <w:jc w:val="cente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vAlign w:val="center"/>
          </w:tcPr>
          <w:p w14:paraId="79B6917F">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BF8B3EA">
            <w:pPr>
              <w:adjustRightInd w:val="0"/>
              <w:snapToGrid w:val="0"/>
              <w:jc w:val="center"/>
              <w:rPr>
                <w:color w:val="000000" w:themeColor="text1"/>
                <w:sz w:val="18"/>
                <w:szCs w:val="18"/>
                <w14:textFill>
                  <w14:solidFill>
                    <w14:schemeClr w14:val="tx1"/>
                  </w14:solidFill>
                </w14:textFill>
              </w:rPr>
            </w:pPr>
          </w:p>
        </w:tc>
      </w:tr>
      <w:tr w14:paraId="027DE9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14106F1">
            <w:pPr>
              <w:rPr>
                <w:b/>
                <w:color w:val="000000" w:themeColor="text1"/>
                <w:sz w:val="18"/>
                <w:szCs w:val="18"/>
                <w14:textFill>
                  <w14:solidFill>
                    <w14:schemeClr w14:val="tx1"/>
                  </w14:solidFill>
                </w14:textFill>
              </w:rPr>
            </w:pPr>
          </w:p>
        </w:tc>
        <w:tc>
          <w:tcPr>
            <w:tcW w:w="1226" w:type="dxa"/>
            <w:vMerge w:val="continue"/>
            <w:vAlign w:val="center"/>
          </w:tcPr>
          <w:p w14:paraId="66B44083">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2C1BD043">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税务管理专题</w:t>
            </w:r>
          </w:p>
        </w:tc>
        <w:tc>
          <w:tcPr>
            <w:tcW w:w="1081" w:type="dxa"/>
            <w:vAlign w:val="center"/>
          </w:tcPr>
          <w:p w14:paraId="421158AE">
            <w:pPr>
              <w:jc w:val="center"/>
              <w:rPr>
                <w:rFonts w:hint="default" w:eastAsia="宋体"/>
                <w:i/>
                <w:color w:val="000000" w:themeColor="text1"/>
                <w:sz w:val="18"/>
                <w:szCs w:val="18"/>
                <w:highlight w:val="none"/>
                <w:lang w:val="en-US" w:eastAsia="zh-CN"/>
                <w14:textFill>
                  <w14:solidFill>
                    <w14:schemeClr w14:val="tx1"/>
                  </w14:solidFill>
                </w14:textFill>
              </w:rPr>
            </w:pPr>
            <w:r>
              <w:rPr>
                <w:color w:val="000000" w:themeColor="text1"/>
                <w:sz w:val="18"/>
                <w:szCs w:val="18"/>
                <w:highlight w:val="none"/>
                <w14:textFill>
                  <w14:solidFill>
                    <w14:schemeClr w14:val="tx1"/>
                  </w14:solidFill>
                </w14:textFill>
              </w:rPr>
              <w:t>XS0401</w:t>
            </w:r>
            <w:r>
              <w:rPr>
                <w:rFonts w:hint="eastAsia"/>
                <w:color w:val="000000" w:themeColor="text1"/>
                <w:sz w:val="18"/>
                <w:szCs w:val="18"/>
                <w:highlight w:val="none"/>
                <w:lang w:val="en-US" w:eastAsia="zh-CN"/>
                <w14:textFill>
                  <w14:solidFill>
                    <w14:schemeClr w14:val="tx1"/>
                  </w14:solidFill>
                </w14:textFill>
              </w:rPr>
              <w:t>207</w:t>
            </w:r>
          </w:p>
        </w:tc>
        <w:tc>
          <w:tcPr>
            <w:tcW w:w="709" w:type="dxa"/>
            <w:vAlign w:val="center"/>
          </w:tcPr>
          <w:p w14:paraId="2E83E9D9">
            <w:pPr>
              <w:jc w:val="cente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vAlign w:val="center"/>
          </w:tcPr>
          <w:p w14:paraId="15AEED1F">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Merge w:val="continue"/>
            <w:vAlign w:val="center"/>
          </w:tcPr>
          <w:p w14:paraId="72CB7615">
            <w:pPr>
              <w:adjustRightInd w:val="0"/>
              <w:snapToGrid w:val="0"/>
              <w:jc w:val="center"/>
              <w:rPr>
                <w:color w:val="000000" w:themeColor="text1"/>
                <w:sz w:val="18"/>
                <w:szCs w:val="18"/>
                <w14:textFill>
                  <w14:solidFill>
                    <w14:schemeClr w14:val="tx1"/>
                  </w14:solidFill>
                </w14:textFill>
              </w:rPr>
            </w:pPr>
          </w:p>
        </w:tc>
      </w:tr>
      <w:tr w14:paraId="6CC59A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A3C926">
            <w:pPr>
              <w:rPr>
                <w:b/>
                <w:color w:val="000000" w:themeColor="text1"/>
                <w:sz w:val="18"/>
                <w:szCs w:val="18"/>
                <w14:textFill>
                  <w14:solidFill>
                    <w14:schemeClr w14:val="tx1"/>
                  </w14:solidFill>
                </w14:textFill>
              </w:rPr>
            </w:pPr>
          </w:p>
        </w:tc>
        <w:tc>
          <w:tcPr>
            <w:tcW w:w="1226" w:type="dxa"/>
            <w:vMerge w:val="continue"/>
            <w:vAlign w:val="center"/>
          </w:tcPr>
          <w:p w14:paraId="4268A28E">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4330E82B">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国际税收专题</w:t>
            </w:r>
          </w:p>
        </w:tc>
        <w:tc>
          <w:tcPr>
            <w:tcW w:w="1081" w:type="dxa"/>
            <w:vAlign w:val="center"/>
          </w:tcPr>
          <w:p w14:paraId="46479782">
            <w:pPr>
              <w:jc w:val="center"/>
              <w:rPr>
                <w:i/>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ZS0417006</w:t>
            </w:r>
          </w:p>
        </w:tc>
        <w:tc>
          <w:tcPr>
            <w:tcW w:w="709" w:type="dxa"/>
            <w:vAlign w:val="center"/>
          </w:tcPr>
          <w:p w14:paraId="438C208E">
            <w:pPr>
              <w:jc w:val="center"/>
              <w:rPr>
                <w:rFonts w:hint="eastAsia" w:eastAsia="宋体"/>
                <w:i/>
                <w:color w:val="000000" w:themeColor="text1"/>
                <w:sz w:val="18"/>
                <w:szCs w:val="18"/>
                <w:highlight w:val="none"/>
                <w:lang w:val="en-US" w:eastAsia="zh-CN"/>
                <w14:textFill>
                  <w14:solidFill>
                    <w14:schemeClr w14:val="tx1"/>
                  </w14:solidFill>
                </w14:textFill>
              </w:rPr>
            </w:pPr>
            <w:r>
              <w:rPr>
                <w:rFonts w:hint="eastAsia"/>
                <w:i/>
                <w:color w:val="000000" w:themeColor="text1"/>
                <w:sz w:val="18"/>
                <w:szCs w:val="18"/>
                <w:highlight w:val="none"/>
                <w:lang w:val="en-US" w:eastAsia="zh-CN"/>
                <w14:textFill>
                  <w14:solidFill>
                    <w14:schemeClr w14:val="tx1"/>
                  </w14:solidFill>
                </w14:textFill>
              </w:rPr>
              <w:t>3</w:t>
            </w:r>
          </w:p>
        </w:tc>
        <w:tc>
          <w:tcPr>
            <w:tcW w:w="709" w:type="dxa"/>
            <w:vAlign w:val="center"/>
          </w:tcPr>
          <w:p w14:paraId="71C9C89E">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52237DA">
            <w:pPr>
              <w:adjustRightInd w:val="0"/>
              <w:snapToGrid w:val="0"/>
              <w:jc w:val="center"/>
              <w:rPr>
                <w:color w:val="000000" w:themeColor="text1"/>
                <w:sz w:val="18"/>
                <w:szCs w:val="18"/>
                <w14:textFill>
                  <w14:solidFill>
                    <w14:schemeClr w14:val="tx1"/>
                  </w14:solidFill>
                </w14:textFill>
              </w:rPr>
            </w:pPr>
          </w:p>
        </w:tc>
      </w:tr>
      <w:tr w14:paraId="6C4B1A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416565">
            <w:pPr>
              <w:rPr>
                <w:b/>
                <w:color w:val="000000" w:themeColor="text1"/>
                <w:sz w:val="18"/>
                <w:szCs w:val="18"/>
                <w14:textFill>
                  <w14:solidFill>
                    <w14:schemeClr w14:val="tx1"/>
                  </w14:solidFill>
                </w14:textFill>
              </w:rPr>
            </w:pPr>
          </w:p>
        </w:tc>
        <w:tc>
          <w:tcPr>
            <w:tcW w:w="1226" w:type="dxa"/>
            <w:vMerge w:val="continue"/>
            <w:vAlign w:val="center"/>
          </w:tcPr>
          <w:p w14:paraId="6EDB9E8B">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7A5E25F1">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税务合规计划专题</w:t>
            </w:r>
          </w:p>
        </w:tc>
        <w:tc>
          <w:tcPr>
            <w:tcW w:w="1081" w:type="dxa"/>
            <w:vAlign w:val="center"/>
          </w:tcPr>
          <w:p w14:paraId="08E27AAD">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ZS04170</w:t>
            </w:r>
            <w:r>
              <w:rPr>
                <w:rFonts w:hint="eastAsia"/>
                <w:color w:val="000000" w:themeColor="text1"/>
                <w:sz w:val="18"/>
                <w:szCs w:val="18"/>
                <w:lang w:val="en-US" w:eastAsia="zh-CN"/>
                <w14:textFill>
                  <w14:solidFill>
                    <w14:schemeClr w14:val="tx1"/>
                  </w14:solidFill>
                </w14:textFill>
              </w:rPr>
              <w:t>11</w:t>
            </w:r>
          </w:p>
        </w:tc>
        <w:tc>
          <w:tcPr>
            <w:tcW w:w="709" w:type="dxa"/>
            <w:vAlign w:val="center"/>
          </w:tcPr>
          <w:p w14:paraId="7388F684">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3</w:t>
            </w:r>
          </w:p>
        </w:tc>
        <w:tc>
          <w:tcPr>
            <w:tcW w:w="709" w:type="dxa"/>
            <w:vAlign w:val="center"/>
          </w:tcPr>
          <w:p w14:paraId="68662494">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Merge w:val="continue"/>
            <w:vAlign w:val="center"/>
          </w:tcPr>
          <w:p w14:paraId="31964112">
            <w:pPr>
              <w:adjustRightInd w:val="0"/>
              <w:snapToGrid w:val="0"/>
              <w:jc w:val="center"/>
              <w:rPr>
                <w:color w:val="000000" w:themeColor="text1"/>
                <w:sz w:val="18"/>
                <w:szCs w:val="18"/>
                <w14:textFill>
                  <w14:solidFill>
                    <w14:schemeClr w14:val="tx1"/>
                  </w14:solidFill>
                </w14:textFill>
              </w:rPr>
            </w:pPr>
          </w:p>
        </w:tc>
      </w:tr>
      <w:tr w14:paraId="08C9BA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6564A3">
            <w:pPr>
              <w:rPr>
                <w:b/>
                <w:color w:val="000000" w:themeColor="text1"/>
                <w:sz w:val="18"/>
                <w:szCs w:val="18"/>
                <w14:textFill>
                  <w14:solidFill>
                    <w14:schemeClr w14:val="tx1"/>
                  </w14:solidFill>
                </w14:textFill>
              </w:rPr>
            </w:pPr>
          </w:p>
        </w:tc>
        <w:tc>
          <w:tcPr>
            <w:tcW w:w="1226" w:type="dxa"/>
            <w:vMerge w:val="continue"/>
            <w:vAlign w:val="center"/>
          </w:tcPr>
          <w:p w14:paraId="1BD28A46">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770F56B9">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税务代理实务</w:t>
            </w:r>
          </w:p>
        </w:tc>
        <w:tc>
          <w:tcPr>
            <w:tcW w:w="1081" w:type="dxa"/>
            <w:vAlign w:val="center"/>
          </w:tcPr>
          <w:p w14:paraId="227EF95C">
            <w:pPr>
              <w:jc w:val="center"/>
              <w:rPr>
                <w:i/>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ZS0417215</w:t>
            </w:r>
          </w:p>
        </w:tc>
        <w:tc>
          <w:tcPr>
            <w:tcW w:w="709" w:type="dxa"/>
            <w:vAlign w:val="center"/>
          </w:tcPr>
          <w:p w14:paraId="7C310587">
            <w:pPr>
              <w:jc w:val="cente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vAlign w:val="center"/>
          </w:tcPr>
          <w:p w14:paraId="7FADF457">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F83A7D0">
            <w:pPr>
              <w:adjustRightInd w:val="0"/>
              <w:snapToGrid w:val="0"/>
              <w:jc w:val="center"/>
              <w:rPr>
                <w:color w:val="000000" w:themeColor="text1"/>
                <w:sz w:val="18"/>
                <w:szCs w:val="18"/>
                <w14:textFill>
                  <w14:solidFill>
                    <w14:schemeClr w14:val="tx1"/>
                  </w14:solidFill>
                </w14:textFill>
              </w:rPr>
            </w:pPr>
          </w:p>
        </w:tc>
      </w:tr>
      <w:tr w14:paraId="4004E18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E388DA4">
            <w:pPr>
              <w:rPr>
                <w:b/>
                <w:color w:val="000000" w:themeColor="text1"/>
                <w:sz w:val="18"/>
                <w:szCs w:val="18"/>
                <w14:textFill>
                  <w14:solidFill>
                    <w14:schemeClr w14:val="tx1"/>
                  </w14:solidFill>
                </w14:textFill>
              </w:rPr>
            </w:pPr>
          </w:p>
        </w:tc>
        <w:tc>
          <w:tcPr>
            <w:tcW w:w="1226" w:type="dxa"/>
            <w:vMerge w:val="continue"/>
            <w:vAlign w:val="center"/>
          </w:tcPr>
          <w:p w14:paraId="5A9ED7DE">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1ACC5344">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高级税务会计</w:t>
            </w:r>
          </w:p>
        </w:tc>
        <w:tc>
          <w:tcPr>
            <w:tcW w:w="1081" w:type="dxa"/>
            <w:vAlign w:val="center"/>
          </w:tcPr>
          <w:p w14:paraId="2BA31598">
            <w:pPr>
              <w:jc w:val="center"/>
              <w:rPr>
                <w:i/>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ZS0417209</w:t>
            </w:r>
          </w:p>
        </w:tc>
        <w:tc>
          <w:tcPr>
            <w:tcW w:w="709" w:type="dxa"/>
            <w:vAlign w:val="center"/>
          </w:tcPr>
          <w:p w14:paraId="2A804368">
            <w:pPr>
              <w:jc w:val="cente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vAlign w:val="center"/>
          </w:tcPr>
          <w:p w14:paraId="15A6C8CC">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3A71EFAF">
            <w:pPr>
              <w:adjustRightInd w:val="0"/>
              <w:snapToGrid w:val="0"/>
              <w:jc w:val="center"/>
              <w:rPr>
                <w:color w:val="000000" w:themeColor="text1"/>
                <w:sz w:val="18"/>
                <w:szCs w:val="18"/>
                <w14:textFill>
                  <w14:solidFill>
                    <w14:schemeClr w14:val="tx1"/>
                  </w14:solidFill>
                </w14:textFill>
              </w:rPr>
            </w:pPr>
          </w:p>
        </w:tc>
      </w:tr>
      <w:tr w14:paraId="054719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8FA604">
            <w:pPr>
              <w:rPr>
                <w:b/>
                <w:color w:val="000000" w:themeColor="text1"/>
                <w:sz w:val="18"/>
                <w:szCs w:val="18"/>
                <w14:textFill>
                  <w14:solidFill>
                    <w14:schemeClr w14:val="tx1"/>
                  </w14:solidFill>
                </w14:textFill>
              </w:rPr>
            </w:pPr>
          </w:p>
        </w:tc>
        <w:tc>
          <w:tcPr>
            <w:tcW w:w="1226" w:type="dxa"/>
            <w:vMerge w:val="continue"/>
            <w:vAlign w:val="center"/>
          </w:tcPr>
          <w:p w14:paraId="5BE09FA6">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535985FD">
            <w:pPr>
              <w:rPr>
                <w:i/>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税务稽查专题</w:t>
            </w:r>
          </w:p>
        </w:tc>
        <w:tc>
          <w:tcPr>
            <w:tcW w:w="1081" w:type="dxa"/>
            <w:vAlign w:val="center"/>
          </w:tcPr>
          <w:p w14:paraId="2C760DDB">
            <w:pPr>
              <w:jc w:val="center"/>
              <w:rPr>
                <w:i/>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ZS0417205</w:t>
            </w:r>
          </w:p>
        </w:tc>
        <w:tc>
          <w:tcPr>
            <w:tcW w:w="709" w:type="dxa"/>
            <w:vAlign w:val="center"/>
          </w:tcPr>
          <w:p w14:paraId="47FE6752">
            <w:pPr>
              <w:jc w:val="center"/>
              <w:rPr>
                <w:i/>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2</w:t>
            </w:r>
          </w:p>
        </w:tc>
        <w:tc>
          <w:tcPr>
            <w:tcW w:w="709" w:type="dxa"/>
            <w:vAlign w:val="center"/>
          </w:tcPr>
          <w:p w14:paraId="05CE89B0">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F84D0B2">
            <w:pPr>
              <w:adjustRightInd w:val="0"/>
              <w:snapToGrid w:val="0"/>
              <w:jc w:val="center"/>
              <w:rPr>
                <w:color w:val="000000" w:themeColor="text1"/>
                <w:sz w:val="18"/>
                <w:szCs w:val="18"/>
                <w14:textFill>
                  <w14:solidFill>
                    <w14:schemeClr w14:val="tx1"/>
                  </w14:solidFill>
                </w14:textFill>
              </w:rPr>
            </w:pPr>
          </w:p>
        </w:tc>
      </w:tr>
      <w:tr w14:paraId="4507BD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E18B481">
            <w:pPr>
              <w:rPr>
                <w:b/>
                <w:color w:val="000000" w:themeColor="text1"/>
                <w:sz w:val="18"/>
                <w:szCs w:val="18"/>
                <w14:textFill>
                  <w14:solidFill>
                    <w14:schemeClr w14:val="tx1"/>
                  </w14:solidFill>
                </w14:textFill>
              </w:rPr>
            </w:pPr>
          </w:p>
        </w:tc>
        <w:tc>
          <w:tcPr>
            <w:tcW w:w="1226" w:type="dxa"/>
            <w:vMerge w:val="continue"/>
            <w:vAlign w:val="center"/>
          </w:tcPr>
          <w:p w14:paraId="14D1BF4A">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4DA42843">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经济法专题</w:t>
            </w:r>
          </w:p>
        </w:tc>
        <w:tc>
          <w:tcPr>
            <w:tcW w:w="1081" w:type="dxa"/>
            <w:vAlign w:val="center"/>
          </w:tcPr>
          <w:p w14:paraId="2DA97CE4">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XS0401</w:t>
            </w:r>
            <w:r>
              <w:rPr>
                <w:rFonts w:hint="eastAsia"/>
                <w:color w:val="000000" w:themeColor="text1"/>
                <w:sz w:val="18"/>
                <w:szCs w:val="18"/>
                <w:lang w:val="en-US" w:eastAsia="zh-CN"/>
                <w14:textFill>
                  <w14:solidFill>
                    <w14:schemeClr w14:val="tx1"/>
                  </w14:solidFill>
                </w14:textFill>
              </w:rPr>
              <w:t>215</w:t>
            </w:r>
          </w:p>
        </w:tc>
        <w:tc>
          <w:tcPr>
            <w:tcW w:w="709" w:type="dxa"/>
            <w:vAlign w:val="center"/>
          </w:tcPr>
          <w:p w14:paraId="5A28F58B">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7060B09B">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86425B7">
            <w:pPr>
              <w:adjustRightInd w:val="0"/>
              <w:snapToGrid w:val="0"/>
              <w:jc w:val="center"/>
              <w:rPr>
                <w:color w:val="000000" w:themeColor="text1"/>
                <w:sz w:val="18"/>
                <w:szCs w:val="18"/>
                <w14:textFill>
                  <w14:solidFill>
                    <w14:schemeClr w14:val="tx1"/>
                  </w14:solidFill>
                </w14:textFill>
              </w:rPr>
            </w:pPr>
          </w:p>
        </w:tc>
      </w:tr>
      <w:bookmarkEnd w:id="4"/>
      <w:tr w14:paraId="158CAD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D1DC62">
            <w:pPr>
              <w:rPr>
                <w:b/>
                <w:color w:val="000000" w:themeColor="text1"/>
                <w:sz w:val="18"/>
                <w:szCs w:val="18"/>
                <w14:textFill>
                  <w14:solidFill>
                    <w14:schemeClr w14:val="tx1"/>
                  </w14:solidFill>
                </w14:textFill>
              </w:rPr>
            </w:pPr>
          </w:p>
        </w:tc>
        <w:tc>
          <w:tcPr>
            <w:tcW w:w="1226" w:type="dxa"/>
            <w:vMerge w:val="continue"/>
            <w:vAlign w:val="center"/>
          </w:tcPr>
          <w:p w14:paraId="5900755D">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01A361DB">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财务报表分析</w:t>
            </w:r>
          </w:p>
        </w:tc>
        <w:tc>
          <w:tcPr>
            <w:tcW w:w="1081" w:type="dxa"/>
            <w:vAlign w:val="center"/>
          </w:tcPr>
          <w:p w14:paraId="73EDC5B4">
            <w:pPr>
              <w:jc w:val="center"/>
              <w:rPr>
                <w:i/>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ZS0417210</w:t>
            </w:r>
          </w:p>
        </w:tc>
        <w:tc>
          <w:tcPr>
            <w:tcW w:w="709" w:type="dxa"/>
            <w:vAlign w:val="center"/>
          </w:tcPr>
          <w:p w14:paraId="03C67E9C">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0F3DB32">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62CF3AA">
            <w:pPr>
              <w:adjustRightInd w:val="0"/>
              <w:snapToGrid w:val="0"/>
              <w:jc w:val="center"/>
              <w:rPr>
                <w:color w:val="000000" w:themeColor="text1"/>
                <w:sz w:val="18"/>
                <w:szCs w:val="18"/>
                <w14:textFill>
                  <w14:solidFill>
                    <w14:schemeClr w14:val="tx1"/>
                  </w14:solidFill>
                </w14:textFill>
              </w:rPr>
            </w:pPr>
          </w:p>
        </w:tc>
      </w:tr>
      <w:tr w14:paraId="715E68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B7B6C8">
            <w:pPr>
              <w:rPr>
                <w:b/>
                <w:color w:val="000000" w:themeColor="text1"/>
                <w:sz w:val="18"/>
                <w:szCs w:val="18"/>
                <w14:textFill>
                  <w14:solidFill>
                    <w14:schemeClr w14:val="tx1"/>
                  </w14:solidFill>
                </w14:textFill>
              </w:rPr>
            </w:pPr>
          </w:p>
        </w:tc>
        <w:tc>
          <w:tcPr>
            <w:tcW w:w="1226" w:type="dxa"/>
            <w:vMerge w:val="continue"/>
            <w:vAlign w:val="center"/>
          </w:tcPr>
          <w:p w14:paraId="09EBCBA2">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35EFC970">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智慧税务征管与风险防控专题</w:t>
            </w:r>
          </w:p>
        </w:tc>
        <w:tc>
          <w:tcPr>
            <w:tcW w:w="1081" w:type="dxa"/>
            <w:vAlign w:val="center"/>
          </w:tcPr>
          <w:p w14:paraId="4B0FA162">
            <w:pPr>
              <w:jc w:val="center"/>
              <w:rPr>
                <w:rFonts w:hint="default" w:eastAsia="宋体"/>
                <w:i/>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ZS04170</w:t>
            </w:r>
            <w:r>
              <w:rPr>
                <w:rFonts w:hint="eastAsia"/>
                <w:color w:val="000000" w:themeColor="text1"/>
                <w:sz w:val="18"/>
                <w:szCs w:val="18"/>
                <w:lang w:val="en-US" w:eastAsia="zh-CN"/>
                <w14:textFill>
                  <w14:solidFill>
                    <w14:schemeClr w14:val="tx1"/>
                  </w14:solidFill>
                </w14:textFill>
              </w:rPr>
              <w:t>10</w:t>
            </w:r>
          </w:p>
        </w:tc>
        <w:tc>
          <w:tcPr>
            <w:tcW w:w="709" w:type="dxa"/>
            <w:vAlign w:val="center"/>
          </w:tcPr>
          <w:p w14:paraId="31AF0252">
            <w:pPr>
              <w:jc w:val="center"/>
              <w:rPr>
                <w:rFonts w:hint="eastAsia" w:eastAsia="宋体"/>
                <w:i/>
                <w:color w:val="000000" w:themeColor="text1"/>
                <w:sz w:val="18"/>
                <w:szCs w:val="18"/>
                <w:lang w:val="en-US" w:eastAsia="zh-CN"/>
                <w14:textFill>
                  <w14:solidFill>
                    <w14:schemeClr w14:val="tx1"/>
                  </w14:solidFill>
                </w14:textFill>
              </w:rPr>
            </w:pPr>
            <w:r>
              <w:rPr>
                <w:rFonts w:hint="eastAsia"/>
                <w:i/>
                <w:color w:val="000000" w:themeColor="text1"/>
                <w:sz w:val="18"/>
                <w:szCs w:val="18"/>
                <w:lang w:val="en-US" w:eastAsia="zh-CN"/>
                <w14:textFill>
                  <w14:solidFill>
                    <w14:schemeClr w14:val="tx1"/>
                  </w14:solidFill>
                </w14:textFill>
              </w:rPr>
              <w:t>3</w:t>
            </w:r>
          </w:p>
        </w:tc>
        <w:tc>
          <w:tcPr>
            <w:tcW w:w="709" w:type="dxa"/>
            <w:vAlign w:val="center"/>
          </w:tcPr>
          <w:p w14:paraId="21F8D5D6">
            <w:pPr>
              <w:jc w:val="cente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230489C">
            <w:pPr>
              <w:adjustRightInd w:val="0"/>
              <w:snapToGrid w:val="0"/>
              <w:jc w:val="center"/>
              <w:rPr>
                <w:color w:val="000000" w:themeColor="text1"/>
                <w:sz w:val="18"/>
                <w:szCs w:val="18"/>
                <w14:textFill>
                  <w14:solidFill>
                    <w14:schemeClr w14:val="tx1"/>
                  </w14:solidFill>
                </w14:textFill>
              </w:rPr>
            </w:pPr>
          </w:p>
        </w:tc>
      </w:tr>
      <w:tr w14:paraId="0209CD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571" w:type="dxa"/>
            <w:vMerge w:val="restart"/>
            <w:vAlign w:val="center"/>
          </w:tcPr>
          <w:p w14:paraId="2FFF139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79E8C99">
            <w:pPr>
              <w:jc w:val="center"/>
              <w:rPr>
                <w:b/>
                <w:color w:val="000000" w:themeColor="text1"/>
                <w:sz w:val="18"/>
                <w:szCs w:val="18"/>
                <w14:textFill>
                  <w14:solidFill>
                    <w14:schemeClr w14:val="tx1"/>
                  </w14:solidFill>
                </w14:textFill>
              </w:rPr>
            </w:pPr>
          </w:p>
        </w:tc>
        <w:tc>
          <w:tcPr>
            <w:tcW w:w="1226" w:type="dxa"/>
            <w:vMerge w:val="restart"/>
            <w:vAlign w:val="center"/>
          </w:tcPr>
          <w:p w14:paraId="4884AB2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24A64A9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A883369">
            <w:pPr>
              <w:jc w:val="center"/>
              <w:rPr>
                <w:color w:val="000000" w:themeColor="text1"/>
                <w:sz w:val="18"/>
                <w:szCs w:val="18"/>
                <w14:textFill>
                  <w14:solidFill>
                    <w14:schemeClr w14:val="tx1"/>
                  </w14:solidFill>
                </w14:textFill>
              </w:rPr>
            </w:pPr>
          </w:p>
        </w:tc>
        <w:tc>
          <w:tcPr>
            <w:tcW w:w="709" w:type="dxa"/>
            <w:vAlign w:val="center"/>
          </w:tcPr>
          <w:p w14:paraId="76291197">
            <w:pPr>
              <w:jc w:val="center"/>
              <w:rPr>
                <w:color w:val="000000" w:themeColor="text1"/>
                <w:sz w:val="18"/>
                <w:szCs w:val="18"/>
                <w14:textFill>
                  <w14:solidFill>
                    <w14:schemeClr w14:val="tx1"/>
                  </w14:solidFill>
                </w14:textFill>
              </w:rPr>
            </w:pPr>
          </w:p>
        </w:tc>
        <w:tc>
          <w:tcPr>
            <w:tcW w:w="709" w:type="dxa"/>
            <w:vAlign w:val="center"/>
          </w:tcPr>
          <w:p w14:paraId="2094D4E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8B77B82">
            <w:pPr>
              <w:jc w:val="center"/>
              <w:rPr>
                <w:i/>
                <w:color w:val="000000" w:themeColor="text1"/>
                <w:sz w:val="18"/>
                <w:szCs w:val="18"/>
                <w14:textFill>
                  <w14:solidFill>
                    <w14:schemeClr w14:val="tx1"/>
                  </w14:solidFill>
                </w14:textFill>
              </w:rPr>
            </w:pPr>
          </w:p>
        </w:tc>
      </w:tr>
      <w:tr w14:paraId="1812D4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7" w:hRule="atLeast"/>
          <w:jc w:val="center"/>
        </w:trPr>
        <w:tc>
          <w:tcPr>
            <w:tcW w:w="571" w:type="dxa"/>
            <w:vMerge w:val="continue"/>
            <w:vAlign w:val="center"/>
          </w:tcPr>
          <w:p w14:paraId="4D1B5020">
            <w:pPr>
              <w:jc w:val="center"/>
              <w:rPr>
                <w:b/>
                <w:color w:val="000000" w:themeColor="text1"/>
                <w:sz w:val="18"/>
                <w:szCs w:val="18"/>
                <w14:textFill>
                  <w14:solidFill>
                    <w14:schemeClr w14:val="tx1"/>
                  </w14:solidFill>
                </w14:textFill>
              </w:rPr>
            </w:pPr>
          </w:p>
        </w:tc>
        <w:tc>
          <w:tcPr>
            <w:tcW w:w="1226" w:type="dxa"/>
            <w:vMerge w:val="continue"/>
            <w:vAlign w:val="center"/>
          </w:tcPr>
          <w:p w14:paraId="2BDDC0EF">
            <w:pPr>
              <w:jc w:val="center"/>
              <w:rPr>
                <w:b/>
                <w:color w:val="000000" w:themeColor="text1"/>
                <w:sz w:val="18"/>
                <w:szCs w:val="18"/>
                <w14:textFill>
                  <w14:solidFill>
                    <w14:schemeClr w14:val="tx1"/>
                  </w14:solidFill>
                </w14:textFill>
              </w:rPr>
            </w:pPr>
          </w:p>
        </w:tc>
        <w:tc>
          <w:tcPr>
            <w:tcW w:w="3516" w:type="dxa"/>
            <w:vAlign w:val="center"/>
          </w:tcPr>
          <w:p w14:paraId="753F4B1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1831A3E1">
            <w:pPr>
              <w:jc w:val="center"/>
              <w:rPr>
                <w:color w:val="000000" w:themeColor="text1"/>
                <w:sz w:val="18"/>
                <w:szCs w:val="18"/>
                <w14:textFill>
                  <w14:solidFill>
                    <w14:schemeClr w14:val="tx1"/>
                  </w14:solidFill>
                </w14:textFill>
              </w:rPr>
            </w:pPr>
          </w:p>
        </w:tc>
        <w:tc>
          <w:tcPr>
            <w:tcW w:w="709" w:type="dxa"/>
            <w:vMerge w:val="restart"/>
            <w:vAlign w:val="center"/>
          </w:tcPr>
          <w:p w14:paraId="4368AA7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Merge w:val="restart"/>
            <w:vAlign w:val="center"/>
          </w:tcPr>
          <w:p w14:paraId="21601B6E">
            <w:pPr>
              <w:jc w:val="center"/>
              <w:rPr>
                <w:color w:val="000000" w:themeColor="text1"/>
                <w:sz w:val="18"/>
                <w:szCs w:val="18"/>
                <w14:textFill>
                  <w14:solidFill>
                    <w14:schemeClr w14:val="tx1"/>
                  </w14:solidFill>
                </w14:textFill>
              </w:rPr>
            </w:pPr>
            <w:bookmarkStart w:id="3" w:name="OLE_LINK4"/>
            <w:r>
              <w:rPr>
                <w:rFonts w:hint="eastAsia"/>
                <w:color w:val="000000" w:themeColor="text1"/>
                <w:sz w:val="18"/>
                <w:szCs w:val="18"/>
                <w14:textFill>
                  <w14:solidFill>
                    <w14:schemeClr w14:val="tx1"/>
                  </w14:solidFill>
                </w14:textFill>
              </w:rPr>
              <w:t>1-6</w:t>
            </w:r>
            <w:bookmarkEnd w:id="3"/>
          </w:p>
        </w:tc>
        <w:tc>
          <w:tcPr>
            <w:tcW w:w="1045" w:type="dxa"/>
            <w:vMerge w:val="continue"/>
            <w:vAlign w:val="center"/>
          </w:tcPr>
          <w:p w14:paraId="7F090507">
            <w:pPr>
              <w:jc w:val="center"/>
              <w:rPr>
                <w:color w:val="000000" w:themeColor="text1"/>
                <w:sz w:val="18"/>
                <w:szCs w:val="18"/>
                <w14:textFill>
                  <w14:solidFill>
                    <w14:schemeClr w14:val="tx1"/>
                  </w14:solidFill>
                </w14:textFill>
              </w:rPr>
            </w:pPr>
          </w:p>
        </w:tc>
      </w:tr>
      <w:tr w14:paraId="2FB38C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9" w:hRule="atLeast"/>
          <w:jc w:val="center"/>
        </w:trPr>
        <w:tc>
          <w:tcPr>
            <w:tcW w:w="571" w:type="dxa"/>
            <w:vMerge w:val="continue"/>
            <w:vAlign w:val="center"/>
          </w:tcPr>
          <w:p w14:paraId="25816957">
            <w:pPr>
              <w:jc w:val="center"/>
              <w:rPr>
                <w:b/>
                <w:color w:val="000000" w:themeColor="text1"/>
                <w:sz w:val="18"/>
                <w:szCs w:val="18"/>
                <w14:textFill>
                  <w14:solidFill>
                    <w14:schemeClr w14:val="tx1"/>
                  </w14:solidFill>
                </w14:textFill>
              </w:rPr>
            </w:pPr>
          </w:p>
        </w:tc>
        <w:tc>
          <w:tcPr>
            <w:tcW w:w="1226" w:type="dxa"/>
            <w:vMerge w:val="continue"/>
            <w:vAlign w:val="center"/>
          </w:tcPr>
          <w:p w14:paraId="70B3055F">
            <w:pPr>
              <w:jc w:val="center"/>
              <w:rPr>
                <w:b/>
                <w:color w:val="000000" w:themeColor="text1"/>
                <w:sz w:val="18"/>
                <w:szCs w:val="18"/>
                <w14:textFill>
                  <w14:solidFill>
                    <w14:schemeClr w14:val="tx1"/>
                  </w14:solidFill>
                </w14:textFill>
              </w:rPr>
            </w:pPr>
          </w:p>
        </w:tc>
        <w:tc>
          <w:tcPr>
            <w:tcW w:w="3516" w:type="dxa"/>
            <w:vAlign w:val="center"/>
          </w:tcPr>
          <w:p w14:paraId="1EE1F464">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竞赛活动</w:t>
            </w:r>
          </w:p>
        </w:tc>
        <w:tc>
          <w:tcPr>
            <w:tcW w:w="1081" w:type="dxa"/>
            <w:vAlign w:val="center"/>
          </w:tcPr>
          <w:p w14:paraId="5D6962F0">
            <w:pPr>
              <w:jc w:val="center"/>
              <w:rPr>
                <w:color w:val="000000" w:themeColor="text1"/>
                <w:sz w:val="18"/>
                <w:szCs w:val="18"/>
                <w14:textFill>
                  <w14:solidFill>
                    <w14:schemeClr w14:val="tx1"/>
                  </w14:solidFill>
                </w14:textFill>
              </w:rPr>
            </w:pPr>
          </w:p>
        </w:tc>
        <w:tc>
          <w:tcPr>
            <w:tcW w:w="709" w:type="dxa"/>
            <w:vMerge w:val="continue"/>
            <w:vAlign w:val="center"/>
          </w:tcPr>
          <w:p w14:paraId="2F057D63">
            <w:pPr>
              <w:jc w:val="center"/>
              <w:rPr>
                <w:color w:val="000000" w:themeColor="text1"/>
                <w:sz w:val="18"/>
                <w:szCs w:val="18"/>
                <w14:textFill>
                  <w14:solidFill>
                    <w14:schemeClr w14:val="tx1"/>
                  </w14:solidFill>
                </w14:textFill>
              </w:rPr>
            </w:pPr>
          </w:p>
        </w:tc>
        <w:tc>
          <w:tcPr>
            <w:tcW w:w="709" w:type="dxa"/>
            <w:vMerge w:val="continue"/>
            <w:vAlign w:val="center"/>
          </w:tcPr>
          <w:p w14:paraId="00A7FD89">
            <w:pPr>
              <w:jc w:val="center"/>
              <w:rPr>
                <w:color w:val="000000" w:themeColor="text1"/>
                <w:sz w:val="18"/>
                <w:szCs w:val="18"/>
                <w14:textFill>
                  <w14:solidFill>
                    <w14:schemeClr w14:val="tx1"/>
                  </w14:solidFill>
                </w14:textFill>
              </w:rPr>
            </w:pPr>
          </w:p>
        </w:tc>
        <w:tc>
          <w:tcPr>
            <w:tcW w:w="1045" w:type="dxa"/>
            <w:vMerge w:val="continue"/>
            <w:vAlign w:val="center"/>
          </w:tcPr>
          <w:p w14:paraId="47B61795">
            <w:pPr>
              <w:jc w:val="center"/>
              <w:rPr>
                <w:color w:val="000000" w:themeColor="text1"/>
                <w:sz w:val="18"/>
                <w:szCs w:val="18"/>
                <w14:textFill>
                  <w14:solidFill>
                    <w14:schemeClr w14:val="tx1"/>
                  </w14:solidFill>
                </w14:textFill>
              </w:rPr>
            </w:pPr>
          </w:p>
        </w:tc>
      </w:tr>
      <w:tr w14:paraId="67C78A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1EA949">
            <w:pPr>
              <w:rPr>
                <w:b/>
                <w:color w:val="000000" w:themeColor="text1"/>
                <w:sz w:val="18"/>
                <w:szCs w:val="18"/>
                <w14:textFill>
                  <w14:solidFill>
                    <w14:schemeClr w14:val="tx1"/>
                  </w14:solidFill>
                </w14:textFill>
              </w:rPr>
            </w:pPr>
          </w:p>
        </w:tc>
        <w:tc>
          <w:tcPr>
            <w:tcW w:w="1226" w:type="dxa"/>
            <w:vMerge w:val="restart"/>
            <w:vAlign w:val="center"/>
          </w:tcPr>
          <w:p w14:paraId="315102C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0BE45B0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52858B2A">
            <w:pPr>
              <w:jc w:val="center"/>
              <w:rPr>
                <w:color w:val="000000" w:themeColor="text1"/>
                <w:sz w:val="18"/>
                <w:szCs w:val="18"/>
                <w14:textFill>
                  <w14:solidFill>
                    <w14:schemeClr w14:val="tx1"/>
                  </w14:solidFill>
                </w14:textFill>
              </w:rPr>
            </w:pPr>
          </w:p>
        </w:tc>
        <w:tc>
          <w:tcPr>
            <w:tcW w:w="709" w:type="dxa"/>
            <w:vAlign w:val="center"/>
          </w:tcPr>
          <w:p w14:paraId="68389FC0">
            <w:pPr>
              <w:jc w:val="center"/>
              <w:rPr>
                <w:color w:val="000000" w:themeColor="text1"/>
                <w:sz w:val="18"/>
                <w:szCs w:val="18"/>
                <w14:textFill>
                  <w14:solidFill>
                    <w14:schemeClr w14:val="tx1"/>
                  </w14:solidFill>
                </w14:textFill>
              </w:rPr>
            </w:pPr>
          </w:p>
        </w:tc>
        <w:tc>
          <w:tcPr>
            <w:tcW w:w="709" w:type="dxa"/>
            <w:vAlign w:val="center"/>
          </w:tcPr>
          <w:p w14:paraId="5F556C41">
            <w:pPr>
              <w:jc w:val="center"/>
              <w:rPr>
                <w:color w:val="000000" w:themeColor="text1"/>
                <w:sz w:val="18"/>
                <w:szCs w:val="18"/>
                <w14:textFill>
                  <w14:solidFill>
                    <w14:schemeClr w14:val="tx1"/>
                  </w14:solidFill>
                </w14:textFill>
              </w:rPr>
            </w:pPr>
            <w:r>
              <w:rPr>
                <w:rFonts w:hint="eastAsia"/>
                <w:i/>
                <w:color w:val="000000" w:themeColor="text1"/>
                <w:sz w:val="18"/>
                <w:szCs w:val="18"/>
                <w14:textFill>
                  <w14:solidFill>
                    <w14:schemeClr w14:val="tx1"/>
                  </w14:solidFill>
                </w14:textFill>
              </w:rPr>
              <w:t>3</w:t>
            </w:r>
          </w:p>
        </w:tc>
        <w:tc>
          <w:tcPr>
            <w:tcW w:w="1045" w:type="dxa"/>
            <w:vMerge w:val="restart"/>
            <w:vAlign w:val="center"/>
          </w:tcPr>
          <w:p w14:paraId="6B26DBD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4CCCCC5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42BE20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26D351">
            <w:pPr>
              <w:rPr>
                <w:b/>
                <w:color w:val="000000" w:themeColor="text1"/>
                <w:sz w:val="18"/>
                <w:szCs w:val="18"/>
                <w14:textFill>
                  <w14:solidFill>
                    <w14:schemeClr w14:val="tx1"/>
                  </w14:solidFill>
                </w14:textFill>
              </w:rPr>
            </w:pPr>
          </w:p>
        </w:tc>
        <w:tc>
          <w:tcPr>
            <w:tcW w:w="1226" w:type="dxa"/>
            <w:vMerge w:val="continue"/>
            <w:vAlign w:val="center"/>
          </w:tcPr>
          <w:p w14:paraId="0585A984">
            <w:pPr>
              <w:jc w:val="center"/>
              <w:rPr>
                <w:b/>
                <w:color w:val="000000" w:themeColor="text1"/>
                <w:sz w:val="18"/>
                <w:szCs w:val="18"/>
                <w14:textFill>
                  <w14:solidFill>
                    <w14:schemeClr w14:val="tx1"/>
                  </w14:solidFill>
                </w14:textFill>
              </w:rPr>
            </w:pPr>
          </w:p>
        </w:tc>
        <w:tc>
          <w:tcPr>
            <w:tcW w:w="3516" w:type="dxa"/>
            <w:vAlign w:val="center"/>
          </w:tcPr>
          <w:p w14:paraId="73C4CD6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60088E7B">
            <w:pPr>
              <w:jc w:val="center"/>
              <w:rPr>
                <w:color w:val="000000" w:themeColor="text1"/>
                <w:sz w:val="18"/>
                <w:szCs w:val="18"/>
                <w14:textFill>
                  <w14:solidFill>
                    <w14:schemeClr w14:val="tx1"/>
                  </w14:solidFill>
                </w14:textFill>
              </w:rPr>
            </w:pPr>
          </w:p>
        </w:tc>
        <w:tc>
          <w:tcPr>
            <w:tcW w:w="709" w:type="dxa"/>
            <w:vAlign w:val="center"/>
          </w:tcPr>
          <w:p w14:paraId="434EE903">
            <w:pPr>
              <w:jc w:val="center"/>
              <w:rPr>
                <w:color w:val="000000" w:themeColor="text1"/>
                <w:sz w:val="18"/>
                <w:szCs w:val="18"/>
                <w14:textFill>
                  <w14:solidFill>
                    <w14:schemeClr w14:val="tx1"/>
                  </w14:solidFill>
                </w14:textFill>
              </w:rPr>
            </w:pPr>
          </w:p>
        </w:tc>
        <w:tc>
          <w:tcPr>
            <w:tcW w:w="709" w:type="dxa"/>
            <w:vAlign w:val="center"/>
          </w:tcPr>
          <w:p w14:paraId="454DFA3F">
            <w:pPr>
              <w:jc w:val="center"/>
              <w:rPr>
                <w:color w:val="000000" w:themeColor="text1"/>
                <w:sz w:val="18"/>
                <w:szCs w:val="18"/>
                <w14:textFill>
                  <w14:solidFill>
                    <w14:schemeClr w14:val="tx1"/>
                  </w14:solidFill>
                </w14:textFill>
              </w:rPr>
            </w:pPr>
            <w:r>
              <w:rPr>
                <w:rFonts w:hint="eastAsia"/>
                <w:i/>
                <w:color w:val="000000" w:themeColor="text1"/>
                <w:sz w:val="18"/>
                <w:szCs w:val="18"/>
                <w14:textFill>
                  <w14:solidFill>
                    <w14:schemeClr w14:val="tx1"/>
                  </w14:solidFill>
                </w14:textFill>
              </w:rPr>
              <w:t>4</w:t>
            </w:r>
          </w:p>
        </w:tc>
        <w:tc>
          <w:tcPr>
            <w:tcW w:w="1045" w:type="dxa"/>
            <w:vMerge w:val="continue"/>
            <w:vAlign w:val="center"/>
          </w:tcPr>
          <w:p w14:paraId="5B861AC7">
            <w:pPr>
              <w:jc w:val="center"/>
              <w:rPr>
                <w:color w:val="000000" w:themeColor="text1"/>
                <w:sz w:val="18"/>
                <w:szCs w:val="18"/>
                <w14:textFill>
                  <w14:solidFill>
                    <w14:schemeClr w14:val="tx1"/>
                  </w14:solidFill>
                </w14:textFill>
              </w:rPr>
            </w:pPr>
          </w:p>
        </w:tc>
      </w:tr>
      <w:tr w14:paraId="1374DE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F5ABC2">
            <w:pPr>
              <w:rPr>
                <w:b/>
                <w:color w:val="000000" w:themeColor="text1"/>
                <w:sz w:val="18"/>
                <w:szCs w:val="18"/>
                <w14:textFill>
                  <w14:solidFill>
                    <w14:schemeClr w14:val="tx1"/>
                  </w14:solidFill>
                </w14:textFill>
              </w:rPr>
            </w:pPr>
          </w:p>
        </w:tc>
        <w:tc>
          <w:tcPr>
            <w:tcW w:w="1226" w:type="dxa"/>
            <w:vMerge w:val="continue"/>
            <w:vAlign w:val="center"/>
          </w:tcPr>
          <w:p w14:paraId="75CAF5F5">
            <w:pPr>
              <w:jc w:val="center"/>
              <w:rPr>
                <w:b/>
                <w:color w:val="000000" w:themeColor="text1"/>
                <w:sz w:val="18"/>
                <w:szCs w:val="18"/>
                <w14:textFill>
                  <w14:solidFill>
                    <w14:schemeClr w14:val="tx1"/>
                  </w14:solidFill>
                </w14:textFill>
              </w:rPr>
            </w:pPr>
          </w:p>
        </w:tc>
        <w:tc>
          <w:tcPr>
            <w:tcW w:w="3516" w:type="dxa"/>
            <w:vAlign w:val="center"/>
          </w:tcPr>
          <w:p w14:paraId="064AB8F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论文中期进展报告</w:t>
            </w:r>
          </w:p>
        </w:tc>
        <w:tc>
          <w:tcPr>
            <w:tcW w:w="1081" w:type="dxa"/>
            <w:vAlign w:val="center"/>
          </w:tcPr>
          <w:p w14:paraId="7BA659B4">
            <w:pPr>
              <w:jc w:val="center"/>
              <w:rPr>
                <w:color w:val="000000" w:themeColor="text1"/>
                <w:sz w:val="18"/>
                <w:szCs w:val="18"/>
                <w14:textFill>
                  <w14:solidFill>
                    <w14:schemeClr w14:val="tx1"/>
                  </w14:solidFill>
                </w14:textFill>
              </w:rPr>
            </w:pPr>
          </w:p>
        </w:tc>
        <w:tc>
          <w:tcPr>
            <w:tcW w:w="709" w:type="dxa"/>
            <w:vAlign w:val="center"/>
          </w:tcPr>
          <w:p w14:paraId="37CC5244">
            <w:pPr>
              <w:jc w:val="center"/>
              <w:rPr>
                <w:color w:val="000000" w:themeColor="text1"/>
                <w:sz w:val="18"/>
                <w:szCs w:val="18"/>
                <w14:textFill>
                  <w14:solidFill>
                    <w14:schemeClr w14:val="tx1"/>
                  </w14:solidFill>
                </w14:textFill>
              </w:rPr>
            </w:pPr>
          </w:p>
        </w:tc>
        <w:tc>
          <w:tcPr>
            <w:tcW w:w="709" w:type="dxa"/>
            <w:vAlign w:val="center"/>
          </w:tcPr>
          <w:p w14:paraId="347CC88E">
            <w:pPr>
              <w:jc w:val="center"/>
              <w:rPr>
                <w:color w:val="000000" w:themeColor="text1"/>
                <w:sz w:val="18"/>
                <w:szCs w:val="18"/>
                <w14:textFill>
                  <w14:solidFill>
                    <w14:schemeClr w14:val="tx1"/>
                  </w14:solidFill>
                </w14:textFill>
              </w:rPr>
            </w:pPr>
            <w:r>
              <w:rPr>
                <w:rFonts w:hint="eastAsia"/>
                <w:i/>
                <w:color w:val="000000" w:themeColor="text1"/>
                <w:sz w:val="18"/>
                <w:szCs w:val="18"/>
                <w14:textFill>
                  <w14:solidFill>
                    <w14:schemeClr w14:val="tx1"/>
                  </w14:solidFill>
                </w14:textFill>
              </w:rPr>
              <w:t>5</w:t>
            </w:r>
          </w:p>
        </w:tc>
        <w:tc>
          <w:tcPr>
            <w:tcW w:w="1045" w:type="dxa"/>
            <w:vMerge w:val="continue"/>
          </w:tcPr>
          <w:p w14:paraId="3226BEDC">
            <w:pPr>
              <w:jc w:val="center"/>
              <w:rPr>
                <w:color w:val="000000" w:themeColor="text1"/>
                <w:sz w:val="18"/>
                <w:szCs w:val="18"/>
                <w14:textFill>
                  <w14:solidFill>
                    <w14:schemeClr w14:val="tx1"/>
                  </w14:solidFill>
                </w14:textFill>
              </w:rPr>
            </w:pPr>
          </w:p>
        </w:tc>
      </w:tr>
      <w:tr w14:paraId="5AD54A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88D9E0">
            <w:pPr>
              <w:rPr>
                <w:b/>
                <w:color w:val="000000" w:themeColor="text1"/>
                <w:sz w:val="18"/>
                <w:szCs w:val="18"/>
                <w14:textFill>
                  <w14:solidFill>
                    <w14:schemeClr w14:val="tx1"/>
                  </w14:solidFill>
                </w14:textFill>
              </w:rPr>
            </w:pPr>
          </w:p>
        </w:tc>
        <w:tc>
          <w:tcPr>
            <w:tcW w:w="1226" w:type="dxa"/>
            <w:vMerge w:val="continue"/>
            <w:vAlign w:val="center"/>
          </w:tcPr>
          <w:p w14:paraId="6E1B2623">
            <w:pPr>
              <w:jc w:val="center"/>
              <w:rPr>
                <w:b/>
                <w:color w:val="000000" w:themeColor="text1"/>
                <w:sz w:val="18"/>
                <w:szCs w:val="18"/>
                <w14:textFill>
                  <w14:solidFill>
                    <w14:schemeClr w14:val="tx1"/>
                  </w14:solidFill>
                </w14:textFill>
              </w:rPr>
            </w:pPr>
          </w:p>
        </w:tc>
        <w:tc>
          <w:tcPr>
            <w:tcW w:w="3516" w:type="dxa"/>
            <w:vAlign w:val="center"/>
          </w:tcPr>
          <w:p w14:paraId="2292FCA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7BF3A141">
            <w:pPr>
              <w:jc w:val="center"/>
              <w:rPr>
                <w:color w:val="000000" w:themeColor="text1"/>
                <w:sz w:val="18"/>
                <w:szCs w:val="18"/>
                <w14:textFill>
                  <w14:solidFill>
                    <w14:schemeClr w14:val="tx1"/>
                  </w14:solidFill>
                </w14:textFill>
              </w:rPr>
            </w:pPr>
          </w:p>
        </w:tc>
        <w:tc>
          <w:tcPr>
            <w:tcW w:w="709" w:type="dxa"/>
            <w:vAlign w:val="center"/>
          </w:tcPr>
          <w:p w14:paraId="4C7E2DDA">
            <w:pPr>
              <w:jc w:val="center"/>
              <w:rPr>
                <w:color w:val="000000" w:themeColor="text1"/>
                <w:sz w:val="18"/>
                <w:szCs w:val="18"/>
                <w14:textFill>
                  <w14:solidFill>
                    <w14:schemeClr w14:val="tx1"/>
                  </w14:solidFill>
                </w14:textFill>
              </w:rPr>
            </w:pPr>
          </w:p>
        </w:tc>
        <w:tc>
          <w:tcPr>
            <w:tcW w:w="709" w:type="dxa"/>
            <w:vAlign w:val="center"/>
          </w:tcPr>
          <w:p w14:paraId="1FB1EC20">
            <w:pPr>
              <w:jc w:val="center"/>
              <w:rPr>
                <w:color w:val="000000" w:themeColor="text1"/>
                <w:sz w:val="18"/>
                <w:szCs w:val="18"/>
                <w14:textFill>
                  <w14:solidFill>
                    <w14:schemeClr w14:val="tx1"/>
                  </w14:solidFill>
                </w14:textFill>
              </w:rPr>
            </w:pPr>
            <w:r>
              <w:rPr>
                <w:rFonts w:hint="eastAsia"/>
                <w:i/>
                <w:color w:val="000000" w:themeColor="text1"/>
                <w:sz w:val="18"/>
                <w:szCs w:val="18"/>
                <w14:textFill>
                  <w14:solidFill>
                    <w14:schemeClr w14:val="tx1"/>
                  </w14:solidFill>
                </w14:textFill>
              </w:rPr>
              <w:t>6</w:t>
            </w:r>
          </w:p>
        </w:tc>
        <w:tc>
          <w:tcPr>
            <w:tcW w:w="1045" w:type="dxa"/>
            <w:vMerge w:val="continue"/>
          </w:tcPr>
          <w:p w14:paraId="07BC38A2">
            <w:pPr>
              <w:jc w:val="center"/>
              <w:rPr>
                <w:color w:val="000000" w:themeColor="text1"/>
                <w:sz w:val="18"/>
                <w:szCs w:val="18"/>
                <w14:textFill>
                  <w14:solidFill>
                    <w14:schemeClr w14:val="tx1"/>
                  </w14:solidFill>
                </w14:textFill>
              </w:rPr>
            </w:pPr>
          </w:p>
        </w:tc>
      </w:tr>
      <w:tr w14:paraId="406A24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937FE5">
            <w:pPr>
              <w:rPr>
                <w:color w:val="000000" w:themeColor="text1"/>
                <w:sz w:val="18"/>
                <w:szCs w:val="18"/>
                <w14:textFill>
                  <w14:solidFill>
                    <w14:schemeClr w14:val="tx1"/>
                  </w14:solidFill>
                </w14:textFill>
              </w:rPr>
            </w:pPr>
          </w:p>
        </w:tc>
        <w:tc>
          <w:tcPr>
            <w:tcW w:w="1226" w:type="dxa"/>
            <w:vMerge w:val="continue"/>
          </w:tcPr>
          <w:p w14:paraId="0C9E5C6C">
            <w:pPr>
              <w:jc w:val="center"/>
              <w:rPr>
                <w:color w:val="000000" w:themeColor="text1"/>
                <w:sz w:val="18"/>
                <w:szCs w:val="18"/>
                <w14:textFill>
                  <w14:solidFill>
                    <w14:schemeClr w14:val="tx1"/>
                  </w14:solidFill>
                </w14:textFill>
              </w:rPr>
            </w:pPr>
          </w:p>
        </w:tc>
        <w:tc>
          <w:tcPr>
            <w:tcW w:w="3516" w:type="dxa"/>
            <w:vAlign w:val="center"/>
          </w:tcPr>
          <w:p w14:paraId="324C41C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3283242A">
            <w:pPr>
              <w:jc w:val="center"/>
              <w:rPr>
                <w:color w:val="000000" w:themeColor="text1"/>
                <w:sz w:val="18"/>
                <w:szCs w:val="18"/>
                <w14:textFill>
                  <w14:solidFill>
                    <w14:schemeClr w14:val="tx1"/>
                  </w14:solidFill>
                </w14:textFill>
              </w:rPr>
            </w:pPr>
          </w:p>
        </w:tc>
        <w:tc>
          <w:tcPr>
            <w:tcW w:w="709" w:type="dxa"/>
            <w:vAlign w:val="center"/>
          </w:tcPr>
          <w:p w14:paraId="6C0F28AF">
            <w:pPr>
              <w:jc w:val="center"/>
              <w:rPr>
                <w:color w:val="000000" w:themeColor="text1"/>
                <w:sz w:val="18"/>
                <w:szCs w:val="18"/>
                <w14:textFill>
                  <w14:solidFill>
                    <w14:schemeClr w14:val="tx1"/>
                  </w14:solidFill>
                </w14:textFill>
              </w:rPr>
            </w:pPr>
          </w:p>
        </w:tc>
        <w:tc>
          <w:tcPr>
            <w:tcW w:w="709" w:type="dxa"/>
            <w:vAlign w:val="center"/>
          </w:tcPr>
          <w:p w14:paraId="1C98C21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2B5A4086">
            <w:pPr>
              <w:jc w:val="center"/>
              <w:rPr>
                <w:color w:val="000000" w:themeColor="text1"/>
                <w:sz w:val="18"/>
                <w:szCs w:val="18"/>
                <w14:textFill>
                  <w14:solidFill>
                    <w14:schemeClr w14:val="tx1"/>
                  </w14:solidFill>
                </w14:textFill>
              </w:rPr>
            </w:pPr>
          </w:p>
        </w:tc>
      </w:tr>
      <w:tr w14:paraId="270BDB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092730">
            <w:pPr>
              <w:rPr>
                <w:color w:val="000000" w:themeColor="text1"/>
                <w:sz w:val="18"/>
                <w:szCs w:val="18"/>
                <w14:textFill>
                  <w14:solidFill>
                    <w14:schemeClr w14:val="tx1"/>
                  </w14:solidFill>
                </w14:textFill>
              </w:rPr>
            </w:pPr>
          </w:p>
        </w:tc>
        <w:tc>
          <w:tcPr>
            <w:tcW w:w="1226" w:type="dxa"/>
            <w:vMerge w:val="continue"/>
          </w:tcPr>
          <w:p w14:paraId="513140D7">
            <w:pPr>
              <w:jc w:val="center"/>
              <w:rPr>
                <w:color w:val="000000" w:themeColor="text1"/>
                <w:sz w:val="18"/>
                <w:szCs w:val="18"/>
                <w14:textFill>
                  <w14:solidFill>
                    <w14:schemeClr w14:val="tx1"/>
                  </w14:solidFill>
                </w14:textFill>
              </w:rPr>
            </w:pPr>
          </w:p>
        </w:tc>
        <w:tc>
          <w:tcPr>
            <w:tcW w:w="3516" w:type="dxa"/>
            <w:vAlign w:val="center"/>
          </w:tcPr>
          <w:p w14:paraId="6991613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94BE835">
            <w:pPr>
              <w:jc w:val="center"/>
              <w:rPr>
                <w:color w:val="000000" w:themeColor="text1"/>
                <w:sz w:val="18"/>
                <w:szCs w:val="18"/>
                <w14:textFill>
                  <w14:solidFill>
                    <w14:schemeClr w14:val="tx1"/>
                  </w14:solidFill>
                </w14:textFill>
              </w:rPr>
            </w:pPr>
          </w:p>
        </w:tc>
        <w:tc>
          <w:tcPr>
            <w:tcW w:w="709" w:type="dxa"/>
            <w:vAlign w:val="center"/>
          </w:tcPr>
          <w:p w14:paraId="4017EF94">
            <w:pPr>
              <w:jc w:val="center"/>
              <w:rPr>
                <w:color w:val="000000" w:themeColor="text1"/>
                <w:sz w:val="18"/>
                <w:szCs w:val="18"/>
                <w14:textFill>
                  <w14:solidFill>
                    <w14:schemeClr w14:val="tx1"/>
                  </w14:solidFill>
                </w14:textFill>
              </w:rPr>
            </w:pPr>
          </w:p>
        </w:tc>
        <w:tc>
          <w:tcPr>
            <w:tcW w:w="709" w:type="dxa"/>
            <w:vAlign w:val="center"/>
          </w:tcPr>
          <w:p w14:paraId="714ECEB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775C328A">
            <w:pPr>
              <w:jc w:val="center"/>
              <w:rPr>
                <w:color w:val="000000" w:themeColor="text1"/>
                <w:sz w:val="18"/>
                <w:szCs w:val="18"/>
                <w14:textFill>
                  <w14:solidFill>
                    <w14:schemeClr w14:val="tx1"/>
                  </w14:solidFill>
                </w14:textFill>
              </w:rPr>
            </w:pPr>
          </w:p>
        </w:tc>
      </w:tr>
    </w:tbl>
    <w:p w14:paraId="0CDEA856">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*公共外语课程按入学时的外国语考试科目修读相关语种。</w:t>
      </w:r>
    </w:p>
    <w:p w14:paraId="54ECAA55">
      <w:pPr>
        <w:spacing w:line="440" w:lineRule="exact"/>
        <w:ind w:firstLine="560" w:firstLineChars="200"/>
        <w:rPr>
          <w:rFonts w:eastAsia="黑体"/>
          <w:bCs/>
          <w:color w:val="000000" w:themeColor="text1"/>
          <w:sz w:val="28"/>
          <w:szCs w:val="28"/>
          <w14:textFill>
            <w14:solidFill>
              <w14:schemeClr w14:val="tx1"/>
            </w14:solidFill>
          </w14:textFill>
        </w:rPr>
      </w:pPr>
      <w:r>
        <w:rPr>
          <w:rFonts w:eastAsia="黑体"/>
          <w:bCs/>
          <w:color w:val="000000" w:themeColor="text1"/>
          <w:sz w:val="28"/>
          <w:szCs w:val="28"/>
          <w14:textFill>
            <w14:solidFill>
              <w14:schemeClr w14:val="tx1"/>
            </w14:solidFill>
          </w14:textFill>
        </w:rPr>
        <w:t>十</w:t>
      </w:r>
      <w:r>
        <w:rPr>
          <w:rFonts w:hint="eastAsia" w:eastAsia="黑体"/>
          <w:bCs/>
          <w:color w:val="000000" w:themeColor="text1"/>
          <w:sz w:val="28"/>
          <w:szCs w:val="28"/>
          <w14:textFill>
            <w14:solidFill>
              <w14:schemeClr w14:val="tx1"/>
            </w14:solidFill>
          </w14:textFill>
        </w:rPr>
        <w:t>三</w:t>
      </w:r>
      <w:r>
        <w:rPr>
          <w:rFonts w:eastAsia="黑体"/>
          <w:bCs/>
          <w:color w:val="000000" w:themeColor="text1"/>
          <w:sz w:val="28"/>
          <w:szCs w:val="28"/>
          <w14:textFill>
            <w14:solidFill>
              <w14:schemeClr w14:val="tx1"/>
            </w14:solidFill>
          </w14:textFill>
        </w:rPr>
        <w:t>、其他需要说明事项</w:t>
      </w:r>
    </w:p>
    <w:p w14:paraId="164F5679">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1. 非学位课中的方向选修课模块由各培养单位自行设置，并给出具体选修学分要求。</w:t>
      </w:r>
    </w:p>
    <w:p w14:paraId="7CB52064">
      <w:pPr>
        <w:spacing w:line="440" w:lineRule="exact"/>
        <w:ind w:firstLine="480" w:firstLineChars="200"/>
        <w:rPr>
          <w:rFonts w:eastAsiaTheme="minorEastAsia"/>
          <w:bCs/>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2. 毕业总学分：</w:t>
      </w:r>
      <w:r>
        <w:rPr>
          <w:rFonts w:hint="eastAsia" w:eastAsiaTheme="minorEastAsia"/>
          <w:bCs/>
          <w:color w:val="000000" w:themeColor="text1"/>
          <w:sz w:val="24"/>
          <w14:textFill>
            <w14:solidFill>
              <w14:schemeClr w14:val="tx1"/>
            </w14:solidFill>
          </w14:textFill>
        </w:rPr>
        <w:t>学位课</w:t>
      </w:r>
      <w:r>
        <w:rPr>
          <w:rFonts w:eastAsiaTheme="minorEastAsia"/>
          <w:bCs/>
          <w:color w:val="000000" w:themeColor="text1"/>
          <w:sz w:val="24"/>
          <w14:textFill>
            <w14:solidFill>
              <w14:schemeClr w14:val="tx1"/>
            </w14:solidFill>
          </w14:textFill>
        </w:rPr>
        <w:t>+</w:t>
      </w:r>
      <w:r>
        <w:rPr>
          <w:rFonts w:hint="eastAsia" w:eastAsiaTheme="minorEastAsia"/>
          <w:bCs/>
          <w:color w:val="000000" w:themeColor="text1"/>
          <w:sz w:val="24"/>
          <w14:textFill>
            <w14:solidFill>
              <w14:schemeClr w14:val="tx1"/>
            </w14:solidFill>
          </w14:textFill>
        </w:rPr>
        <w:t>非学位课</w:t>
      </w:r>
      <w:r>
        <w:rPr>
          <w:rFonts w:eastAsiaTheme="minorEastAsia"/>
          <w:bCs/>
          <w:color w:val="000000" w:themeColor="text1"/>
          <w:sz w:val="24"/>
          <w14:textFill>
            <w14:solidFill>
              <w14:schemeClr w14:val="tx1"/>
            </w14:solidFill>
          </w14:textFill>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5FF6"/>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23A"/>
    <w:rsid w:val="000846F8"/>
    <w:rsid w:val="00084AC8"/>
    <w:rsid w:val="00084EE7"/>
    <w:rsid w:val="00085ED4"/>
    <w:rsid w:val="000865C0"/>
    <w:rsid w:val="00086A2D"/>
    <w:rsid w:val="000877D8"/>
    <w:rsid w:val="00087BB6"/>
    <w:rsid w:val="000903CF"/>
    <w:rsid w:val="0009077C"/>
    <w:rsid w:val="00091106"/>
    <w:rsid w:val="000929DA"/>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8E4"/>
    <w:rsid w:val="000A7E9B"/>
    <w:rsid w:val="000B0A20"/>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1AE4"/>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7B8"/>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636"/>
    <w:rsid w:val="001B0D85"/>
    <w:rsid w:val="001B2A51"/>
    <w:rsid w:val="001B30C4"/>
    <w:rsid w:val="001B465A"/>
    <w:rsid w:val="001B4FF4"/>
    <w:rsid w:val="001B62AC"/>
    <w:rsid w:val="001B66AF"/>
    <w:rsid w:val="001C1D95"/>
    <w:rsid w:val="001C216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E5C3F"/>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0C"/>
    <w:rsid w:val="00226F23"/>
    <w:rsid w:val="0023080B"/>
    <w:rsid w:val="002309EB"/>
    <w:rsid w:val="00230D9E"/>
    <w:rsid w:val="002311D2"/>
    <w:rsid w:val="00231C36"/>
    <w:rsid w:val="00232528"/>
    <w:rsid w:val="002325BF"/>
    <w:rsid w:val="00234212"/>
    <w:rsid w:val="002344D2"/>
    <w:rsid w:val="00234A5A"/>
    <w:rsid w:val="00235208"/>
    <w:rsid w:val="002356C5"/>
    <w:rsid w:val="0023592D"/>
    <w:rsid w:val="00236353"/>
    <w:rsid w:val="00236568"/>
    <w:rsid w:val="00236AF5"/>
    <w:rsid w:val="002379CB"/>
    <w:rsid w:val="0024086B"/>
    <w:rsid w:val="00240DCC"/>
    <w:rsid w:val="002417EA"/>
    <w:rsid w:val="002419A5"/>
    <w:rsid w:val="002421DE"/>
    <w:rsid w:val="0024310F"/>
    <w:rsid w:val="00247400"/>
    <w:rsid w:val="002477E4"/>
    <w:rsid w:val="0025208A"/>
    <w:rsid w:val="00252644"/>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0078"/>
    <w:rsid w:val="002A0603"/>
    <w:rsid w:val="002A112F"/>
    <w:rsid w:val="002A159F"/>
    <w:rsid w:val="002A1768"/>
    <w:rsid w:val="002A2616"/>
    <w:rsid w:val="002A5F35"/>
    <w:rsid w:val="002A71B9"/>
    <w:rsid w:val="002A7921"/>
    <w:rsid w:val="002B0A99"/>
    <w:rsid w:val="002B293A"/>
    <w:rsid w:val="002B2A1B"/>
    <w:rsid w:val="002B3394"/>
    <w:rsid w:val="002B5583"/>
    <w:rsid w:val="002B63CC"/>
    <w:rsid w:val="002B72BE"/>
    <w:rsid w:val="002B7EFB"/>
    <w:rsid w:val="002C0D77"/>
    <w:rsid w:val="002C0D99"/>
    <w:rsid w:val="002C10F7"/>
    <w:rsid w:val="002C126A"/>
    <w:rsid w:val="002C27CC"/>
    <w:rsid w:val="002C44BA"/>
    <w:rsid w:val="002C4D22"/>
    <w:rsid w:val="002C531D"/>
    <w:rsid w:val="002C5839"/>
    <w:rsid w:val="002C5D7C"/>
    <w:rsid w:val="002C68F2"/>
    <w:rsid w:val="002C6CF4"/>
    <w:rsid w:val="002C7D60"/>
    <w:rsid w:val="002D0A85"/>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3EE1"/>
    <w:rsid w:val="00334F71"/>
    <w:rsid w:val="00335BB9"/>
    <w:rsid w:val="00336751"/>
    <w:rsid w:val="00336778"/>
    <w:rsid w:val="003374FD"/>
    <w:rsid w:val="00337DD6"/>
    <w:rsid w:val="003416AA"/>
    <w:rsid w:val="003416BC"/>
    <w:rsid w:val="00345BF6"/>
    <w:rsid w:val="003468EB"/>
    <w:rsid w:val="00350E12"/>
    <w:rsid w:val="00351789"/>
    <w:rsid w:val="00352485"/>
    <w:rsid w:val="00352525"/>
    <w:rsid w:val="003539D7"/>
    <w:rsid w:val="00353D6B"/>
    <w:rsid w:val="003617F2"/>
    <w:rsid w:val="00361966"/>
    <w:rsid w:val="0036248E"/>
    <w:rsid w:val="00362BF4"/>
    <w:rsid w:val="00363ECF"/>
    <w:rsid w:val="00364D73"/>
    <w:rsid w:val="00367064"/>
    <w:rsid w:val="00371E5D"/>
    <w:rsid w:val="00371F36"/>
    <w:rsid w:val="00372023"/>
    <w:rsid w:val="00374191"/>
    <w:rsid w:val="003753B7"/>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C72D5"/>
    <w:rsid w:val="003D13E5"/>
    <w:rsid w:val="003D1899"/>
    <w:rsid w:val="003D18A7"/>
    <w:rsid w:val="003D2084"/>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32AB"/>
    <w:rsid w:val="00405CBD"/>
    <w:rsid w:val="004072EC"/>
    <w:rsid w:val="004106FF"/>
    <w:rsid w:val="004109A1"/>
    <w:rsid w:val="00410E30"/>
    <w:rsid w:val="00411D94"/>
    <w:rsid w:val="004124A9"/>
    <w:rsid w:val="004130E5"/>
    <w:rsid w:val="00413304"/>
    <w:rsid w:val="00413674"/>
    <w:rsid w:val="00414FF5"/>
    <w:rsid w:val="0041559F"/>
    <w:rsid w:val="00416E29"/>
    <w:rsid w:val="00416F54"/>
    <w:rsid w:val="00417218"/>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252F"/>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016"/>
    <w:rsid w:val="00492DCD"/>
    <w:rsid w:val="004930BE"/>
    <w:rsid w:val="00493360"/>
    <w:rsid w:val="00493865"/>
    <w:rsid w:val="00493E56"/>
    <w:rsid w:val="00493F33"/>
    <w:rsid w:val="00494F54"/>
    <w:rsid w:val="00495360"/>
    <w:rsid w:val="00495791"/>
    <w:rsid w:val="004960EE"/>
    <w:rsid w:val="004A0521"/>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3F1A"/>
    <w:rsid w:val="004C48C8"/>
    <w:rsid w:val="004C4F07"/>
    <w:rsid w:val="004C6191"/>
    <w:rsid w:val="004C7469"/>
    <w:rsid w:val="004C7690"/>
    <w:rsid w:val="004C77C2"/>
    <w:rsid w:val="004D17F5"/>
    <w:rsid w:val="004D1952"/>
    <w:rsid w:val="004D495A"/>
    <w:rsid w:val="004D5F79"/>
    <w:rsid w:val="004D62EC"/>
    <w:rsid w:val="004D685B"/>
    <w:rsid w:val="004D73C8"/>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37"/>
    <w:rsid w:val="00514279"/>
    <w:rsid w:val="0051684C"/>
    <w:rsid w:val="00517A47"/>
    <w:rsid w:val="00521257"/>
    <w:rsid w:val="00523001"/>
    <w:rsid w:val="005236DA"/>
    <w:rsid w:val="00524602"/>
    <w:rsid w:val="00525953"/>
    <w:rsid w:val="00525BB6"/>
    <w:rsid w:val="005273F8"/>
    <w:rsid w:val="0053033A"/>
    <w:rsid w:val="00530367"/>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2B0"/>
    <w:rsid w:val="005B1E31"/>
    <w:rsid w:val="005B386E"/>
    <w:rsid w:val="005B478B"/>
    <w:rsid w:val="005B58D6"/>
    <w:rsid w:val="005B5B92"/>
    <w:rsid w:val="005B6260"/>
    <w:rsid w:val="005C1099"/>
    <w:rsid w:val="005C12CA"/>
    <w:rsid w:val="005C1E3A"/>
    <w:rsid w:val="005C2037"/>
    <w:rsid w:val="005C2B0A"/>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3716"/>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64C"/>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77BBE"/>
    <w:rsid w:val="00680C1B"/>
    <w:rsid w:val="00682468"/>
    <w:rsid w:val="0068254D"/>
    <w:rsid w:val="00682696"/>
    <w:rsid w:val="00682C73"/>
    <w:rsid w:val="00683088"/>
    <w:rsid w:val="00683966"/>
    <w:rsid w:val="00683ECB"/>
    <w:rsid w:val="00684095"/>
    <w:rsid w:val="0068580C"/>
    <w:rsid w:val="00687FF2"/>
    <w:rsid w:val="0069100C"/>
    <w:rsid w:val="0069124C"/>
    <w:rsid w:val="00691926"/>
    <w:rsid w:val="0069203A"/>
    <w:rsid w:val="00695AD2"/>
    <w:rsid w:val="00697E04"/>
    <w:rsid w:val="006A06EB"/>
    <w:rsid w:val="006A2469"/>
    <w:rsid w:val="006A28CE"/>
    <w:rsid w:val="006A29EA"/>
    <w:rsid w:val="006A2D59"/>
    <w:rsid w:val="006A3C50"/>
    <w:rsid w:val="006A593C"/>
    <w:rsid w:val="006A63AD"/>
    <w:rsid w:val="006A75EB"/>
    <w:rsid w:val="006A7D05"/>
    <w:rsid w:val="006B06AF"/>
    <w:rsid w:val="006B138B"/>
    <w:rsid w:val="006B1FA0"/>
    <w:rsid w:val="006B2503"/>
    <w:rsid w:val="006B2D38"/>
    <w:rsid w:val="006B348B"/>
    <w:rsid w:val="006B36E1"/>
    <w:rsid w:val="006B5E06"/>
    <w:rsid w:val="006B6B5A"/>
    <w:rsid w:val="006B6C53"/>
    <w:rsid w:val="006C1073"/>
    <w:rsid w:val="006C10AB"/>
    <w:rsid w:val="006C1A84"/>
    <w:rsid w:val="006C1CC1"/>
    <w:rsid w:val="006C250B"/>
    <w:rsid w:val="006C2B73"/>
    <w:rsid w:val="006C420C"/>
    <w:rsid w:val="006C54A4"/>
    <w:rsid w:val="006C6CA5"/>
    <w:rsid w:val="006C6E36"/>
    <w:rsid w:val="006C703A"/>
    <w:rsid w:val="006C72E5"/>
    <w:rsid w:val="006C7478"/>
    <w:rsid w:val="006C77EC"/>
    <w:rsid w:val="006D27B9"/>
    <w:rsid w:val="006D2D17"/>
    <w:rsid w:val="006D30FE"/>
    <w:rsid w:val="006D3C95"/>
    <w:rsid w:val="006D7FDA"/>
    <w:rsid w:val="006E0CA3"/>
    <w:rsid w:val="006E1B6D"/>
    <w:rsid w:val="006E22EE"/>
    <w:rsid w:val="006E24FA"/>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2919"/>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7FE"/>
    <w:rsid w:val="00737C29"/>
    <w:rsid w:val="00737F53"/>
    <w:rsid w:val="0074076C"/>
    <w:rsid w:val="00742652"/>
    <w:rsid w:val="00742B70"/>
    <w:rsid w:val="00743615"/>
    <w:rsid w:val="00743BB8"/>
    <w:rsid w:val="007458CA"/>
    <w:rsid w:val="007470C4"/>
    <w:rsid w:val="007500A4"/>
    <w:rsid w:val="007522EC"/>
    <w:rsid w:val="00753336"/>
    <w:rsid w:val="00754A9F"/>
    <w:rsid w:val="00754B70"/>
    <w:rsid w:val="007555F8"/>
    <w:rsid w:val="00755EC4"/>
    <w:rsid w:val="0075725A"/>
    <w:rsid w:val="00757690"/>
    <w:rsid w:val="00760479"/>
    <w:rsid w:val="00761BFA"/>
    <w:rsid w:val="00762E6E"/>
    <w:rsid w:val="007638F3"/>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87F63"/>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6BC"/>
    <w:rsid w:val="007A58DB"/>
    <w:rsid w:val="007A5F61"/>
    <w:rsid w:val="007A6814"/>
    <w:rsid w:val="007A6C13"/>
    <w:rsid w:val="007B0007"/>
    <w:rsid w:val="007B0031"/>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4997"/>
    <w:rsid w:val="007F56C1"/>
    <w:rsid w:val="007F6C56"/>
    <w:rsid w:val="007F7069"/>
    <w:rsid w:val="0080018D"/>
    <w:rsid w:val="00800422"/>
    <w:rsid w:val="008017DD"/>
    <w:rsid w:val="00801847"/>
    <w:rsid w:val="008029A2"/>
    <w:rsid w:val="00803F4B"/>
    <w:rsid w:val="00804D47"/>
    <w:rsid w:val="00805502"/>
    <w:rsid w:val="00806A21"/>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5939"/>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49B"/>
    <w:rsid w:val="008707CE"/>
    <w:rsid w:val="00870A4E"/>
    <w:rsid w:val="00870F59"/>
    <w:rsid w:val="00871138"/>
    <w:rsid w:val="008715FB"/>
    <w:rsid w:val="00872D83"/>
    <w:rsid w:val="00873461"/>
    <w:rsid w:val="0087407C"/>
    <w:rsid w:val="0087489D"/>
    <w:rsid w:val="0087548B"/>
    <w:rsid w:val="00875C08"/>
    <w:rsid w:val="00876770"/>
    <w:rsid w:val="00876DEE"/>
    <w:rsid w:val="00880080"/>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101"/>
    <w:rsid w:val="008A4792"/>
    <w:rsid w:val="008A4D0B"/>
    <w:rsid w:val="008A56CE"/>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5F1B"/>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6B32"/>
    <w:rsid w:val="0094726C"/>
    <w:rsid w:val="00950D50"/>
    <w:rsid w:val="00951639"/>
    <w:rsid w:val="009516C2"/>
    <w:rsid w:val="009529E7"/>
    <w:rsid w:val="0095369B"/>
    <w:rsid w:val="009538AA"/>
    <w:rsid w:val="00954815"/>
    <w:rsid w:val="0095554C"/>
    <w:rsid w:val="00957BFA"/>
    <w:rsid w:val="0096054A"/>
    <w:rsid w:val="0096210B"/>
    <w:rsid w:val="009625F3"/>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884"/>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13C4"/>
    <w:rsid w:val="00A32582"/>
    <w:rsid w:val="00A32C78"/>
    <w:rsid w:val="00A3536F"/>
    <w:rsid w:val="00A36261"/>
    <w:rsid w:val="00A36557"/>
    <w:rsid w:val="00A366A1"/>
    <w:rsid w:val="00A36D91"/>
    <w:rsid w:val="00A37BC4"/>
    <w:rsid w:val="00A4174E"/>
    <w:rsid w:val="00A438A1"/>
    <w:rsid w:val="00A43B69"/>
    <w:rsid w:val="00A440C7"/>
    <w:rsid w:val="00A45643"/>
    <w:rsid w:val="00A45AC3"/>
    <w:rsid w:val="00A461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77FC5"/>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3AAF"/>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AE4"/>
    <w:rsid w:val="00AF1CC9"/>
    <w:rsid w:val="00AF25DB"/>
    <w:rsid w:val="00AF37FC"/>
    <w:rsid w:val="00AF3B45"/>
    <w:rsid w:val="00AF40A5"/>
    <w:rsid w:val="00AF5B5F"/>
    <w:rsid w:val="00AF7F25"/>
    <w:rsid w:val="00B000B0"/>
    <w:rsid w:val="00B00164"/>
    <w:rsid w:val="00B00561"/>
    <w:rsid w:val="00B00F1B"/>
    <w:rsid w:val="00B0211F"/>
    <w:rsid w:val="00B03332"/>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53FB"/>
    <w:rsid w:val="00B4609B"/>
    <w:rsid w:val="00B4730A"/>
    <w:rsid w:val="00B47F6D"/>
    <w:rsid w:val="00B47FF4"/>
    <w:rsid w:val="00B51402"/>
    <w:rsid w:val="00B52270"/>
    <w:rsid w:val="00B52808"/>
    <w:rsid w:val="00B52CB7"/>
    <w:rsid w:val="00B5398F"/>
    <w:rsid w:val="00B53D54"/>
    <w:rsid w:val="00B55411"/>
    <w:rsid w:val="00B55EB0"/>
    <w:rsid w:val="00B6099F"/>
    <w:rsid w:val="00B60EAA"/>
    <w:rsid w:val="00B6249D"/>
    <w:rsid w:val="00B625F3"/>
    <w:rsid w:val="00B63B04"/>
    <w:rsid w:val="00B64732"/>
    <w:rsid w:val="00B655A3"/>
    <w:rsid w:val="00B65BCA"/>
    <w:rsid w:val="00B66183"/>
    <w:rsid w:val="00B66D67"/>
    <w:rsid w:val="00B66FC5"/>
    <w:rsid w:val="00B67703"/>
    <w:rsid w:val="00B72D4D"/>
    <w:rsid w:val="00B73199"/>
    <w:rsid w:val="00B7337D"/>
    <w:rsid w:val="00B73397"/>
    <w:rsid w:val="00B7382C"/>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0DC3"/>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4F2"/>
    <w:rsid w:val="00C016B0"/>
    <w:rsid w:val="00C01D98"/>
    <w:rsid w:val="00C037E6"/>
    <w:rsid w:val="00C03F50"/>
    <w:rsid w:val="00C03F67"/>
    <w:rsid w:val="00C04449"/>
    <w:rsid w:val="00C04E94"/>
    <w:rsid w:val="00C0653F"/>
    <w:rsid w:val="00C07244"/>
    <w:rsid w:val="00C079F1"/>
    <w:rsid w:val="00C07C99"/>
    <w:rsid w:val="00C10723"/>
    <w:rsid w:val="00C15458"/>
    <w:rsid w:val="00C155C6"/>
    <w:rsid w:val="00C15991"/>
    <w:rsid w:val="00C15D7B"/>
    <w:rsid w:val="00C16989"/>
    <w:rsid w:val="00C16CF8"/>
    <w:rsid w:val="00C16F0C"/>
    <w:rsid w:val="00C17836"/>
    <w:rsid w:val="00C17BAF"/>
    <w:rsid w:val="00C21AA7"/>
    <w:rsid w:val="00C21C6A"/>
    <w:rsid w:val="00C21F9D"/>
    <w:rsid w:val="00C235CE"/>
    <w:rsid w:val="00C27110"/>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225"/>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77056"/>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0291"/>
    <w:rsid w:val="00CA153E"/>
    <w:rsid w:val="00CA32E6"/>
    <w:rsid w:val="00CA46CE"/>
    <w:rsid w:val="00CA525A"/>
    <w:rsid w:val="00CA540E"/>
    <w:rsid w:val="00CA6DCE"/>
    <w:rsid w:val="00CA7018"/>
    <w:rsid w:val="00CA7E0C"/>
    <w:rsid w:val="00CB0A42"/>
    <w:rsid w:val="00CB1865"/>
    <w:rsid w:val="00CB29E9"/>
    <w:rsid w:val="00CB3BAA"/>
    <w:rsid w:val="00CB41F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0917"/>
    <w:rsid w:val="00D22644"/>
    <w:rsid w:val="00D22B96"/>
    <w:rsid w:val="00D22D5C"/>
    <w:rsid w:val="00D22FC3"/>
    <w:rsid w:val="00D241DB"/>
    <w:rsid w:val="00D243C2"/>
    <w:rsid w:val="00D24A05"/>
    <w:rsid w:val="00D25828"/>
    <w:rsid w:val="00D25B0B"/>
    <w:rsid w:val="00D26335"/>
    <w:rsid w:val="00D266FF"/>
    <w:rsid w:val="00D274BE"/>
    <w:rsid w:val="00D27643"/>
    <w:rsid w:val="00D3012B"/>
    <w:rsid w:val="00D308E3"/>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8B6"/>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A97"/>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DF7A27"/>
    <w:rsid w:val="00E006F2"/>
    <w:rsid w:val="00E022CC"/>
    <w:rsid w:val="00E0278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B7A"/>
    <w:rsid w:val="00E31E3C"/>
    <w:rsid w:val="00E31F38"/>
    <w:rsid w:val="00E32225"/>
    <w:rsid w:val="00E322B0"/>
    <w:rsid w:val="00E33A3A"/>
    <w:rsid w:val="00E34709"/>
    <w:rsid w:val="00E348C9"/>
    <w:rsid w:val="00E3491E"/>
    <w:rsid w:val="00E35BD9"/>
    <w:rsid w:val="00E35FAB"/>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77A62"/>
    <w:rsid w:val="00E802AD"/>
    <w:rsid w:val="00E80F7F"/>
    <w:rsid w:val="00E80FB1"/>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135"/>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4C"/>
    <w:rsid w:val="00ED5BC7"/>
    <w:rsid w:val="00ED66F3"/>
    <w:rsid w:val="00ED7C59"/>
    <w:rsid w:val="00ED7DC7"/>
    <w:rsid w:val="00EE026D"/>
    <w:rsid w:val="00EE1467"/>
    <w:rsid w:val="00EE287E"/>
    <w:rsid w:val="00EE3F2F"/>
    <w:rsid w:val="00EE50A3"/>
    <w:rsid w:val="00EE6361"/>
    <w:rsid w:val="00EE6C16"/>
    <w:rsid w:val="00EE746B"/>
    <w:rsid w:val="00EF06CD"/>
    <w:rsid w:val="00EF1311"/>
    <w:rsid w:val="00EF1F73"/>
    <w:rsid w:val="00EF2AC1"/>
    <w:rsid w:val="00EF4087"/>
    <w:rsid w:val="00EF415C"/>
    <w:rsid w:val="00EF4317"/>
    <w:rsid w:val="00EF49BB"/>
    <w:rsid w:val="00EF5367"/>
    <w:rsid w:val="00EF5D19"/>
    <w:rsid w:val="00EF625E"/>
    <w:rsid w:val="00EF6CD8"/>
    <w:rsid w:val="00EF6DE2"/>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295"/>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6EA"/>
    <w:rsid w:val="00F53D17"/>
    <w:rsid w:val="00F54445"/>
    <w:rsid w:val="00F552A9"/>
    <w:rsid w:val="00F5628B"/>
    <w:rsid w:val="00F56688"/>
    <w:rsid w:val="00F572B1"/>
    <w:rsid w:val="00F60448"/>
    <w:rsid w:val="00F60B18"/>
    <w:rsid w:val="00F611B3"/>
    <w:rsid w:val="00F63AAF"/>
    <w:rsid w:val="00F63E0A"/>
    <w:rsid w:val="00F644DD"/>
    <w:rsid w:val="00F65330"/>
    <w:rsid w:val="00F705BC"/>
    <w:rsid w:val="00F7096E"/>
    <w:rsid w:val="00F71D06"/>
    <w:rsid w:val="00F72570"/>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597E"/>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637C"/>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764"/>
    <w:rsid w:val="00FE6A1E"/>
    <w:rsid w:val="00FE6B2A"/>
    <w:rsid w:val="00FE7F66"/>
    <w:rsid w:val="00FF0343"/>
    <w:rsid w:val="00FF0CF7"/>
    <w:rsid w:val="00FF1F8D"/>
    <w:rsid w:val="00FF2D9D"/>
    <w:rsid w:val="00FF40BB"/>
    <w:rsid w:val="00FF5CED"/>
    <w:rsid w:val="00FF7300"/>
    <w:rsid w:val="00FF735B"/>
    <w:rsid w:val="1B2A1FEC"/>
    <w:rsid w:val="1FE96C05"/>
    <w:rsid w:val="2CA62E52"/>
    <w:rsid w:val="5385202A"/>
    <w:rsid w:val="64A31D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2A54D8-FD89-45C0-A4AB-18E47F25CA47}">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3577</Words>
  <Characters>3894</Characters>
  <Lines>30</Lines>
  <Paragraphs>8</Paragraphs>
  <TotalTime>1534</TotalTime>
  <ScaleCrop>false</ScaleCrop>
  <LinksUpToDate>false</LinksUpToDate>
  <CharactersWithSpaces>3907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2025-04-21T03:55:00Z</dcterms:created>
  <dc:creator>刘明旭</dc:creator>
  <cp:lastModifiedBy>送送</cp:lastModifiedBy>
  <cp:lastPrinted>2025-03-14T03:17:00Z</cp:lastPrinted>
  <dcterms:modified xsi:type="dcterms:W3CDTF">2025-07-10T10:03:40Z</dcterms:modified>
  <cp:revision>94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DD2771B2F3A846E0BF99C10B9EBF5964_12</vt:lpwstr>
  </property>
</Properties>
</file>