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C43D02">
      <w:pPr>
        <w:ind w:left="321" w:leftChars="153" w:right="227"/>
        <w:jc w:val="center"/>
        <w:rPr>
          <w:rFonts w:eastAsia="黑体"/>
          <w:b/>
          <w:bCs/>
          <w:sz w:val="36"/>
          <w:szCs w:val="36"/>
        </w:rPr>
      </w:pPr>
      <w:r>
        <w:rPr>
          <w:rFonts w:hint="eastAsia" w:eastAsia="黑体"/>
          <w:b/>
          <w:bCs/>
          <w:i w:val="0"/>
          <w:iCs/>
          <w:color w:val="auto"/>
          <w:sz w:val="36"/>
          <w:szCs w:val="36"/>
          <w:u w:val="single"/>
          <w:lang w:val="en-US" w:eastAsia="zh-CN"/>
        </w:rPr>
        <w:t>管理科学与工程</w:t>
      </w:r>
      <w:r>
        <w:rPr>
          <w:rFonts w:eastAsia="黑体"/>
          <w:b/>
          <w:bCs/>
          <w:sz w:val="36"/>
          <w:szCs w:val="36"/>
        </w:rPr>
        <w:t>专业学术学位博士研究生培养方案</w:t>
      </w:r>
    </w:p>
    <w:p w14:paraId="1420CED3">
      <w:pPr>
        <w:ind w:left="321" w:leftChars="153" w:right="227"/>
        <w:jc w:val="center"/>
        <w:rPr>
          <w:rFonts w:eastAsia="黑体"/>
          <w:b/>
          <w:bCs/>
          <w:sz w:val="28"/>
          <w:szCs w:val="28"/>
        </w:rPr>
      </w:pPr>
      <w:r>
        <w:rPr>
          <w:rFonts w:eastAsia="黑体"/>
          <w:b/>
          <w:bCs/>
          <w:sz w:val="28"/>
          <w:szCs w:val="28"/>
        </w:rPr>
        <w:t>（</w:t>
      </w:r>
      <w:r>
        <w:rPr>
          <w:rFonts w:hint="eastAsia" w:eastAsia="黑体"/>
          <w:b/>
          <w:bCs/>
          <w:color w:val="auto"/>
          <w:sz w:val="28"/>
          <w:szCs w:val="28"/>
          <w:lang w:val="en-US" w:eastAsia="zh-CN"/>
        </w:rPr>
        <w:t>管理</w:t>
      </w:r>
      <w:r>
        <w:rPr>
          <w:rFonts w:eastAsia="黑体"/>
          <w:b/>
          <w:bCs/>
          <w:color w:val="auto"/>
          <w:sz w:val="28"/>
          <w:szCs w:val="28"/>
        </w:rPr>
        <w:t>学</w:t>
      </w:r>
      <w:r>
        <w:rPr>
          <w:rFonts w:eastAsia="黑体"/>
          <w:b/>
          <w:bCs/>
          <w:sz w:val="28"/>
          <w:szCs w:val="28"/>
        </w:rPr>
        <w:t>院)</w:t>
      </w:r>
    </w:p>
    <w:p w14:paraId="64A119CD">
      <w:pPr>
        <w:spacing w:line="360" w:lineRule="auto"/>
        <w:ind w:firstLine="560"/>
        <w:rPr>
          <w:rFonts w:eastAsia="黑体"/>
          <w:bCs/>
          <w:sz w:val="28"/>
          <w:szCs w:val="28"/>
        </w:rPr>
      </w:pPr>
      <w:r>
        <w:rPr>
          <w:rFonts w:eastAsia="黑体"/>
          <w:bCs/>
          <w:sz w:val="28"/>
          <w:szCs w:val="28"/>
        </w:rPr>
        <w:t>一、专业名称、代码</w:t>
      </w:r>
    </w:p>
    <w:p w14:paraId="621895B2">
      <w:pPr>
        <w:widowControl/>
        <w:spacing w:line="360" w:lineRule="auto"/>
        <w:ind w:firstLine="960" w:firstLineChars="400"/>
        <w:jc w:val="left"/>
        <w:rPr>
          <w:rFonts w:hint="default" w:eastAsia="宋体"/>
          <w:color w:val="222222"/>
          <w:kern w:val="0"/>
          <w:sz w:val="18"/>
          <w:szCs w:val="18"/>
          <w:lang w:val="en-US" w:eastAsia="zh-CN"/>
        </w:rPr>
      </w:pPr>
      <w:r>
        <w:rPr>
          <w:color w:val="222222"/>
          <w:kern w:val="0"/>
          <w:sz w:val="24"/>
        </w:rPr>
        <w:t>专业名称：</w:t>
      </w:r>
      <w:r>
        <w:rPr>
          <w:rFonts w:hint="eastAsia"/>
          <w:color w:val="222222"/>
          <w:kern w:val="0"/>
          <w:sz w:val="24"/>
          <w:lang w:val="en-US" w:eastAsia="zh-CN"/>
        </w:rPr>
        <w:t>管理科学与工程</w:t>
      </w:r>
    </w:p>
    <w:p w14:paraId="3ECDB3EA">
      <w:pPr>
        <w:widowControl/>
        <w:spacing w:line="360" w:lineRule="auto"/>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1201</w:t>
      </w:r>
    </w:p>
    <w:p w14:paraId="501ED78E">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B22CEE6">
      <w:pPr>
        <w:spacing w:line="360" w:lineRule="auto"/>
        <w:ind w:firstLine="480" w:firstLineChars="200"/>
        <w:rPr>
          <w:rFonts w:hint="eastAsia" w:eastAsiaTheme="minorEastAsia"/>
          <w:iCs/>
          <w:sz w:val="24"/>
        </w:rPr>
      </w:pPr>
      <w:r>
        <w:rPr>
          <w:rFonts w:hint="eastAsia" w:eastAsiaTheme="minorEastAsia"/>
          <w:iCs/>
          <w:sz w:val="24"/>
        </w:rPr>
        <w:t>河北大学管理科学与工程一级学科硕士点设立于2005年，博士学位点于2011年获国务院学位委员会批准设立，2012年秋季开始招生，2019年获批博士后科研流动站。该一级学科坚持集中学校优质资源、打破学院界限、共建共享的办学理念，注重多学科交叉融合，得到文科综合实验教学国家级示范中心、政府管理与公共政策研究中心和河北省社会建设与治理省级重点研究基地以及多个相关硕士点的有力支撑；依托学校多学科优势、区位优势和省部合建平台，逐渐形成了“根植京津冀，服务国家战略，注重理论创新和管理实践”的学科特色。科研项目和研究成果服务于京津冀协同发展、雄安新区建设、</w:t>
      </w:r>
      <w:r>
        <w:rPr>
          <w:rFonts w:hint="eastAsia" w:eastAsiaTheme="minorEastAsia"/>
          <w:iCs/>
          <w:sz w:val="24"/>
          <w:lang w:val="en-US" w:eastAsia="zh-CN"/>
        </w:rPr>
        <w:t>乡村振兴</w:t>
      </w:r>
      <w:r>
        <w:rPr>
          <w:rFonts w:hint="eastAsia" w:eastAsiaTheme="minorEastAsia"/>
          <w:iCs/>
          <w:sz w:val="24"/>
        </w:rPr>
        <w:t>等国家战略；鼓励理论创新，突出原创成果，引领学术前沿；同时积极完善管理实践，促进经济社会发展。</w:t>
      </w:r>
    </w:p>
    <w:p w14:paraId="1D59B68D">
      <w:pPr>
        <w:spacing w:line="360" w:lineRule="auto"/>
        <w:ind w:firstLine="560" w:firstLineChars="200"/>
        <w:rPr>
          <w:rFonts w:eastAsia="黑体"/>
          <w:bCs/>
          <w:sz w:val="28"/>
          <w:szCs w:val="28"/>
        </w:rPr>
      </w:pPr>
      <w:r>
        <w:rPr>
          <w:rFonts w:eastAsia="黑体"/>
          <w:bCs/>
          <w:sz w:val="28"/>
          <w:szCs w:val="28"/>
        </w:rPr>
        <w:t>三、研究方向</w:t>
      </w:r>
    </w:p>
    <w:p w14:paraId="34AAABBA">
      <w:pPr>
        <w:spacing w:line="360" w:lineRule="auto"/>
        <w:ind w:firstLine="482" w:firstLineChars="200"/>
        <w:rPr>
          <w:b/>
          <w:bCs/>
          <w:sz w:val="24"/>
        </w:rPr>
      </w:pPr>
      <w:r>
        <w:rPr>
          <w:rFonts w:hint="eastAsia" w:ascii="宋体" w:hAnsi="宋体"/>
          <w:b/>
          <w:bCs/>
          <w:sz w:val="24"/>
        </w:rPr>
        <w:t>1、</w:t>
      </w:r>
      <w:r>
        <w:rPr>
          <w:rFonts w:hint="eastAsia"/>
          <w:b/>
          <w:bCs/>
          <w:sz w:val="24"/>
        </w:rPr>
        <w:t>优化理论与智能决策</w:t>
      </w:r>
    </w:p>
    <w:p w14:paraId="6D5197F1">
      <w:pPr>
        <w:spacing w:line="360" w:lineRule="auto"/>
        <w:ind w:firstLine="480" w:firstLineChars="200"/>
        <w:rPr>
          <w:rFonts w:hint="eastAsia"/>
          <w:sz w:val="24"/>
        </w:rPr>
      </w:pPr>
      <w:r>
        <w:rPr>
          <w:rFonts w:hint="eastAsia"/>
          <w:sz w:val="24"/>
        </w:rPr>
        <w:t>本研究方向主要综合模糊数学、最优化理论、管理学、工程技术、交通运输、智能算法等多学科的理论方法，利用不确定规划、基于可信性测度的模糊随机优化理论等研究管理科学、工程技术、军事决策、金融保险等具有模糊和随机不确定信息的智能决策系统最优化问题。</w:t>
      </w:r>
    </w:p>
    <w:p w14:paraId="6E00FEA7">
      <w:pPr>
        <w:spacing w:line="360" w:lineRule="auto"/>
        <w:ind w:firstLine="482" w:firstLineChars="200"/>
        <w:rPr>
          <w:rFonts w:hint="default" w:eastAsia="宋体"/>
          <w:b/>
          <w:bCs/>
          <w:sz w:val="24"/>
          <w:lang w:val="en-US" w:eastAsia="zh-CN"/>
        </w:rPr>
      </w:pPr>
      <w:r>
        <w:rPr>
          <w:rFonts w:hint="eastAsia" w:ascii="宋体" w:hAnsi="宋体"/>
          <w:b/>
          <w:bCs/>
          <w:sz w:val="24"/>
        </w:rPr>
        <w:t>2、</w:t>
      </w:r>
      <w:r>
        <w:rPr>
          <w:rFonts w:hint="eastAsia"/>
          <w:b/>
          <w:bCs/>
          <w:sz w:val="24"/>
        </w:rPr>
        <w:t>信息</w:t>
      </w:r>
      <w:r>
        <w:rPr>
          <w:rFonts w:hint="eastAsia"/>
          <w:b/>
          <w:bCs/>
          <w:sz w:val="24"/>
          <w:lang w:val="en-US" w:eastAsia="zh-CN"/>
        </w:rPr>
        <w:t>检索与信息管理</w:t>
      </w:r>
    </w:p>
    <w:p w14:paraId="6E3ED995">
      <w:pPr>
        <w:spacing w:line="360" w:lineRule="auto"/>
        <w:ind w:firstLine="480" w:firstLineChars="200"/>
        <w:rPr>
          <w:sz w:val="24"/>
        </w:rPr>
      </w:pPr>
      <w:r>
        <w:rPr>
          <w:rFonts w:hint="eastAsia"/>
          <w:sz w:val="24"/>
        </w:rPr>
        <w:t>本研究方向主要将计算机科学技术与信息管理科学相互融合，利用管理学、经济学、社会学、法学和心理学等学科领域的理论和方法，研究文本特征抽取与信息检索模型、知识挖掘与数字资源管理、数字资源建设和利用的政策法规、知识产权数字资源开发利用的信息政策问题和系统问题等。</w:t>
      </w:r>
    </w:p>
    <w:p w14:paraId="464F8B66">
      <w:pPr>
        <w:spacing w:line="360" w:lineRule="auto"/>
        <w:ind w:firstLine="482" w:firstLineChars="200"/>
        <w:rPr>
          <w:b/>
          <w:bCs/>
          <w:sz w:val="24"/>
        </w:rPr>
      </w:pPr>
      <w:r>
        <w:rPr>
          <w:rFonts w:hint="eastAsia" w:ascii="宋体" w:hAnsi="宋体"/>
          <w:b/>
          <w:bCs/>
          <w:sz w:val="24"/>
        </w:rPr>
        <w:t>3、</w:t>
      </w:r>
      <w:r>
        <w:rPr>
          <w:rFonts w:hint="eastAsia"/>
          <w:b/>
          <w:bCs/>
          <w:sz w:val="24"/>
        </w:rPr>
        <w:t>投融资决策与管理</w:t>
      </w:r>
    </w:p>
    <w:p w14:paraId="7C2E0BA8">
      <w:pPr>
        <w:spacing w:line="360" w:lineRule="auto"/>
        <w:ind w:firstLine="480" w:firstLineChars="200"/>
        <w:rPr>
          <w:sz w:val="24"/>
        </w:rPr>
      </w:pPr>
      <w:r>
        <w:rPr>
          <w:rFonts w:hint="eastAsia"/>
          <w:sz w:val="24"/>
        </w:rPr>
        <w:t>本研究方向主要集投资、融资与管理为一体，广泛利用最优化理论、决策理论与方法、多元统计分析方法以及计算机技术等，系统研究投资管理与决策的理论与方法，尤其注重投融资决策及其风险分析、公共投资的经济和社会效益评价等重大决策与管理问题的研究。</w:t>
      </w:r>
    </w:p>
    <w:p w14:paraId="13FF6CC0">
      <w:pPr>
        <w:spacing w:line="360" w:lineRule="auto"/>
        <w:ind w:firstLine="482" w:firstLineChars="200"/>
        <w:rPr>
          <w:rFonts w:hint="default" w:eastAsia="宋体"/>
          <w:b/>
          <w:bCs/>
          <w:sz w:val="24"/>
          <w:lang w:val="en-US" w:eastAsia="zh-CN"/>
        </w:rPr>
      </w:pPr>
      <w:r>
        <w:rPr>
          <w:rFonts w:hint="eastAsia" w:ascii="宋体" w:hAnsi="宋体"/>
          <w:b/>
          <w:bCs/>
          <w:sz w:val="24"/>
          <w:lang w:val="en-US" w:eastAsia="zh-CN"/>
        </w:rPr>
        <w:t>4</w:t>
      </w:r>
      <w:r>
        <w:rPr>
          <w:rFonts w:hint="eastAsia" w:ascii="宋体" w:hAnsi="宋体"/>
          <w:b/>
          <w:bCs/>
          <w:sz w:val="24"/>
        </w:rPr>
        <w:t>、</w:t>
      </w:r>
      <w:r>
        <w:rPr>
          <w:rFonts w:hint="eastAsia"/>
          <w:b/>
          <w:bCs/>
          <w:sz w:val="24"/>
          <w:lang w:val="en-US" w:eastAsia="zh-CN"/>
        </w:rPr>
        <w:t>公共治理与绩效评估</w:t>
      </w:r>
    </w:p>
    <w:p w14:paraId="56689F23">
      <w:pPr>
        <w:spacing w:line="360" w:lineRule="auto"/>
        <w:ind w:firstLine="480" w:firstLineChars="200"/>
        <w:rPr>
          <w:rFonts w:hint="eastAsia"/>
          <w:sz w:val="24"/>
        </w:rPr>
      </w:pPr>
      <w:r>
        <w:rPr>
          <w:rFonts w:hint="eastAsia"/>
          <w:sz w:val="24"/>
        </w:rPr>
        <w:t>本研究方向主要广泛利用最优化理论、决策理论与方法、多元统计分析方法、评价理论与风险评估和计算机技术等，系统研究社会公共管理问题，尤其是政府治理效能提升、公共服务质量优化</w:t>
      </w:r>
      <w:r>
        <w:rPr>
          <w:rFonts w:hint="eastAsia"/>
          <w:sz w:val="24"/>
          <w:lang w:eastAsia="zh-CN"/>
        </w:rPr>
        <w:t>、</w:t>
      </w:r>
      <w:r>
        <w:rPr>
          <w:rFonts w:hint="eastAsia"/>
          <w:sz w:val="24"/>
        </w:rPr>
        <w:t>政府绩效评价</w:t>
      </w:r>
      <w:r>
        <w:rPr>
          <w:rFonts w:hint="eastAsia"/>
          <w:sz w:val="24"/>
          <w:lang w:eastAsia="zh-CN"/>
        </w:rPr>
        <w:t>、</w:t>
      </w:r>
      <w:r>
        <w:rPr>
          <w:rFonts w:hint="eastAsia"/>
          <w:sz w:val="24"/>
          <w:lang w:val="en-US" w:eastAsia="zh-CN"/>
        </w:rPr>
        <w:t>城乡治理与规划、</w:t>
      </w:r>
      <w:r>
        <w:rPr>
          <w:rFonts w:hint="eastAsia"/>
          <w:sz w:val="24"/>
        </w:rPr>
        <w:t>应急救援管理、社会数字治理等重大决策与管理问题。</w:t>
      </w:r>
    </w:p>
    <w:p w14:paraId="20BD6F96">
      <w:pPr>
        <w:numPr>
          <w:ilvl w:val="0"/>
          <w:numId w:val="1"/>
        </w:numPr>
        <w:spacing w:line="360" w:lineRule="auto"/>
        <w:ind w:firstLine="482" w:firstLineChars="200"/>
        <w:rPr>
          <w:rFonts w:hint="eastAsia"/>
          <w:b/>
          <w:bCs/>
          <w:sz w:val="24"/>
          <w:lang w:val="en-US" w:eastAsia="zh-CN"/>
        </w:rPr>
      </w:pPr>
      <w:r>
        <w:rPr>
          <w:rFonts w:hint="eastAsia"/>
          <w:b/>
          <w:bCs/>
          <w:sz w:val="24"/>
          <w:lang w:val="en-US" w:eastAsia="zh-CN"/>
        </w:rPr>
        <w:t>服务创新与运营管理</w:t>
      </w:r>
    </w:p>
    <w:p w14:paraId="187CAFE5">
      <w:pPr>
        <w:numPr>
          <w:ilvl w:val="0"/>
          <w:numId w:val="0"/>
        </w:numPr>
        <w:spacing w:line="360" w:lineRule="auto"/>
        <w:ind w:firstLine="480" w:firstLineChars="200"/>
        <w:rPr>
          <w:rFonts w:hint="eastAsia" w:eastAsiaTheme="minorEastAsia"/>
          <w:i w:val="0"/>
          <w:iCs/>
          <w:color w:val="FF0000"/>
          <w:sz w:val="24"/>
        </w:rPr>
      </w:pPr>
      <w:r>
        <w:rPr>
          <w:rFonts w:hint="eastAsia"/>
          <w:sz w:val="24"/>
        </w:rPr>
        <w:t>本研究方向</w:t>
      </w:r>
      <w:r>
        <w:rPr>
          <w:rFonts w:hint="eastAsia"/>
          <w:sz w:val="24"/>
          <w:lang w:val="en-US" w:eastAsia="zh-CN"/>
        </w:rPr>
        <w:t>充分</w:t>
      </w:r>
      <w:r>
        <w:rPr>
          <w:rFonts w:hint="eastAsia"/>
          <w:sz w:val="24"/>
        </w:rPr>
        <w:t>利用最优化理论、</w:t>
      </w:r>
      <w:r>
        <w:rPr>
          <w:rFonts w:hint="eastAsia"/>
          <w:sz w:val="24"/>
          <w:lang w:val="en-US" w:eastAsia="zh-CN"/>
        </w:rPr>
        <w:t>博弈论、决策理论，以及大数据</w:t>
      </w:r>
      <w:r>
        <w:rPr>
          <w:rFonts w:hint="eastAsia"/>
          <w:sz w:val="24"/>
        </w:rPr>
        <w:t>、</w:t>
      </w:r>
      <w:r>
        <w:rPr>
          <w:rFonts w:hint="eastAsia"/>
          <w:sz w:val="24"/>
          <w:lang w:val="en-US" w:eastAsia="zh-CN"/>
        </w:rPr>
        <w:t>人工智能等新一代信息技术进行智慧运营与服务创新的基础理论与技术方法。深入供应链管理、物流、零售、共享平台和环境等服务行业，研究企业运营管理服务、全渠道服务网络优化、人机协作服务，制造及服务资源配置与优化，智慧旅游服务、平台运营管理，运营与服务模式创新等问题</w:t>
      </w:r>
      <w:r>
        <w:rPr>
          <w:rFonts w:hint="eastAsia"/>
          <w:sz w:val="24"/>
        </w:rPr>
        <w:t>。</w:t>
      </w:r>
    </w:p>
    <w:p w14:paraId="055BEC73">
      <w:pPr>
        <w:spacing w:line="360" w:lineRule="auto"/>
        <w:ind w:firstLine="560" w:firstLineChars="200"/>
        <w:rPr>
          <w:rFonts w:eastAsia="黑体"/>
          <w:bCs/>
          <w:sz w:val="28"/>
          <w:szCs w:val="28"/>
        </w:rPr>
      </w:pPr>
      <w:r>
        <w:rPr>
          <w:rFonts w:eastAsia="黑体"/>
          <w:bCs/>
          <w:sz w:val="28"/>
          <w:szCs w:val="28"/>
        </w:rPr>
        <w:t>四、学制及学习年限</w:t>
      </w:r>
    </w:p>
    <w:p w14:paraId="0A480385">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4C3ADB7A">
      <w:pPr>
        <w:spacing w:line="360" w:lineRule="auto"/>
        <w:ind w:firstLine="560" w:firstLineChars="200"/>
        <w:rPr>
          <w:rFonts w:eastAsia="黑体"/>
          <w:bCs/>
          <w:sz w:val="28"/>
          <w:szCs w:val="28"/>
        </w:rPr>
      </w:pPr>
      <w:r>
        <w:rPr>
          <w:rFonts w:eastAsia="黑体"/>
          <w:bCs/>
          <w:sz w:val="28"/>
          <w:szCs w:val="28"/>
        </w:rPr>
        <w:t>五、培养目标</w:t>
      </w:r>
    </w:p>
    <w:p w14:paraId="0EA2BD7A">
      <w:pPr>
        <w:spacing w:line="360" w:lineRule="auto"/>
        <w:ind w:firstLine="480"/>
        <w:rPr>
          <w:rFonts w:eastAsiaTheme="minorEastAsia"/>
          <w:i w:val="0"/>
          <w:iCs/>
          <w:color w:val="auto"/>
          <w:sz w:val="24"/>
        </w:rPr>
      </w:pPr>
      <w:r>
        <w:rPr>
          <w:rFonts w:eastAsiaTheme="minorEastAsia"/>
          <w:i w:val="0"/>
          <w:iCs/>
          <w:color w:val="auto"/>
          <w:sz w:val="24"/>
        </w:rPr>
        <w:t>1. 树立正确的中国特色社会主义核心价值观，具有坚定的理想信念，高尚的道德情操，优良的学术作风，高度的社会责任感。</w:t>
      </w:r>
    </w:p>
    <w:p w14:paraId="186DD86C">
      <w:pPr>
        <w:spacing w:line="360" w:lineRule="auto"/>
        <w:ind w:firstLine="480"/>
        <w:rPr>
          <w:rFonts w:eastAsiaTheme="minorEastAsia"/>
          <w:i w:val="0"/>
          <w:iCs/>
          <w:color w:val="auto"/>
          <w:sz w:val="24"/>
        </w:rPr>
      </w:pPr>
      <w:r>
        <w:rPr>
          <w:rFonts w:eastAsiaTheme="minorEastAsia"/>
          <w:i w:val="0"/>
          <w:iCs/>
          <w:color w:val="auto"/>
          <w:sz w:val="24"/>
        </w:rPr>
        <w:t xml:space="preserve">2. </w:t>
      </w:r>
      <w:r>
        <w:rPr>
          <w:rFonts w:hint="eastAsia" w:eastAsiaTheme="minorEastAsia"/>
          <w:i w:val="0"/>
          <w:iCs/>
          <w:color w:val="auto"/>
          <w:sz w:val="24"/>
        </w:rPr>
        <w:t>深入学习商业、管理、经济领域相关知识</w:t>
      </w:r>
      <w:r>
        <w:rPr>
          <w:rFonts w:hint="eastAsia" w:eastAsiaTheme="minorEastAsia"/>
          <w:i w:val="0"/>
          <w:iCs/>
          <w:color w:val="auto"/>
          <w:sz w:val="24"/>
          <w:lang w:eastAsia="zh-CN"/>
        </w:rPr>
        <w:t>，</w:t>
      </w:r>
      <w:r>
        <w:rPr>
          <w:rFonts w:eastAsiaTheme="minorEastAsia"/>
          <w:i w:val="0"/>
          <w:iCs/>
          <w:color w:val="auto"/>
          <w:sz w:val="24"/>
        </w:rPr>
        <w:t>掌握</w:t>
      </w:r>
      <w:r>
        <w:rPr>
          <w:rFonts w:hint="eastAsia" w:eastAsiaTheme="minorEastAsia"/>
          <w:i w:val="0"/>
          <w:iCs/>
          <w:color w:val="auto"/>
          <w:sz w:val="24"/>
        </w:rPr>
        <w:t>管理科学与工程</w:t>
      </w:r>
      <w:r>
        <w:rPr>
          <w:rFonts w:eastAsiaTheme="minorEastAsia"/>
          <w:i w:val="0"/>
          <w:iCs/>
          <w:color w:val="auto"/>
          <w:sz w:val="24"/>
        </w:rPr>
        <w:t>学科的科学研究方法及必要的现代实验方法和技能，熟悉本学科的前沿研究领域</w:t>
      </w:r>
      <w:r>
        <w:rPr>
          <w:rFonts w:hint="eastAsia" w:eastAsiaTheme="minorEastAsia"/>
          <w:i w:val="0"/>
          <w:iCs/>
          <w:color w:val="auto"/>
          <w:sz w:val="24"/>
          <w:lang w:eastAsia="zh-CN"/>
        </w:rPr>
        <w:t>。</w:t>
      </w:r>
      <w:r>
        <w:rPr>
          <w:rFonts w:hint="eastAsia" w:eastAsiaTheme="minorEastAsia"/>
          <w:i w:val="0"/>
          <w:iCs/>
          <w:color w:val="auto"/>
          <w:sz w:val="24"/>
        </w:rPr>
        <w:t>洞悉现实社会的重大问题与管理需求</w:t>
      </w:r>
      <w:r>
        <w:rPr>
          <w:rFonts w:hint="eastAsia" w:eastAsiaTheme="minorEastAsia"/>
          <w:i w:val="0"/>
          <w:iCs/>
          <w:color w:val="auto"/>
          <w:sz w:val="24"/>
          <w:lang w:eastAsia="zh-CN"/>
        </w:rPr>
        <w:t>，</w:t>
      </w:r>
      <w:r>
        <w:rPr>
          <w:rFonts w:hint="eastAsia" w:eastAsiaTheme="minorEastAsia"/>
          <w:i w:val="0"/>
          <w:iCs/>
          <w:color w:val="auto"/>
          <w:sz w:val="24"/>
        </w:rPr>
        <w:t>具备多学科和系统性思维模式</w:t>
      </w:r>
      <w:r>
        <w:rPr>
          <w:rFonts w:hint="eastAsia" w:eastAsiaTheme="minorEastAsia"/>
          <w:i w:val="0"/>
          <w:iCs/>
          <w:color w:val="auto"/>
          <w:sz w:val="24"/>
          <w:lang w:eastAsia="zh-CN"/>
        </w:rPr>
        <w:t>，</w:t>
      </w:r>
      <w:r>
        <w:rPr>
          <w:rFonts w:hint="eastAsia" w:eastAsiaTheme="minorEastAsia"/>
          <w:i w:val="0"/>
          <w:iCs/>
          <w:color w:val="auto"/>
          <w:sz w:val="24"/>
          <w:lang w:val="en-US" w:eastAsia="zh-CN"/>
        </w:rPr>
        <w:t>能够</w:t>
      </w:r>
      <w:r>
        <w:rPr>
          <w:rFonts w:hint="eastAsia" w:eastAsiaTheme="minorEastAsia"/>
          <w:i w:val="0"/>
          <w:iCs/>
          <w:color w:val="auto"/>
          <w:sz w:val="24"/>
        </w:rPr>
        <w:t>运用严谨的思维和方法解决研究问题</w:t>
      </w:r>
      <w:r>
        <w:rPr>
          <w:rFonts w:hint="eastAsia" w:eastAsiaTheme="minorEastAsia"/>
          <w:i w:val="0"/>
          <w:iCs/>
          <w:color w:val="auto"/>
          <w:sz w:val="24"/>
          <w:lang w:eastAsia="zh-CN"/>
        </w:rPr>
        <w:t>。</w:t>
      </w:r>
      <w:r>
        <w:rPr>
          <w:rFonts w:eastAsiaTheme="minorEastAsia"/>
          <w:i w:val="0"/>
          <w:iCs/>
          <w:color w:val="auto"/>
          <w:sz w:val="24"/>
        </w:rPr>
        <w:t>具有独立从事科学研究和解决实际问题的能力。</w:t>
      </w:r>
    </w:p>
    <w:p w14:paraId="22C222D9">
      <w:pPr>
        <w:spacing w:line="360" w:lineRule="auto"/>
        <w:ind w:firstLine="480"/>
        <w:rPr>
          <w:rFonts w:eastAsiaTheme="minorEastAsia"/>
          <w:i w:val="0"/>
          <w:iCs/>
          <w:color w:val="auto"/>
          <w:sz w:val="24"/>
        </w:rPr>
      </w:pPr>
      <w:r>
        <w:rPr>
          <w:rFonts w:eastAsiaTheme="minorEastAsia"/>
          <w:i w:val="0"/>
          <w:iCs/>
          <w:color w:val="auto"/>
          <w:sz w:val="24"/>
        </w:rPr>
        <w:t>3. 至少掌握一门外国语，能熟练阅读本专业的外文资料，具有撰写学术论文和进行国际学术交流的能力</w:t>
      </w:r>
      <w:r>
        <w:rPr>
          <w:rFonts w:hint="eastAsia" w:eastAsiaTheme="minorEastAsia"/>
          <w:i w:val="0"/>
          <w:iCs/>
          <w:color w:val="auto"/>
          <w:sz w:val="24"/>
        </w:rPr>
        <w:t>。</w:t>
      </w:r>
    </w:p>
    <w:p w14:paraId="666AE060">
      <w:pPr>
        <w:spacing w:line="360" w:lineRule="auto"/>
        <w:ind w:firstLine="480"/>
        <w:rPr>
          <w:rFonts w:eastAsiaTheme="minorEastAsia"/>
          <w:i w:val="0"/>
          <w:iCs/>
          <w:color w:val="auto"/>
          <w:sz w:val="24"/>
        </w:rPr>
      </w:pPr>
      <w:r>
        <w:rPr>
          <w:rFonts w:eastAsiaTheme="minorEastAsia"/>
          <w:i w:val="0"/>
          <w:iCs/>
          <w:color w:val="auto"/>
          <w:sz w:val="24"/>
        </w:rPr>
        <w:t>4. 具有良好的团队意识和团队合作精神。</w:t>
      </w:r>
    </w:p>
    <w:p w14:paraId="1874BD4E">
      <w:pPr>
        <w:spacing w:line="360" w:lineRule="auto"/>
        <w:ind w:firstLine="480"/>
        <w:rPr>
          <w:rFonts w:eastAsiaTheme="minorEastAsia"/>
          <w:i w:val="0"/>
          <w:iCs/>
          <w:color w:val="auto"/>
          <w:sz w:val="24"/>
        </w:rPr>
      </w:pPr>
      <w:r>
        <w:rPr>
          <w:rFonts w:eastAsiaTheme="minorEastAsia"/>
          <w:i w:val="0"/>
          <w:iCs/>
          <w:color w:val="auto"/>
          <w:sz w:val="24"/>
        </w:rPr>
        <w:t>5. 具有良好的心理素养。</w:t>
      </w:r>
    </w:p>
    <w:p w14:paraId="3B46D36F">
      <w:pPr>
        <w:spacing w:line="360" w:lineRule="auto"/>
        <w:ind w:firstLine="480"/>
        <w:rPr>
          <w:rFonts w:eastAsiaTheme="minorEastAsia"/>
          <w:i w:val="0"/>
          <w:iCs/>
          <w:color w:val="auto"/>
          <w:sz w:val="24"/>
        </w:rPr>
      </w:pPr>
      <w:r>
        <w:rPr>
          <w:rFonts w:eastAsiaTheme="minorEastAsia"/>
          <w:i w:val="0"/>
          <w:iCs/>
          <w:color w:val="auto"/>
          <w:sz w:val="24"/>
        </w:rPr>
        <w:t>6. 培养德智体美劳全面发展的社会主义事业接班人。</w:t>
      </w:r>
    </w:p>
    <w:p w14:paraId="171D198D">
      <w:pPr>
        <w:spacing w:line="360" w:lineRule="auto"/>
        <w:ind w:firstLine="560" w:firstLineChars="200"/>
        <w:rPr>
          <w:rFonts w:eastAsia="黑体"/>
          <w:bCs/>
          <w:sz w:val="28"/>
          <w:szCs w:val="28"/>
        </w:rPr>
      </w:pPr>
      <w:r>
        <w:rPr>
          <w:rFonts w:hint="eastAsia" w:eastAsia="黑体"/>
          <w:bCs/>
          <w:sz w:val="28"/>
          <w:szCs w:val="28"/>
        </w:rPr>
        <w:t>六、培养方式</w:t>
      </w:r>
    </w:p>
    <w:p w14:paraId="6B9117B0">
      <w:pPr>
        <w:spacing w:line="360" w:lineRule="auto"/>
        <w:ind w:firstLine="480" w:firstLineChars="200"/>
        <w:rPr>
          <w:rFonts w:asciiTheme="minorEastAsia" w:hAnsiTheme="minorEastAsia" w:eastAsiaTheme="minorEastAsia"/>
          <w:bCs/>
          <w:i/>
          <w:color w:val="FF0000"/>
          <w:sz w:val="24"/>
          <w:highlight w:val="none"/>
        </w:rPr>
      </w:pPr>
      <w:r>
        <w:rPr>
          <w:rFonts w:hint="eastAsia"/>
          <w:sz w:val="24"/>
          <w:highlight w:val="none"/>
        </w:rPr>
        <w:t>本专业采用导师负责制与学科组集体培养相结合的方式，以科研能力培养为核心，通过课程学习、文献阅读、课题研究、学术交流与学位论文撰写等环节，系统提升学生的理论水平和创新能力</w:t>
      </w:r>
      <w:r>
        <w:rPr>
          <w:rFonts w:hint="eastAsia"/>
          <w:sz w:val="24"/>
          <w:highlight w:val="none"/>
          <w:lang w:eastAsia="zh-CN"/>
        </w:rPr>
        <w:t>。着重培养博士生严谨的科学作风、独立从事科学研究工作能力、进行创造性研究工作的综合业务素质</w:t>
      </w:r>
      <w:r>
        <w:rPr>
          <w:rFonts w:hint="eastAsia"/>
          <w:sz w:val="24"/>
          <w:highlight w:val="none"/>
        </w:rPr>
        <w:t>。要求学生完成规定学分，</w:t>
      </w:r>
      <w:r>
        <w:rPr>
          <w:rFonts w:hint="eastAsia"/>
          <w:sz w:val="24"/>
          <w:highlight w:val="none"/>
          <w:lang w:val="en-US" w:eastAsia="zh-CN"/>
        </w:rPr>
        <w:t>取得一定水平的科研成果，</w:t>
      </w:r>
      <w:r>
        <w:rPr>
          <w:rFonts w:hint="eastAsia"/>
          <w:sz w:val="24"/>
          <w:highlight w:val="none"/>
        </w:rPr>
        <w:t>并通过学位论文答辩。</w:t>
      </w:r>
    </w:p>
    <w:p w14:paraId="01ADB0C7">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563E1263">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1FF20E83">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F6D0A1A">
      <w:pPr>
        <w:widowControl/>
        <w:spacing w:line="360" w:lineRule="auto"/>
        <w:ind w:firstLine="480"/>
        <w:jc w:val="left"/>
        <w:rPr>
          <w:i w:val="0"/>
          <w:iCs w:val="0"/>
          <w:color w:val="auto"/>
          <w:kern w:val="0"/>
          <w:sz w:val="18"/>
          <w:szCs w:val="18"/>
        </w:rPr>
      </w:pPr>
      <w:r>
        <w:rPr>
          <w:bCs/>
          <w:i w:val="0"/>
          <w:iCs w:val="0"/>
          <w:color w:val="auto"/>
          <w:kern w:val="0"/>
          <w:sz w:val="24"/>
        </w:rPr>
        <w:t>1.总体要求：</w:t>
      </w:r>
      <w:r>
        <w:rPr>
          <w:i w:val="0"/>
          <w:iCs w:val="0"/>
          <w:color w:val="auto"/>
          <w:kern w:val="0"/>
          <w:sz w:val="24"/>
        </w:rPr>
        <w:t>按照《河北大学关于开展2025版研究生培养方案修订工作的指导意见》（校政字</w:t>
      </w:r>
      <w:r>
        <w:rPr>
          <w:rFonts w:eastAsiaTheme="minorEastAsia"/>
          <w:bCs/>
          <w:i w:val="0"/>
          <w:iCs w:val="0"/>
          <w:color w:val="auto"/>
          <w:sz w:val="24"/>
        </w:rPr>
        <w:t>〔2025〕9号</w:t>
      </w:r>
      <w:r>
        <w:rPr>
          <w:i w:val="0"/>
          <w:iCs w:val="0"/>
          <w:color w:val="auto"/>
          <w:kern w:val="0"/>
          <w:sz w:val="24"/>
        </w:rPr>
        <w:t>）规定，博士研究生论文开题与答辩时间间隔原则上不少于18个月。学位（毕业）论文应当表明作者</w:t>
      </w:r>
      <w:r>
        <w:rPr>
          <w:rFonts w:eastAsiaTheme="minorEastAsia"/>
          <w:i w:val="0"/>
          <w:iCs w:val="0"/>
          <w:color w:val="auto"/>
          <w:sz w:val="24"/>
        </w:rPr>
        <w:t>具有独立从事学术研究工作的能力， 在学术研究领域做出创新性成果。</w:t>
      </w:r>
    </w:p>
    <w:p w14:paraId="00B3B68F">
      <w:pPr>
        <w:widowControl/>
        <w:spacing w:line="360" w:lineRule="auto"/>
        <w:ind w:firstLine="480"/>
        <w:jc w:val="left"/>
        <w:rPr>
          <w:i w:val="0"/>
          <w:iCs w:val="0"/>
          <w:color w:val="auto"/>
          <w:kern w:val="0"/>
          <w:sz w:val="18"/>
          <w:szCs w:val="18"/>
        </w:rPr>
      </w:pPr>
      <w:r>
        <w:rPr>
          <w:bCs/>
          <w:i w:val="0"/>
          <w:iCs w:val="0"/>
          <w:color w:val="auto"/>
          <w:kern w:val="0"/>
          <w:sz w:val="24"/>
        </w:rPr>
        <w:t>2.开题：</w:t>
      </w:r>
      <w:r>
        <w:rPr>
          <w:i w:val="0"/>
          <w:iCs w:val="0"/>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497FD92">
      <w:pPr>
        <w:widowControl/>
        <w:spacing w:line="360" w:lineRule="auto"/>
        <w:ind w:firstLine="480"/>
        <w:jc w:val="left"/>
        <w:rPr>
          <w:i w:val="0"/>
          <w:iCs w:val="0"/>
          <w:color w:val="auto"/>
          <w:kern w:val="0"/>
          <w:sz w:val="18"/>
          <w:szCs w:val="18"/>
        </w:rPr>
      </w:pPr>
      <w:r>
        <w:rPr>
          <w:i w:val="0"/>
          <w:iCs w:val="0"/>
          <w:color w:val="auto"/>
          <w:kern w:val="0"/>
          <w:sz w:val="24"/>
        </w:rPr>
        <w:t>原则上在入学后第3学期（最迟不超过第4学期）完成开题。开题由3-5名具有正高级专业技术职务人员参加，以学术报告的方式进行。</w:t>
      </w:r>
    </w:p>
    <w:p w14:paraId="31A88025">
      <w:pPr>
        <w:widowControl/>
        <w:spacing w:line="360" w:lineRule="auto"/>
        <w:ind w:firstLine="480"/>
        <w:jc w:val="left"/>
        <w:rPr>
          <w:i w:val="0"/>
          <w:iCs w:val="0"/>
          <w:color w:val="auto"/>
          <w:kern w:val="0"/>
          <w:sz w:val="24"/>
        </w:rPr>
      </w:pPr>
      <w:r>
        <w:rPr>
          <w:bCs/>
          <w:i w:val="0"/>
          <w:iCs w:val="0"/>
          <w:color w:val="auto"/>
          <w:kern w:val="0"/>
          <w:sz w:val="24"/>
        </w:rPr>
        <w:t>3.中期进展报告：</w:t>
      </w:r>
      <w:r>
        <w:rPr>
          <w:i w:val="0"/>
          <w:iCs w:val="0"/>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13EE9E03">
      <w:pPr>
        <w:widowControl/>
        <w:spacing w:line="360" w:lineRule="auto"/>
        <w:ind w:firstLine="480"/>
        <w:jc w:val="left"/>
        <w:rPr>
          <w:i w:val="0"/>
          <w:iCs w:val="0"/>
          <w:color w:val="auto"/>
          <w:kern w:val="0"/>
          <w:sz w:val="24"/>
        </w:rPr>
      </w:pPr>
      <w:r>
        <w:rPr>
          <w:bCs/>
          <w:i w:val="0"/>
          <w:iCs w:val="0"/>
          <w:color w:val="auto"/>
          <w:kern w:val="0"/>
          <w:sz w:val="24"/>
        </w:rPr>
        <w:t>4.学位申请：</w:t>
      </w:r>
      <w:r>
        <w:rPr>
          <w:i w:val="0"/>
          <w:iCs w:val="0"/>
          <w:color w:val="auto"/>
          <w:kern w:val="0"/>
          <w:sz w:val="24"/>
        </w:rPr>
        <w:t>达到学位授予条件的申请人，经导师同意后，应于答辩前三个月，向所属学位评定分委员会提出学位申请，提交学位申请材料。</w:t>
      </w:r>
    </w:p>
    <w:p w14:paraId="2A7DADF7">
      <w:pPr>
        <w:widowControl/>
        <w:spacing w:line="360" w:lineRule="auto"/>
        <w:ind w:firstLine="480"/>
        <w:jc w:val="left"/>
        <w:rPr>
          <w:i w:val="0"/>
          <w:iCs w:val="0"/>
          <w:color w:val="auto"/>
          <w:kern w:val="0"/>
          <w:sz w:val="24"/>
        </w:rPr>
      </w:pPr>
      <w:r>
        <w:rPr>
          <w:bCs/>
          <w:i w:val="0"/>
          <w:iCs w:val="0"/>
          <w:color w:val="auto"/>
          <w:kern w:val="0"/>
          <w:sz w:val="24"/>
        </w:rPr>
        <w:t>5.预答辩：</w:t>
      </w:r>
      <w:r>
        <w:rPr>
          <w:i w:val="0"/>
          <w:iCs w:val="0"/>
          <w:color w:val="auto"/>
          <w:kern w:val="0"/>
          <w:sz w:val="24"/>
        </w:rPr>
        <w:t>学位申请人须进行学位论文预答辩。预答辩通过者，方可进入学位论文评阅、学位论文答辩等环节。学位（毕业）论文预答辩在正式答辩前3个月进行。</w:t>
      </w:r>
    </w:p>
    <w:p w14:paraId="26DB9DA1">
      <w:pPr>
        <w:widowControl/>
        <w:spacing w:line="360" w:lineRule="auto"/>
        <w:ind w:firstLine="480"/>
        <w:jc w:val="left"/>
        <w:rPr>
          <w:i w:val="0"/>
          <w:iCs w:val="0"/>
          <w:color w:val="auto"/>
          <w:kern w:val="0"/>
          <w:sz w:val="24"/>
        </w:rPr>
      </w:pPr>
      <w:r>
        <w:rPr>
          <w:bCs/>
          <w:i w:val="0"/>
          <w:iCs w:val="0"/>
          <w:color w:val="auto"/>
          <w:kern w:val="0"/>
          <w:sz w:val="24"/>
        </w:rPr>
        <w:t>6.论文评阅：</w:t>
      </w:r>
      <w:r>
        <w:rPr>
          <w:i w:val="0"/>
          <w:iCs w:val="0"/>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430D2C79">
      <w:pPr>
        <w:widowControl/>
        <w:spacing w:line="360" w:lineRule="auto"/>
        <w:ind w:firstLine="480"/>
        <w:jc w:val="left"/>
        <w:rPr>
          <w:rFonts w:eastAsiaTheme="minorEastAsia"/>
          <w:i w:val="0"/>
          <w:iCs w:val="0"/>
          <w:color w:val="FF0000"/>
          <w:sz w:val="24"/>
        </w:rPr>
      </w:pPr>
      <w:r>
        <w:rPr>
          <w:bCs/>
          <w:i w:val="0"/>
          <w:iCs w:val="0"/>
          <w:color w:val="222222"/>
          <w:kern w:val="0"/>
          <w:sz w:val="24"/>
        </w:rPr>
        <w:t>7.答辩：学位（毕业）论文答辩按照</w:t>
      </w:r>
      <w:r>
        <w:rPr>
          <w:i w:val="0"/>
          <w:iCs w:val="0"/>
          <w:color w:val="222222"/>
          <w:kern w:val="0"/>
          <w:sz w:val="24"/>
        </w:rPr>
        <w:t>《河北大学博士、硕士学位授予工作实施细则》（校政字〔2025〕7号）执行。</w:t>
      </w:r>
    </w:p>
    <w:p w14:paraId="68BC8B14">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70A6B312">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70394EA">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i w:val="0"/>
          <w:iCs w:val="0"/>
          <w:color w:val="auto"/>
          <w:sz w:val="24"/>
        </w:rPr>
        <w:t>于15</w:t>
      </w:r>
      <w:r>
        <w:rPr>
          <w:rFonts w:eastAsiaTheme="minorEastAsia"/>
          <w:color w:val="000000"/>
          <w:sz w:val="24"/>
        </w:rPr>
        <w:t>次学术活动，并撰写学术报告小结；以主讲人或宣讲人身份，参加在校内外举行的学术报告或学术讲座不少于</w:t>
      </w:r>
      <w:r>
        <w:rPr>
          <w:rFonts w:hint="eastAsia" w:eastAsiaTheme="minorEastAsia"/>
          <w:i w:val="0"/>
          <w:iCs/>
          <w:color w:val="auto"/>
          <w:sz w:val="24"/>
          <w:lang w:val="en-US" w:eastAsia="zh-CN"/>
        </w:rPr>
        <w:t>4</w:t>
      </w:r>
      <w:r>
        <w:rPr>
          <w:rFonts w:eastAsiaTheme="minorEastAsia"/>
          <w:color w:val="000000"/>
          <w:sz w:val="24"/>
        </w:rPr>
        <w:t>次。</w:t>
      </w:r>
    </w:p>
    <w:p w14:paraId="4E700E43">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336490C6">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88EBB8C">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1EA8AE41">
      <w:pPr>
        <w:spacing w:line="360" w:lineRule="auto"/>
        <w:ind w:firstLine="480" w:firstLineChars="200"/>
        <w:rPr>
          <w:rFonts w:eastAsia="黑体"/>
          <w:bCs/>
          <w:sz w:val="28"/>
          <w:szCs w:val="28"/>
        </w:rPr>
      </w:pPr>
      <w:r>
        <w:rPr>
          <w:rFonts w:hint="eastAsia" w:eastAsiaTheme="minorEastAsia"/>
          <w:bCs/>
          <w:sz w:val="24"/>
        </w:rPr>
        <w:t>为体现创新性成果的多元化，要求管理科学与工程专业的</w:t>
      </w:r>
      <w:r>
        <w:rPr>
          <w:rFonts w:hint="eastAsia" w:eastAsiaTheme="minorEastAsia"/>
          <w:bCs/>
          <w:sz w:val="24"/>
          <w:lang w:val="en-US" w:eastAsia="zh-CN"/>
        </w:rPr>
        <w:t>博士</w:t>
      </w:r>
      <w:r>
        <w:rPr>
          <w:rFonts w:hint="eastAsia" w:eastAsiaTheme="minorEastAsia"/>
          <w:bCs/>
          <w:sz w:val="24"/>
        </w:rPr>
        <w:t>研究生完成的成果包括但不限于</w:t>
      </w:r>
      <w:r>
        <w:rPr>
          <w:rFonts w:hint="eastAsia" w:eastAsiaTheme="minorEastAsia"/>
          <w:bCs/>
          <w:sz w:val="24"/>
          <w:lang w:val="en-US" w:eastAsia="zh-CN"/>
        </w:rPr>
        <w:t>高水平</w:t>
      </w:r>
      <w:r>
        <w:rPr>
          <w:rFonts w:hint="eastAsia" w:eastAsiaTheme="minorEastAsia"/>
          <w:bCs/>
          <w:sz w:val="24"/>
        </w:rPr>
        <w:t>学术论文、专利、软件著作权、竞赛获奖、实践项目报告、政策咨询报告等。</w:t>
      </w:r>
    </w:p>
    <w:p w14:paraId="1712AF6F">
      <w:pPr>
        <w:spacing w:line="360" w:lineRule="auto"/>
        <w:ind w:firstLine="560" w:firstLineChars="200"/>
        <w:rPr>
          <w:rFonts w:eastAsia="黑体"/>
          <w:bCs/>
          <w:sz w:val="28"/>
          <w:szCs w:val="28"/>
        </w:rPr>
      </w:pPr>
      <w:r>
        <w:rPr>
          <w:rFonts w:eastAsia="黑体"/>
          <w:bCs/>
          <w:sz w:val="28"/>
          <w:szCs w:val="28"/>
        </w:rPr>
        <w:t>十一、学位授予</w:t>
      </w:r>
    </w:p>
    <w:p w14:paraId="6C2B1861">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color w:val="auto"/>
          <w:kern w:val="0"/>
          <w:sz w:val="24"/>
        </w:rPr>
        <w:t>本</w:t>
      </w:r>
      <w:r>
        <w:rPr>
          <w:i w:val="0"/>
          <w:iCs/>
          <w:color w:val="auto"/>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3AC4EEEC">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A045285">
      <w:pPr>
        <w:spacing w:line="360" w:lineRule="auto"/>
        <w:ind w:firstLine="480" w:firstLineChars="200"/>
        <w:rPr>
          <w:rFonts w:eastAsiaTheme="minorEastAsia"/>
          <w:color w:val="auto"/>
          <w:sz w:val="24"/>
        </w:rPr>
      </w:pPr>
      <w:r>
        <w:rPr>
          <w:rFonts w:eastAsiaTheme="minorEastAsia"/>
          <w:color w:val="000000"/>
          <w:sz w:val="24"/>
        </w:rPr>
        <w:t>本专业最低毕业学分为</w:t>
      </w:r>
      <w:r>
        <w:rPr>
          <w:rFonts w:hint="eastAsia" w:eastAsiaTheme="minorEastAsia"/>
          <w:color w:val="auto"/>
          <w:sz w:val="24"/>
          <w:lang w:val="en-US" w:eastAsia="zh-CN"/>
        </w:rPr>
        <w:t>19</w:t>
      </w:r>
      <w:r>
        <w:rPr>
          <w:rFonts w:eastAsiaTheme="minorEastAsia"/>
          <w:color w:val="auto"/>
          <w:sz w:val="24"/>
        </w:rPr>
        <w:t>分，其中学位课</w:t>
      </w:r>
      <w:r>
        <w:rPr>
          <w:rFonts w:hint="eastAsia" w:eastAsiaTheme="minorEastAsia"/>
          <w:color w:val="auto"/>
          <w:sz w:val="24"/>
          <w:lang w:val="en-US" w:eastAsia="zh-CN"/>
        </w:rPr>
        <w:t>12</w:t>
      </w:r>
      <w:r>
        <w:rPr>
          <w:rFonts w:eastAsiaTheme="minorEastAsia"/>
          <w:color w:val="auto"/>
          <w:sz w:val="24"/>
        </w:rPr>
        <w:t>学分，非学位课</w:t>
      </w:r>
      <w:r>
        <w:rPr>
          <w:rFonts w:hint="eastAsia" w:eastAsiaTheme="minorEastAsia"/>
          <w:color w:val="auto"/>
          <w:sz w:val="24"/>
          <w:lang w:val="en-US" w:eastAsia="zh-CN"/>
        </w:rPr>
        <w:t>5</w:t>
      </w:r>
      <w:r>
        <w:rPr>
          <w:rFonts w:eastAsiaTheme="minorEastAsia"/>
          <w:color w:val="auto"/>
          <w:sz w:val="24"/>
        </w:rPr>
        <w:t>学分，</w:t>
      </w:r>
      <w:r>
        <w:rPr>
          <w:rFonts w:eastAsiaTheme="minorEastAsia"/>
          <w:color w:val="000000"/>
          <w:sz w:val="24"/>
        </w:rPr>
        <w:t>必修环节</w:t>
      </w:r>
      <w:r>
        <w:rPr>
          <w:rFonts w:hint="eastAsia" w:eastAsiaTheme="minorEastAsia"/>
          <w:color w:val="auto"/>
          <w:sz w:val="24"/>
          <w:lang w:val="en-US" w:eastAsia="zh-CN"/>
        </w:rPr>
        <w:t>2学</w:t>
      </w:r>
      <w:r>
        <w:rPr>
          <w:rFonts w:eastAsiaTheme="minorEastAsia"/>
          <w:color w:val="auto"/>
          <w:sz w:val="24"/>
        </w:rPr>
        <w:t>分。</w:t>
      </w:r>
    </w:p>
    <w:p w14:paraId="202E83C7">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0CEFAF94">
      <w:pPr>
        <w:spacing w:line="360" w:lineRule="auto"/>
        <w:rPr>
          <w:rFonts w:eastAsiaTheme="minorEastAsia"/>
          <w:b/>
          <w:bCs/>
          <w:sz w:val="24"/>
        </w:rPr>
      </w:pPr>
      <w:r>
        <w:rPr>
          <w:i/>
          <w:color w:val="000000"/>
          <w:sz w:val="24"/>
        </w:rPr>
        <w:t xml:space="preserve">   </w:t>
      </w:r>
    </w:p>
    <w:p w14:paraId="5B7EFA4E">
      <w:pPr>
        <w:spacing w:after="156" w:afterLines="50" w:line="440" w:lineRule="exact"/>
        <w:ind w:firstLine="482" w:firstLineChars="200"/>
        <w:jc w:val="center"/>
        <w:rPr>
          <w:rFonts w:eastAsiaTheme="minorEastAsia"/>
          <w:b/>
          <w:bCs/>
          <w:sz w:val="24"/>
        </w:rPr>
      </w:pPr>
      <w:r>
        <w:rPr>
          <w:rFonts w:hint="eastAsia" w:eastAsiaTheme="minorEastAsia"/>
          <w:b/>
          <w:bCs/>
          <w:color w:val="auto"/>
          <w:sz w:val="24"/>
          <w:lang w:val="en-US" w:eastAsia="zh-CN"/>
        </w:rPr>
        <w:t>管理科学与工程</w:t>
      </w:r>
      <w:r>
        <w:rPr>
          <w:rFonts w:eastAsiaTheme="minorEastAsia"/>
          <w:b/>
          <w:bCs/>
          <w:sz w:val="24"/>
        </w:rPr>
        <w:t>专业学术学位博士研究生课程及培养环节设置一览表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39"/>
        <w:gridCol w:w="651"/>
        <w:gridCol w:w="709"/>
        <w:gridCol w:w="1045"/>
      </w:tblGrid>
      <w:tr w14:paraId="5B6F36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DEA3F8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1A43D45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139" w:type="dxa"/>
            <w:vAlign w:val="center"/>
          </w:tcPr>
          <w:p w14:paraId="465EE95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651" w:type="dxa"/>
            <w:vAlign w:val="center"/>
          </w:tcPr>
          <w:p w14:paraId="4932D52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1486B1F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323138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547BFD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501C6D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72774C4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49ED3A3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A53D355">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139" w:type="dxa"/>
            <w:vAlign w:val="center"/>
          </w:tcPr>
          <w:p w14:paraId="5CBFEB7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651" w:type="dxa"/>
            <w:vAlign w:val="center"/>
          </w:tcPr>
          <w:p w14:paraId="48887B6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CD72D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9E4EDF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3D7B8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C67BBB7">
            <w:pPr>
              <w:jc w:val="center"/>
              <w:rPr>
                <w:b/>
                <w:color w:val="000000" w:themeColor="text1"/>
                <w:sz w:val="18"/>
                <w:szCs w:val="18"/>
                <w14:textFill>
                  <w14:solidFill>
                    <w14:schemeClr w14:val="tx1"/>
                  </w14:solidFill>
                </w14:textFill>
              </w:rPr>
            </w:pPr>
          </w:p>
        </w:tc>
        <w:tc>
          <w:tcPr>
            <w:tcW w:w="1226" w:type="dxa"/>
            <w:vMerge w:val="continue"/>
            <w:vAlign w:val="center"/>
          </w:tcPr>
          <w:p w14:paraId="6EB2B67D">
            <w:pPr>
              <w:jc w:val="center"/>
              <w:rPr>
                <w:b/>
                <w:color w:val="000000" w:themeColor="text1"/>
                <w:sz w:val="18"/>
                <w:szCs w:val="18"/>
                <w14:textFill>
                  <w14:solidFill>
                    <w14:schemeClr w14:val="tx1"/>
                  </w14:solidFill>
                </w14:textFill>
              </w:rPr>
            </w:pPr>
          </w:p>
        </w:tc>
        <w:tc>
          <w:tcPr>
            <w:tcW w:w="3516" w:type="dxa"/>
            <w:vAlign w:val="center"/>
          </w:tcPr>
          <w:p w14:paraId="05D740F3">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139" w:type="dxa"/>
            <w:vAlign w:val="center"/>
          </w:tcPr>
          <w:p w14:paraId="1B190C0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651" w:type="dxa"/>
            <w:vAlign w:val="center"/>
          </w:tcPr>
          <w:p w14:paraId="07ECE9C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A2402F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67DFF9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60D6FC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2ACBCC">
            <w:pPr>
              <w:jc w:val="center"/>
              <w:rPr>
                <w:b/>
                <w:color w:val="000000" w:themeColor="text1"/>
                <w:sz w:val="18"/>
                <w:szCs w:val="18"/>
                <w14:textFill>
                  <w14:solidFill>
                    <w14:schemeClr w14:val="tx1"/>
                  </w14:solidFill>
                </w14:textFill>
              </w:rPr>
            </w:pPr>
          </w:p>
        </w:tc>
        <w:tc>
          <w:tcPr>
            <w:tcW w:w="1226" w:type="dxa"/>
            <w:vMerge w:val="restart"/>
            <w:vAlign w:val="center"/>
          </w:tcPr>
          <w:p w14:paraId="7D0FDB10">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1A573731">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516" w:type="dxa"/>
            <w:vAlign w:val="center"/>
          </w:tcPr>
          <w:p w14:paraId="7C26479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139" w:type="dxa"/>
            <w:vAlign w:val="center"/>
          </w:tcPr>
          <w:p w14:paraId="6FF495AF">
            <w:pPr>
              <w:jc w:val="both"/>
              <w:rPr>
                <w:rFonts w:hint="default" w:eastAsia="宋体"/>
                <w:i/>
                <w:color w:val="FF0000"/>
                <w:sz w:val="18"/>
                <w:szCs w:val="18"/>
                <w:lang w:val="en-US" w:eastAsia="zh-CN"/>
              </w:rPr>
            </w:pPr>
            <w:r>
              <w:rPr>
                <w:rFonts w:hint="eastAsia"/>
                <w:iCs/>
                <w:sz w:val="18"/>
                <w:szCs w:val="18"/>
              </w:rPr>
              <w:t>XB</w:t>
            </w:r>
            <w:r>
              <w:rPr>
                <w:iCs/>
                <w:sz w:val="18"/>
                <w:szCs w:val="18"/>
              </w:rPr>
              <w:t>0410</w:t>
            </w:r>
            <w:r>
              <w:rPr>
                <w:rFonts w:hint="eastAsia"/>
                <w:iCs/>
                <w:sz w:val="18"/>
                <w:szCs w:val="18"/>
                <w:lang w:val="en-US" w:eastAsia="zh-CN"/>
              </w:rPr>
              <w:t>101</w:t>
            </w:r>
          </w:p>
        </w:tc>
        <w:tc>
          <w:tcPr>
            <w:tcW w:w="651" w:type="dxa"/>
            <w:vAlign w:val="center"/>
          </w:tcPr>
          <w:p w14:paraId="233148DD">
            <w:pPr>
              <w:jc w:val="center"/>
              <w:rPr>
                <w:color w:val="FF0000"/>
              </w:rPr>
            </w:pPr>
            <w:r>
              <w:rPr>
                <w:iCs/>
                <w:color w:val="000000" w:themeColor="text1"/>
                <w:sz w:val="18"/>
                <w:szCs w:val="18"/>
                <w14:textFill>
                  <w14:solidFill>
                    <w14:schemeClr w14:val="tx1"/>
                  </w14:solidFill>
                </w14:textFill>
              </w:rPr>
              <w:t>2</w:t>
            </w:r>
          </w:p>
        </w:tc>
        <w:tc>
          <w:tcPr>
            <w:tcW w:w="709" w:type="dxa"/>
            <w:vAlign w:val="center"/>
          </w:tcPr>
          <w:p w14:paraId="37E82B8D">
            <w:pPr>
              <w:jc w:val="center"/>
              <w:rPr>
                <w:color w:val="FF0000"/>
              </w:rPr>
            </w:pPr>
            <w:r>
              <w:rPr>
                <w:rFonts w:hint="eastAsia"/>
                <w:iCs/>
                <w:color w:val="000000" w:themeColor="text1"/>
                <w:sz w:val="18"/>
                <w:szCs w:val="18"/>
                <w14:textFill>
                  <w14:solidFill>
                    <w14:schemeClr w14:val="tx1"/>
                  </w14:solidFill>
                </w14:textFill>
              </w:rPr>
              <w:t>1</w:t>
            </w:r>
          </w:p>
        </w:tc>
        <w:tc>
          <w:tcPr>
            <w:tcW w:w="1045" w:type="dxa"/>
            <w:vAlign w:val="center"/>
          </w:tcPr>
          <w:p w14:paraId="04492095">
            <w:pPr>
              <w:jc w:val="center"/>
              <w:rPr>
                <w:i/>
                <w:color w:val="FF0000"/>
                <w:sz w:val="18"/>
                <w:szCs w:val="18"/>
              </w:rPr>
            </w:pPr>
            <w:r>
              <w:rPr>
                <w:rFonts w:hint="eastAsia"/>
                <w:color w:val="000000" w:themeColor="text1"/>
                <w:sz w:val="18"/>
                <w:szCs w:val="18"/>
                <w14:textFill>
                  <w14:solidFill>
                    <w14:schemeClr w14:val="tx1"/>
                  </w14:solidFill>
                </w14:textFill>
              </w:rPr>
              <w:t>考查</w:t>
            </w:r>
          </w:p>
        </w:tc>
      </w:tr>
      <w:tr w14:paraId="0816F1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0DC842C">
            <w:pPr>
              <w:jc w:val="center"/>
              <w:rPr>
                <w:b/>
                <w:color w:val="000000" w:themeColor="text1"/>
                <w:sz w:val="18"/>
                <w:szCs w:val="18"/>
                <w14:textFill>
                  <w14:solidFill>
                    <w14:schemeClr w14:val="tx1"/>
                  </w14:solidFill>
                </w14:textFill>
              </w:rPr>
            </w:pPr>
          </w:p>
        </w:tc>
        <w:tc>
          <w:tcPr>
            <w:tcW w:w="1226" w:type="dxa"/>
            <w:vMerge w:val="continue"/>
            <w:vAlign w:val="center"/>
          </w:tcPr>
          <w:p w14:paraId="3EDB9E61">
            <w:pPr>
              <w:jc w:val="center"/>
              <w:rPr>
                <w:b/>
                <w:color w:val="000000" w:themeColor="text1"/>
                <w:sz w:val="18"/>
                <w:szCs w:val="18"/>
                <w:highlight w:val="none"/>
                <w14:textFill>
                  <w14:solidFill>
                    <w14:schemeClr w14:val="tx1"/>
                  </w14:solidFill>
                </w14:textFill>
              </w:rPr>
            </w:pPr>
          </w:p>
        </w:tc>
        <w:tc>
          <w:tcPr>
            <w:tcW w:w="3516" w:type="dxa"/>
            <w:shd w:val="clear" w:color="auto" w:fill="auto"/>
            <w:vAlign w:val="center"/>
          </w:tcPr>
          <w:p w14:paraId="4F1BF8BC">
            <w:pPr>
              <w:adjustRightInd w:val="0"/>
              <w:snapToGrid w:val="0"/>
              <w:rPr>
                <w:rFonts w:ascii="Times New Roman" w:hAnsi="Times New Roman" w:eastAsia="宋体" w:cs="Times New Roman"/>
                <w:bCs/>
                <w:color w:val="000000" w:themeColor="text1"/>
                <w:kern w:val="2"/>
                <w:sz w:val="18"/>
                <w:szCs w:val="18"/>
                <w:lang w:val="en-US" w:eastAsia="zh-CN" w:bidi="ar-SA"/>
                <w14:textFill>
                  <w14:solidFill>
                    <w14:schemeClr w14:val="tx1"/>
                  </w14:solidFill>
                </w14:textFill>
              </w:rPr>
            </w:pPr>
            <w:r>
              <w:rPr>
                <w:rFonts w:hint="eastAsia"/>
                <w:bCs/>
                <w:color w:val="000000" w:themeColor="text1"/>
                <w:sz w:val="18"/>
                <w:szCs w:val="18"/>
                <w14:textFill>
                  <w14:solidFill>
                    <w14:schemeClr w14:val="tx1"/>
                  </w14:solidFill>
                </w14:textFill>
              </w:rPr>
              <w:t>管理科学与工程研究前沿</w:t>
            </w:r>
          </w:p>
        </w:tc>
        <w:tc>
          <w:tcPr>
            <w:tcW w:w="1139" w:type="dxa"/>
            <w:shd w:val="clear" w:color="auto" w:fill="auto"/>
            <w:vAlign w:val="center"/>
          </w:tcPr>
          <w:p w14:paraId="6AAE1FD8">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iCs/>
                <w:sz w:val="18"/>
                <w:szCs w:val="18"/>
              </w:rPr>
              <w:t>X</w:t>
            </w:r>
            <w:r>
              <w:rPr>
                <w:iCs/>
                <w:sz w:val="18"/>
                <w:szCs w:val="18"/>
              </w:rPr>
              <w:t>B0410002</w:t>
            </w:r>
          </w:p>
        </w:tc>
        <w:tc>
          <w:tcPr>
            <w:tcW w:w="651" w:type="dxa"/>
            <w:shd w:val="clear" w:color="auto" w:fill="auto"/>
            <w:vAlign w:val="center"/>
          </w:tcPr>
          <w:p w14:paraId="1CC6522B">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3</w:t>
            </w:r>
          </w:p>
        </w:tc>
        <w:tc>
          <w:tcPr>
            <w:tcW w:w="709" w:type="dxa"/>
            <w:shd w:val="clear" w:color="auto" w:fill="auto"/>
            <w:vAlign w:val="center"/>
          </w:tcPr>
          <w:p w14:paraId="39E9BC7B">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1</w:t>
            </w:r>
          </w:p>
        </w:tc>
        <w:tc>
          <w:tcPr>
            <w:tcW w:w="1045" w:type="dxa"/>
            <w:shd w:val="clear" w:color="auto" w:fill="auto"/>
            <w:vAlign w:val="center"/>
          </w:tcPr>
          <w:p w14:paraId="1C8C231D">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3EAAD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6205AD">
            <w:pPr>
              <w:jc w:val="center"/>
              <w:rPr>
                <w:b/>
                <w:color w:val="000000" w:themeColor="text1"/>
                <w:sz w:val="18"/>
                <w:szCs w:val="18"/>
                <w14:textFill>
                  <w14:solidFill>
                    <w14:schemeClr w14:val="tx1"/>
                  </w14:solidFill>
                </w14:textFill>
              </w:rPr>
            </w:pPr>
          </w:p>
        </w:tc>
        <w:tc>
          <w:tcPr>
            <w:tcW w:w="1226" w:type="dxa"/>
            <w:vAlign w:val="center"/>
          </w:tcPr>
          <w:p w14:paraId="7B317A35">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505E0FB0">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3</w:t>
            </w:r>
            <w:r>
              <w:rPr>
                <w:b/>
                <w:color w:val="000000" w:themeColor="text1"/>
                <w:sz w:val="18"/>
                <w:szCs w:val="18"/>
                <w:highlight w:val="none"/>
                <w14:textFill>
                  <w14:solidFill>
                    <w14:schemeClr w14:val="tx1"/>
                  </w14:solidFill>
                </w14:textFill>
              </w:rPr>
              <w:t>学分）</w:t>
            </w:r>
          </w:p>
        </w:tc>
        <w:tc>
          <w:tcPr>
            <w:tcW w:w="3516" w:type="dxa"/>
            <w:vAlign w:val="center"/>
          </w:tcPr>
          <w:p w14:paraId="735BEF5B">
            <w:pPr>
              <w:adjustRightInd w:val="0"/>
              <w:snapToGrid w:val="0"/>
            </w:pPr>
            <w:r>
              <w:rPr>
                <w:rFonts w:hint="eastAsia"/>
                <w:bCs/>
                <w:color w:val="000000" w:themeColor="text1"/>
                <w:sz w:val="18"/>
                <w:szCs w:val="18"/>
                <w14:textFill>
                  <w14:solidFill>
                    <w14:schemeClr w14:val="tx1"/>
                  </w14:solidFill>
                </w14:textFill>
              </w:rPr>
              <w:t>管理科学研究方法</w:t>
            </w:r>
          </w:p>
        </w:tc>
        <w:tc>
          <w:tcPr>
            <w:tcW w:w="1139" w:type="dxa"/>
            <w:vAlign w:val="center"/>
          </w:tcPr>
          <w:p w14:paraId="7118FF5D">
            <w:pPr>
              <w:jc w:val="center"/>
              <w:rPr>
                <w:color w:val="FF0000"/>
                <w:sz w:val="18"/>
                <w:szCs w:val="18"/>
              </w:rPr>
            </w:pPr>
            <w:r>
              <w:rPr>
                <w:rFonts w:hint="eastAsia"/>
                <w:iCs/>
                <w:sz w:val="18"/>
                <w:szCs w:val="18"/>
              </w:rPr>
              <w:t>X</w:t>
            </w:r>
            <w:r>
              <w:rPr>
                <w:iCs/>
                <w:sz w:val="18"/>
                <w:szCs w:val="18"/>
              </w:rPr>
              <w:t>B0410003</w:t>
            </w:r>
          </w:p>
        </w:tc>
        <w:tc>
          <w:tcPr>
            <w:tcW w:w="651" w:type="dxa"/>
            <w:vAlign w:val="center"/>
          </w:tcPr>
          <w:p w14:paraId="252F8858">
            <w:pPr>
              <w:jc w:val="center"/>
              <w:rPr>
                <w:color w:val="FF0000"/>
              </w:rPr>
            </w:pPr>
            <w:r>
              <w:rPr>
                <w:color w:val="000000" w:themeColor="text1"/>
                <w:sz w:val="18"/>
                <w:szCs w:val="18"/>
                <w14:textFill>
                  <w14:solidFill>
                    <w14:schemeClr w14:val="tx1"/>
                  </w14:solidFill>
                </w14:textFill>
              </w:rPr>
              <w:t>3</w:t>
            </w:r>
          </w:p>
        </w:tc>
        <w:tc>
          <w:tcPr>
            <w:tcW w:w="709" w:type="dxa"/>
            <w:vAlign w:val="center"/>
          </w:tcPr>
          <w:p w14:paraId="0FF470AF">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1D6430B0">
            <w:pPr>
              <w:jc w:val="center"/>
              <w:rPr>
                <w:color w:val="FF0000"/>
                <w:sz w:val="18"/>
                <w:szCs w:val="18"/>
              </w:rPr>
            </w:pPr>
            <w:r>
              <w:rPr>
                <w:rFonts w:hint="eastAsia"/>
                <w:color w:val="000000" w:themeColor="text1"/>
                <w:sz w:val="18"/>
                <w:szCs w:val="18"/>
                <w14:textFill>
                  <w14:solidFill>
                    <w14:schemeClr w14:val="tx1"/>
                  </w14:solidFill>
                </w14:textFill>
              </w:rPr>
              <w:t>考查</w:t>
            </w:r>
          </w:p>
        </w:tc>
      </w:tr>
      <w:tr w14:paraId="63ABC0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076BC5F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22F287B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532C9A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7A4DDF8E">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139" w:type="dxa"/>
            <w:vAlign w:val="center"/>
          </w:tcPr>
          <w:p w14:paraId="04198D6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651" w:type="dxa"/>
            <w:vAlign w:val="center"/>
          </w:tcPr>
          <w:p w14:paraId="4BD5410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FA58A6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E8A9AB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5EBC0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8BE03FF">
            <w:pPr>
              <w:jc w:val="center"/>
              <w:rPr>
                <w:b/>
                <w:color w:val="000000" w:themeColor="text1"/>
                <w:sz w:val="18"/>
                <w:szCs w:val="18"/>
                <w14:textFill>
                  <w14:solidFill>
                    <w14:schemeClr w14:val="tx1"/>
                  </w14:solidFill>
                </w14:textFill>
              </w:rPr>
            </w:pPr>
          </w:p>
        </w:tc>
        <w:tc>
          <w:tcPr>
            <w:tcW w:w="1226" w:type="dxa"/>
            <w:vMerge w:val="continue"/>
            <w:vAlign w:val="center"/>
          </w:tcPr>
          <w:p w14:paraId="2F56B76F">
            <w:pPr>
              <w:jc w:val="center"/>
              <w:rPr>
                <w:b/>
                <w:color w:val="000000" w:themeColor="text1"/>
                <w:sz w:val="18"/>
                <w:szCs w:val="18"/>
                <w14:textFill>
                  <w14:solidFill>
                    <w14:schemeClr w14:val="tx1"/>
                  </w14:solidFill>
                </w14:textFill>
              </w:rPr>
            </w:pPr>
          </w:p>
        </w:tc>
        <w:tc>
          <w:tcPr>
            <w:tcW w:w="3516" w:type="dxa"/>
            <w:vAlign w:val="center"/>
          </w:tcPr>
          <w:p w14:paraId="2B7398FA">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139" w:type="dxa"/>
            <w:vAlign w:val="center"/>
          </w:tcPr>
          <w:p w14:paraId="704DE78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651" w:type="dxa"/>
            <w:vAlign w:val="center"/>
          </w:tcPr>
          <w:p w14:paraId="000C271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2B25BD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804F0F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4030D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C1BC1C1">
            <w:pPr>
              <w:rPr>
                <w:b/>
                <w:color w:val="000000" w:themeColor="text1"/>
                <w:sz w:val="18"/>
                <w:szCs w:val="18"/>
                <w14:textFill>
                  <w14:solidFill>
                    <w14:schemeClr w14:val="tx1"/>
                  </w14:solidFill>
                </w14:textFill>
              </w:rPr>
            </w:pPr>
          </w:p>
        </w:tc>
        <w:tc>
          <w:tcPr>
            <w:tcW w:w="1226" w:type="dxa"/>
            <w:vMerge w:val="restart"/>
            <w:vAlign w:val="center"/>
          </w:tcPr>
          <w:p w14:paraId="30BE3450">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优化理论与智能决策</w:t>
            </w:r>
            <w:r>
              <w:rPr>
                <w:b/>
                <w:color w:val="000000" w:themeColor="text1"/>
                <w:sz w:val="18"/>
                <w:szCs w:val="18"/>
                <w14:textFill>
                  <w14:solidFill>
                    <w14:schemeClr w14:val="tx1"/>
                  </w14:solidFill>
                </w14:textFill>
              </w:rPr>
              <w:t>方向选修课</w:t>
            </w:r>
          </w:p>
        </w:tc>
        <w:tc>
          <w:tcPr>
            <w:tcW w:w="3516" w:type="dxa"/>
            <w:vAlign w:val="center"/>
          </w:tcPr>
          <w:p w14:paraId="75E19DE5">
            <w:pPr>
              <w:adjustRightInd w:val="0"/>
              <w:snapToGrid w:val="0"/>
              <w:rPr>
                <w:i/>
                <w:color w:val="FF0000"/>
                <w:sz w:val="18"/>
                <w:szCs w:val="18"/>
              </w:rPr>
            </w:pPr>
            <w:r>
              <w:rPr>
                <w:rFonts w:hint="eastAsia" w:cs="宋体" w:asciiTheme="minorEastAsia" w:hAnsiTheme="minorEastAsia" w:eastAsiaTheme="minorEastAsia"/>
                <w:kern w:val="0"/>
                <w:sz w:val="18"/>
                <w:szCs w:val="18"/>
              </w:rPr>
              <w:t>鲁棒优化理论</w:t>
            </w:r>
          </w:p>
        </w:tc>
        <w:tc>
          <w:tcPr>
            <w:tcW w:w="1139" w:type="dxa"/>
            <w:vAlign w:val="center"/>
          </w:tcPr>
          <w:p w14:paraId="008B9DE9">
            <w:pPr>
              <w:jc w:val="center"/>
              <w:rPr>
                <w:rFonts w:hint="eastAsia" w:eastAsia="宋体"/>
                <w:color w:val="FF0000"/>
                <w:sz w:val="18"/>
                <w:szCs w:val="18"/>
                <w:lang w:val="en-US" w:eastAsia="zh-CN"/>
              </w:rPr>
            </w:pPr>
            <w:r>
              <w:rPr>
                <w:rFonts w:hint="eastAsia"/>
                <w:iCs/>
                <w:sz w:val="18"/>
                <w:szCs w:val="18"/>
              </w:rPr>
              <w:t>X</w:t>
            </w:r>
            <w:r>
              <w:rPr>
                <w:iCs/>
                <w:sz w:val="18"/>
                <w:szCs w:val="18"/>
              </w:rPr>
              <w:t>B041020</w:t>
            </w:r>
            <w:r>
              <w:rPr>
                <w:rFonts w:hint="eastAsia"/>
                <w:iCs/>
                <w:sz w:val="18"/>
                <w:szCs w:val="18"/>
                <w:lang w:val="en-US" w:eastAsia="zh-CN"/>
              </w:rPr>
              <w:t>7</w:t>
            </w:r>
          </w:p>
        </w:tc>
        <w:tc>
          <w:tcPr>
            <w:tcW w:w="651" w:type="dxa"/>
            <w:vAlign w:val="center"/>
          </w:tcPr>
          <w:p w14:paraId="0738086F">
            <w:pPr>
              <w:jc w:val="center"/>
              <w:rPr>
                <w:color w:val="FF0000"/>
              </w:rPr>
            </w:pPr>
            <w:r>
              <w:rPr>
                <w:iCs/>
                <w:sz w:val="18"/>
                <w:szCs w:val="18"/>
              </w:rPr>
              <w:t>3</w:t>
            </w:r>
          </w:p>
        </w:tc>
        <w:tc>
          <w:tcPr>
            <w:tcW w:w="709" w:type="dxa"/>
            <w:vAlign w:val="center"/>
          </w:tcPr>
          <w:p w14:paraId="5032E086">
            <w:pPr>
              <w:jc w:val="center"/>
              <w:rPr>
                <w:color w:val="FF0000"/>
              </w:rPr>
            </w:pPr>
            <w:r>
              <w:rPr>
                <w:iCs/>
                <w:sz w:val="18"/>
                <w:szCs w:val="18"/>
              </w:rPr>
              <w:t>1</w:t>
            </w:r>
          </w:p>
        </w:tc>
        <w:tc>
          <w:tcPr>
            <w:tcW w:w="1045" w:type="dxa"/>
            <w:vMerge w:val="restart"/>
            <w:vAlign w:val="center"/>
          </w:tcPr>
          <w:p w14:paraId="71B9CAA1">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95A9963">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3B9786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73D713">
            <w:pPr>
              <w:rPr>
                <w:b/>
                <w:color w:val="000000" w:themeColor="text1"/>
                <w:sz w:val="18"/>
                <w:szCs w:val="18"/>
                <w14:textFill>
                  <w14:solidFill>
                    <w14:schemeClr w14:val="tx1"/>
                  </w14:solidFill>
                </w14:textFill>
              </w:rPr>
            </w:pPr>
          </w:p>
        </w:tc>
        <w:tc>
          <w:tcPr>
            <w:tcW w:w="1226" w:type="dxa"/>
            <w:vMerge w:val="continue"/>
            <w:vAlign w:val="center"/>
          </w:tcPr>
          <w:p w14:paraId="3781C30A">
            <w:pPr>
              <w:adjustRightInd w:val="0"/>
              <w:snapToGrid w:val="0"/>
              <w:jc w:val="center"/>
              <w:rPr>
                <w:b/>
                <w:color w:val="FF0000"/>
                <w:sz w:val="18"/>
                <w:szCs w:val="18"/>
              </w:rPr>
            </w:pPr>
          </w:p>
        </w:tc>
        <w:tc>
          <w:tcPr>
            <w:tcW w:w="3516" w:type="dxa"/>
            <w:vAlign w:val="center"/>
          </w:tcPr>
          <w:p w14:paraId="5977C935">
            <w:pPr>
              <w:adjustRightInd w:val="0"/>
              <w:snapToGrid w:val="0"/>
              <w:rPr>
                <w:i/>
                <w:color w:val="FF0000"/>
                <w:sz w:val="18"/>
                <w:szCs w:val="18"/>
              </w:rPr>
            </w:pPr>
            <w:r>
              <w:rPr>
                <w:rFonts w:hint="eastAsia" w:cs="宋体" w:asciiTheme="minorEastAsia" w:hAnsiTheme="minorEastAsia" w:eastAsiaTheme="minorEastAsia"/>
                <w:kern w:val="0"/>
                <w:sz w:val="18"/>
                <w:szCs w:val="18"/>
              </w:rPr>
              <w:t>高级运筹学</w:t>
            </w:r>
          </w:p>
        </w:tc>
        <w:tc>
          <w:tcPr>
            <w:tcW w:w="1139" w:type="dxa"/>
            <w:vAlign w:val="center"/>
          </w:tcPr>
          <w:p w14:paraId="549933D9">
            <w:pPr>
              <w:jc w:val="center"/>
              <w:rPr>
                <w:rFonts w:hint="eastAsia" w:eastAsia="宋体"/>
                <w:color w:val="FF0000"/>
                <w:sz w:val="18"/>
                <w:szCs w:val="18"/>
                <w:lang w:val="en-US" w:eastAsia="zh-CN"/>
              </w:rPr>
            </w:pPr>
            <w:r>
              <w:rPr>
                <w:rFonts w:hint="eastAsia"/>
                <w:iCs/>
                <w:sz w:val="18"/>
                <w:szCs w:val="18"/>
              </w:rPr>
              <w:t>X</w:t>
            </w:r>
            <w:r>
              <w:rPr>
                <w:iCs/>
                <w:sz w:val="18"/>
                <w:szCs w:val="18"/>
              </w:rPr>
              <w:t>B041020</w:t>
            </w:r>
            <w:r>
              <w:rPr>
                <w:rFonts w:hint="eastAsia"/>
                <w:iCs/>
                <w:sz w:val="18"/>
                <w:szCs w:val="18"/>
                <w:lang w:val="en-US" w:eastAsia="zh-CN"/>
              </w:rPr>
              <w:t>8</w:t>
            </w:r>
          </w:p>
        </w:tc>
        <w:tc>
          <w:tcPr>
            <w:tcW w:w="651" w:type="dxa"/>
            <w:vAlign w:val="center"/>
          </w:tcPr>
          <w:p w14:paraId="4328990A">
            <w:pPr>
              <w:jc w:val="center"/>
              <w:rPr>
                <w:color w:val="FF0000"/>
              </w:rPr>
            </w:pPr>
            <w:r>
              <w:rPr>
                <w:iCs/>
                <w:sz w:val="18"/>
                <w:szCs w:val="18"/>
              </w:rPr>
              <w:t>3</w:t>
            </w:r>
          </w:p>
        </w:tc>
        <w:tc>
          <w:tcPr>
            <w:tcW w:w="709" w:type="dxa"/>
            <w:vAlign w:val="center"/>
          </w:tcPr>
          <w:p w14:paraId="047A7240">
            <w:pPr>
              <w:jc w:val="center"/>
              <w:rPr>
                <w:color w:val="FF0000"/>
              </w:rPr>
            </w:pPr>
            <w:r>
              <w:rPr>
                <w:iCs/>
                <w:sz w:val="18"/>
                <w:szCs w:val="18"/>
              </w:rPr>
              <w:t>1</w:t>
            </w:r>
          </w:p>
        </w:tc>
        <w:tc>
          <w:tcPr>
            <w:tcW w:w="1045" w:type="dxa"/>
            <w:vMerge w:val="continue"/>
            <w:vAlign w:val="center"/>
          </w:tcPr>
          <w:p w14:paraId="128F0AA2">
            <w:pPr>
              <w:adjustRightInd w:val="0"/>
              <w:snapToGrid w:val="0"/>
              <w:jc w:val="center"/>
              <w:rPr>
                <w:color w:val="000000" w:themeColor="text1"/>
                <w:sz w:val="18"/>
                <w:szCs w:val="18"/>
                <w14:textFill>
                  <w14:solidFill>
                    <w14:schemeClr w14:val="tx1"/>
                  </w14:solidFill>
                </w14:textFill>
              </w:rPr>
            </w:pPr>
          </w:p>
        </w:tc>
      </w:tr>
      <w:tr w14:paraId="5B1E22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60362CD">
            <w:pPr>
              <w:rPr>
                <w:b/>
                <w:color w:val="000000" w:themeColor="text1"/>
                <w:sz w:val="18"/>
                <w:szCs w:val="18"/>
                <w14:textFill>
                  <w14:solidFill>
                    <w14:schemeClr w14:val="tx1"/>
                  </w14:solidFill>
                </w14:textFill>
              </w:rPr>
            </w:pPr>
          </w:p>
        </w:tc>
        <w:tc>
          <w:tcPr>
            <w:tcW w:w="1226" w:type="dxa"/>
            <w:vMerge w:val="continue"/>
            <w:vAlign w:val="center"/>
          </w:tcPr>
          <w:p w14:paraId="4A494DCC">
            <w:pPr>
              <w:jc w:val="center"/>
              <w:rPr>
                <w:b/>
                <w:color w:val="000000" w:themeColor="text1"/>
                <w:sz w:val="18"/>
                <w:szCs w:val="18"/>
                <w14:textFill>
                  <w14:solidFill>
                    <w14:schemeClr w14:val="tx1"/>
                  </w14:solidFill>
                </w14:textFill>
              </w:rPr>
            </w:pPr>
          </w:p>
        </w:tc>
        <w:tc>
          <w:tcPr>
            <w:tcW w:w="3516" w:type="dxa"/>
            <w:vAlign w:val="center"/>
          </w:tcPr>
          <w:p w14:paraId="2F9131B8">
            <w:pPr>
              <w:adjustRightInd w:val="0"/>
              <w:snapToGrid w:val="0"/>
              <w:rPr>
                <w:rFonts w:hint="default" w:eastAsiaTheme="minorEastAsia"/>
                <w:i/>
                <w:color w:val="FF0000"/>
                <w:sz w:val="18"/>
                <w:szCs w:val="18"/>
                <w:lang w:val="en-US" w:eastAsia="zh-CN"/>
              </w:rPr>
            </w:pPr>
            <w:r>
              <w:rPr>
                <w:rFonts w:hint="eastAsia" w:cs="宋体" w:asciiTheme="minorEastAsia" w:hAnsiTheme="minorEastAsia" w:eastAsiaTheme="minorEastAsia"/>
                <w:kern w:val="0"/>
                <w:sz w:val="18"/>
                <w:szCs w:val="18"/>
                <w:highlight w:val="none"/>
                <w:lang w:val="en-US" w:eastAsia="zh-CN"/>
              </w:rPr>
              <w:t>智能</w:t>
            </w:r>
            <w:r>
              <w:rPr>
                <w:rFonts w:hint="eastAsia" w:cs="宋体" w:asciiTheme="minorEastAsia" w:hAnsiTheme="minorEastAsia" w:eastAsiaTheme="minorEastAsia"/>
                <w:kern w:val="0"/>
                <w:sz w:val="18"/>
                <w:szCs w:val="18"/>
                <w:highlight w:val="none"/>
              </w:rPr>
              <w:t>决策</w:t>
            </w:r>
            <w:r>
              <w:rPr>
                <w:rFonts w:hint="eastAsia" w:cs="宋体" w:asciiTheme="minorEastAsia" w:hAnsiTheme="minorEastAsia" w:eastAsiaTheme="minorEastAsia"/>
                <w:kern w:val="0"/>
                <w:sz w:val="18"/>
                <w:szCs w:val="18"/>
                <w:highlight w:val="none"/>
                <w:lang w:val="en-US" w:eastAsia="zh-CN"/>
              </w:rPr>
              <w:t>优化方法</w:t>
            </w:r>
          </w:p>
        </w:tc>
        <w:tc>
          <w:tcPr>
            <w:tcW w:w="1139" w:type="dxa"/>
            <w:vAlign w:val="center"/>
          </w:tcPr>
          <w:p w14:paraId="0BD4A6D3">
            <w:pPr>
              <w:jc w:val="center"/>
              <w:rPr>
                <w:rFonts w:hint="default" w:eastAsia="宋体"/>
                <w:color w:val="FF0000"/>
                <w:sz w:val="18"/>
                <w:szCs w:val="18"/>
                <w:lang w:val="en-US" w:eastAsia="zh-CN"/>
              </w:rPr>
            </w:pPr>
            <w:r>
              <w:rPr>
                <w:rFonts w:hint="eastAsia"/>
                <w:iCs/>
                <w:sz w:val="18"/>
                <w:szCs w:val="18"/>
              </w:rPr>
              <w:t>X</w:t>
            </w:r>
            <w:r>
              <w:rPr>
                <w:iCs/>
                <w:sz w:val="18"/>
                <w:szCs w:val="18"/>
              </w:rPr>
              <w:t>B04102</w:t>
            </w:r>
            <w:r>
              <w:rPr>
                <w:rFonts w:hint="eastAsia"/>
                <w:iCs/>
                <w:sz w:val="18"/>
                <w:szCs w:val="18"/>
                <w:lang w:val="en-US" w:eastAsia="zh-CN"/>
              </w:rPr>
              <w:t>17</w:t>
            </w:r>
          </w:p>
        </w:tc>
        <w:tc>
          <w:tcPr>
            <w:tcW w:w="651" w:type="dxa"/>
            <w:vAlign w:val="center"/>
          </w:tcPr>
          <w:p w14:paraId="4DBA4CC5">
            <w:pPr>
              <w:jc w:val="center"/>
              <w:rPr>
                <w:color w:val="FF0000"/>
                <w:sz w:val="18"/>
                <w:szCs w:val="18"/>
              </w:rPr>
            </w:pPr>
            <w:r>
              <w:rPr>
                <w:iCs/>
                <w:sz w:val="18"/>
                <w:szCs w:val="18"/>
              </w:rPr>
              <w:t>3</w:t>
            </w:r>
          </w:p>
        </w:tc>
        <w:tc>
          <w:tcPr>
            <w:tcW w:w="709" w:type="dxa"/>
            <w:vAlign w:val="center"/>
          </w:tcPr>
          <w:p w14:paraId="32A91905">
            <w:pPr>
              <w:jc w:val="center"/>
              <w:rPr>
                <w:i/>
                <w:color w:val="FF0000"/>
                <w:sz w:val="18"/>
                <w:szCs w:val="18"/>
              </w:rPr>
            </w:pPr>
            <w:r>
              <w:rPr>
                <w:iCs/>
                <w:sz w:val="18"/>
                <w:szCs w:val="18"/>
              </w:rPr>
              <w:t>1</w:t>
            </w:r>
          </w:p>
        </w:tc>
        <w:tc>
          <w:tcPr>
            <w:tcW w:w="1045" w:type="dxa"/>
            <w:vMerge w:val="continue"/>
            <w:vAlign w:val="center"/>
          </w:tcPr>
          <w:p w14:paraId="11F844DC">
            <w:pPr>
              <w:jc w:val="center"/>
              <w:rPr>
                <w:color w:val="000000" w:themeColor="text1"/>
                <w:sz w:val="18"/>
                <w:szCs w:val="18"/>
                <w14:textFill>
                  <w14:solidFill>
                    <w14:schemeClr w14:val="tx1"/>
                  </w14:solidFill>
                </w14:textFill>
              </w:rPr>
            </w:pPr>
          </w:p>
        </w:tc>
      </w:tr>
      <w:tr w14:paraId="6B9C92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4C7220">
            <w:pPr>
              <w:rPr>
                <w:b/>
                <w:color w:val="000000" w:themeColor="text1"/>
                <w:sz w:val="18"/>
                <w:szCs w:val="18"/>
                <w14:textFill>
                  <w14:solidFill>
                    <w14:schemeClr w14:val="tx1"/>
                  </w14:solidFill>
                </w14:textFill>
              </w:rPr>
            </w:pPr>
          </w:p>
        </w:tc>
        <w:tc>
          <w:tcPr>
            <w:tcW w:w="1226" w:type="dxa"/>
            <w:vMerge w:val="restart"/>
            <w:vAlign w:val="center"/>
          </w:tcPr>
          <w:p w14:paraId="310788EB">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信息检索与信息管理</w:t>
            </w:r>
            <w:r>
              <w:rPr>
                <w:b/>
                <w:color w:val="000000" w:themeColor="text1"/>
                <w:sz w:val="18"/>
                <w:szCs w:val="18"/>
                <w14:textFill>
                  <w14:solidFill>
                    <w14:schemeClr w14:val="tx1"/>
                  </w14:solidFill>
                </w14:textFill>
              </w:rPr>
              <w:t>方向选修课</w:t>
            </w:r>
          </w:p>
        </w:tc>
        <w:tc>
          <w:tcPr>
            <w:tcW w:w="3516" w:type="dxa"/>
            <w:vAlign w:val="center"/>
          </w:tcPr>
          <w:p w14:paraId="2B713A78">
            <w:pPr>
              <w:adjustRightInd w:val="0"/>
              <w:snapToGrid w:val="0"/>
              <w:rPr>
                <w:i/>
                <w:color w:val="FF0000"/>
                <w:sz w:val="18"/>
                <w:szCs w:val="18"/>
              </w:rPr>
            </w:pPr>
            <w:r>
              <w:rPr>
                <w:rFonts w:hint="eastAsia" w:cs="宋体" w:asciiTheme="minorEastAsia" w:hAnsiTheme="minorEastAsia" w:eastAsiaTheme="minorEastAsia"/>
                <w:kern w:val="0"/>
                <w:sz w:val="18"/>
                <w:szCs w:val="18"/>
              </w:rPr>
              <w:t>信息系统与信息检索</w:t>
            </w:r>
          </w:p>
        </w:tc>
        <w:tc>
          <w:tcPr>
            <w:tcW w:w="1139" w:type="dxa"/>
            <w:vAlign w:val="center"/>
          </w:tcPr>
          <w:p w14:paraId="035DD9E5">
            <w:pPr>
              <w:jc w:val="center"/>
              <w:rPr>
                <w:rFonts w:hint="default" w:eastAsia="宋体"/>
                <w:i/>
                <w:color w:val="FF0000"/>
                <w:sz w:val="18"/>
                <w:szCs w:val="18"/>
                <w:lang w:val="en-US" w:eastAsia="zh-CN"/>
              </w:rPr>
            </w:pPr>
            <w:r>
              <w:rPr>
                <w:rFonts w:hint="eastAsia"/>
                <w:iCs/>
                <w:sz w:val="18"/>
                <w:szCs w:val="18"/>
              </w:rPr>
              <w:t>X</w:t>
            </w:r>
            <w:r>
              <w:rPr>
                <w:iCs/>
                <w:sz w:val="18"/>
                <w:szCs w:val="18"/>
              </w:rPr>
              <w:t>B04102</w:t>
            </w:r>
            <w:r>
              <w:rPr>
                <w:rFonts w:hint="eastAsia"/>
                <w:iCs/>
                <w:sz w:val="18"/>
                <w:szCs w:val="18"/>
                <w:lang w:val="en-US" w:eastAsia="zh-CN"/>
              </w:rPr>
              <w:t>13</w:t>
            </w:r>
          </w:p>
        </w:tc>
        <w:tc>
          <w:tcPr>
            <w:tcW w:w="651" w:type="dxa"/>
            <w:vAlign w:val="center"/>
          </w:tcPr>
          <w:p w14:paraId="05F92A2A">
            <w:pPr>
              <w:jc w:val="center"/>
              <w:rPr>
                <w:i/>
                <w:color w:val="FF0000"/>
                <w:sz w:val="18"/>
                <w:szCs w:val="18"/>
              </w:rPr>
            </w:pPr>
            <w:r>
              <w:rPr>
                <w:rFonts w:hint="eastAsia"/>
                <w:iCs/>
                <w:sz w:val="18"/>
                <w:szCs w:val="18"/>
              </w:rPr>
              <w:t>3</w:t>
            </w:r>
          </w:p>
        </w:tc>
        <w:tc>
          <w:tcPr>
            <w:tcW w:w="709" w:type="dxa"/>
            <w:vAlign w:val="center"/>
          </w:tcPr>
          <w:p w14:paraId="1DCF34DD">
            <w:pPr>
              <w:jc w:val="center"/>
              <w:rPr>
                <w:i/>
                <w:color w:val="FF0000"/>
                <w:sz w:val="18"/>
                <w:szCs w:val="18"/>
              </w:rPr>
            </w:pPr>
            <w:r>
              <w:rPr>
                <w:rFonts w:hint="eastAsia"/>
                <w:iCs/>
                <w:sz w:val="18"/>
                <w:szCs w:val="18"/>
              </w:rPr>
              <w:t>1</w:t>
            </w:r>
          </w:p>
        </w:tc>
        <w:tc>
          <w:tcPr>
            <w:tcW w:w="1045" w:type="dxa"/>
            <w:vMerge w:val="restart"/>
            <w:vAlign w:val="center"/>
          </w:tcPr>
          <w:p w14:paraId="4F91BC8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5A924BB">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3A4374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0CC36C8">
            <w:pPr>
              <w:rPr>
                <w:b/>
                <w:color w:val="000000" w:themeColor="text1"/>
                <w:sz w:val="18"/>
                <w:szCs w:val="18"/>
                <w14:textFill>
                  <w14:solidFill>
                    <w14:schemeClr w14:val="tx1"/>
                  </w14:solidFill>
                </w14:textFill>
              </w:rPr>
            </w:pPr>
          </w:p>
        </w:tc>
        <w:tc>
          <w:tcPr>
            <w:tcW w:w="1226" w:type="dxa"/>
            <w:vMerge w:val="continue"/>
            <w:vAlign w:val="center"/>
          </w:tcPr>
          <w:p w14:paraId="51C111CF">
            <w:pPr>
              <w:jc w:val="center"/>
              <w:rPr>
                <w:b/>
                <w:color w:val="000000" w:themeColor="text1"/>
                <w:sz w:val="18"/>
                <w:szCs w:val="18"/>
                <w14:textFill>
                  <w14:solidFill>
                    <w14:schemeClr w14:val="tx1"/>
                  </w14:solidFill>
                </w14:textFill>
              </w:rPr>
            </w:pPr>
          </w:p>
        </w:tc>
        <w:tc>
          <w:tcPr>
            <w:tcW w:w="3516" w:type="dxa"/>
            <w:vAlign w:val="center"/>
          </w:tcPr>
          <w:p w14:paraId="799CA082">
            <w:pPr>
              <w:adjustRightInd w:val="0"/>
              <w:snapToGrid w:val="0"/>
              <w:rPr>
                <w:i/>
                <w:color w:val="FF0000"/>
                <w:sz w:val="18"/>
                <w:szCs w:val="18"/>
              </w:rPr>
            </w:pPr>
            <w:r>
              <w:rPr>
                <w:rFonts w:hint="eastAsia" w:cs="宋体" w:asciiTheme="minorEastAsia" w:hAnsiTheme="minorEastAsia" w:eastAsiaTheme="minorEastAsia"/>
                <w:kern w:val="0"/>
                <w:sz w:val="18"/>
                <w:szCs w:val="18"/>
              </w:rPr>
              <w:t>人工智能与社会计算</w:t>
            </w:r>
          </w:p>
        </w:tc>
        <w:tc>
          <w:tcPr>
            <w:tcW w:w="1139" w:type="dxa"/>
            <w:vAlign w:val="center"/>
          </w:tcPr>
          <w:p w14:paraId="5BC1B284">
            <w:pPr>
              <w:jc w:val="center"/>
              <w:rPr>
                <w:rFonts w:hint="default" w:eastAsia="宋体"/>
                <w:i/>
                <w:color w:val="FF0000"/>
                <w:sz w:val="18"/>
                <w:szCs w:val="18"/>
                <w:lang w:val="en-US" w:eastAsia="zh-CN"/>
              </w:rPr>
            </w:pPr>
            <w:r>
              <w:rPr>
                <w:rFonts w:hint="eastAsia"/>
                <w:iCs/>
                <w:sz w:val="18"/>
                <w:szCs w:val="18"/>
              </w:rPr>
              <w:t>X</w:t>
            </w:r>
            <w:r>
              <w:rPr>
                <w:iCs/>
                <w:sz w:val="18"/>
                <w:szCs w:val="18"/>
              </w:rPr>
              <w:t>B04102</w:t>
            </w:r>
            <w:r>
              <w:rPr>
                <w:rFonts w:hint="eastAsia"/>
                <w:iCs/>
                <w:sz w:val="18"/>
                <w:szCs w:val="18"/>
                <w:lang w:val="en-US" w:eastAsia="zh-CN"/>
              </w:rPr>
              <w:t>14</w:t>
            </w:r>
          </w:p>
        </w:tc>
        <w:tc>
          <w:tcPr>
            <w:tcW w:w="651" w:type="dxa"/>
            <w:vAlign w:val="center"/>
          </w:tcPr>
          <w:p w14:paraId="1F02F071">
            <w:pPr>
              <w:jc w:val="center"/>
              <w:rPr>
                <w:i/>
                <w:color w:val="FF0000"/>
                <w:sz w:val="18"/>
                <w:szCs w:val="18"/>
              </w:rPr>
            </w:pPr>
            <w:r>
              <w:rPr>
                <w:rFonts w:hint="eastAsia"/>
                <w:iCs/>
                <w:sz w:val="18"/>
                <w:szCs w:val="18"/>
              </w:rPr>
              <w:t>3</w:t>
            </w:r>
          </w:p>
        </w:tc>
        <w:tc>
          <w:tcPr>
            <w:tcW w:w="709" w:type="dxa"/>
            <w:vAlign w:val="center"/>
          </w:tcPr>
          <w:p w14:paraId="4CE5640E">
            <w:pPr>
              <w:jc w:val="center"/>
              <w:rPr>
                <w:i/>
                <w:color w:val="FF0000"/>
                <w:sz w:val="18"/>
                <w:szCs w:val="18"/>
              </w:rPr>
            </w:pPr>
            <w:r>
              <w:rPr>
                <w:rFonts w:hint="eastAsia"/>
                <w:iCs/>
                <w:sz w:val="18"/>
                <w:szCs w:val="18"/>
              </w:rPr>
              <w:t>1</w:t>
            </w:r>
          </w:p>
        </w:tc>
        <w:tc>
          <w:tcPr>
            <w:tcW w:w="1045" w:type="dxa"/>
            <w:vMerge w:val="continue"/>
            <w:vAlign w:val="center"/>
          </w:tcPr>
          <w:p w14:paraId="23E25ACD">
            <w:pPr>
              <w:jc w:val="center"/>
              <w:rPr>
                <w:color w:val="000000" w:themeColor="text1"/>
                <w:sz w:val="18"/>
                <w:szCs w:val="18"/>
                <w14:textFill>
                  <w14:solidFill>
                    <w14:schemeClr w14:val="tx1"/>
                  </w14:solidFill>
                </w14:textFill>
              </w:rPr>
            </w:pPr>
          </w:p>
        </w:tc>
      </w:tr>
      <w:tr w14:paraId="5CA8EA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E0AEB2">
            <w:pPr>
              <w:rPr>
                <w:b/>
                <w:color w:val="000000" w:themeColor="text1"/>
                <w:sz w:val="18"/>
                <w:szCs w:val="18"/>
                <w14:textFill>
                  <w14:solidFill>
                    <w14:schemeClr w14:val="tx1"/>
                  </w14:solidFill>
                </w14:textFill>
              </w:rPr>
            </w:pPr>
          </w:p>
        </w:tc>
        <w:tc>
          <w:tcPr>
            <w:tcW w:w="1226" w:type="dxa"/>
            <w:vMerge w:val="continue"/>
            <w:vAlign w:val="center"/>
          </w:tcPr>
          <w:p w14:paraId="021E13AF">
            <w:pPr>
              <w:jc w:val="center"/>
              <w:rPr>
                <w:b/>
                <w:color w:val="000000" w:themeColor="text1"/>
                <w:sz w:val="18"/>
                <w:szCs w:val="18"/>
                <w14:textFill>
                  <w14:solidFill>
                    <w14:schemeClr w14:val="tx1"/>
                  </w14:solidFill>
                </w14:textFill>
              </w:rPr>
            </w:pPr>
          </w:p>
        </w:tc>
        <w:tc>
          <w:tcPr>
            <w:tcW w:w="3516" w:type="dxa"/>
            <w:vAlign w:val="center"/>
          </w:tcPr>
          <w:p w14:paraId="41F07E19">
            <w:pPr>
              <w:adjustRightInd w:val="0"/>
              <w:snapToGrid w:val="0"/>
              <w:rPr>
                <w:i/>
                <w:color w:val="FF0000"/>
                <w:sz w:val="18"/>
                <w:szCs w:val="18"/>
              </w:rPr>
            </w:pPr>
            <w:r>
              <w:rPr>
                <w:rFonts w:hint="eastAsia" w:cs="宋体" w:asciiTheme="minorEastAsia" w:hAnsiTheme="minorEastAsia" w:eastAsiaTheme="minorEastAsia"/>
                <w:kern w:val="0"/>
                <w:sz w:val="18"/>
                <w:szCs w:val="18"/>
              </w:rPr>
              <w:t>复杂网络与应用</w:t>
            </w:r>
          </w:p>
        </w:tc>
        <w:tc>
          <w:tcPr>
            <w:tcW w:w="1139" w:type="dxa"/>
            <w:vAlign w:val="center"/>
          </w:tcPr>
          <w:p w14:paraId="73A50419">
            <w:pPr>
              <w:jc w:val="center"/>
              <w:rPr>
                <w:rFonts w:hint="default" w:eastAsia="宋体"/>
                <w:i/>
                <w:color w:val="FF0000"/>
                <w:sz w:val="18"/>
                <w:szCs w:val="18"/>
                <w:lang w:val="en-US" w:eastAsia="zh-CN"/>
              </w:rPr>
            </w:pPr>
            <w:r>
              <w:rPr>
                <w:rFonts w:hint="eastAsia"/>
                <w:iCs/>
                <w:sz w:val="18"/>
                <w:szCs w:val="18"/>
              </w:rPr>
              <w:t>X</w:t>
            </w:r>
            <w:r>
              <w:rPr>
                <w:iCs/>
                <w:sz w:val="18"/>
                <w:szCs w:val="18"/>
              </w:rPr>
              <w:t>B04102</w:t>
            </w:r>
            <w:r>
              <w:rPr>
                <w:rFonts w:hint="eastAsia"/>
                <w:iCs/>
                <w:sz w:val="18"/>
                <w:szCs w:val="18"/>
                <w:lang w:val="en-US" w:eastAsia="zh-CN"/>
              </w:rPr>
              <w:t>15</w:t>
            </w:r>
          </w:p>
        </w:tc>
        <w:tc>
          <w:tcPr>
            <w:tcW w:w="651" w:type="dxa"/>
            <w:vAlign w:val="center"/>
          </w:tcPr>
          <w:p w14:paraId="2CF0FE04">
            <w:pPr>
              <w:jc w:val="center"/>
              <w:rPr>
                <w:i/>
                <w:color w:val="FF0000"/>
                <w:sz w:val="18"/>
                <w:szCs w:val="18"/>
              </w:rPr>
            </w:pPr>
            <w:r>
              <w:rPr>
                <w:rFonts w:hint="eastAsia"/>
                <w:iCs/>
                <w:sz w:val="18"/>
                <w:szCs w:val="18"/>
              </w:rPr>
              <w:t>3</w:t>
            </w:r>
          </w:p>
        </w:tc>
        <w:tc>
          <w:tcPr>
            <w:tcW w:w="709" w:type="dxa"/>
            <w:vAlign w:val="center"/>
          </w:tcPr>
          <w:p w14:paraId="1B9C123D">
            <w:pPr>
              <w:jc w:val="center"/>
              <w:rPr>
                <w:i/>
                <w:color w:val="FF0000"/>
                <w:sz w:val="18"/>
                <w:szCs w:val="18"/>
              </w:rPr>
            </w:pPr>
            <w:r>
              <w:rPr>
                <w:rFonts w:hint="eastAsia"/>
                <w:iCs/>
                <w:sz w:val="18"/>
                <w:szCs w:val="18"/>
              </w:rPr>
              <w:t>1</w:t>
            </w:r>
          </w:p>
        </w:tc>
        <w:tc>
          <w:tcPr>
            <w:tcW w:w="1045" w:type="dxa"/>
            <w:vMerge w:val="continue"/>
            <w:vAlign w:val="center"/>
          </w:tcPr>
          <w:p w14:paraId="303969C8">
            <w:pPr>
              <w:jc w:val="center"/>
              <w:rPr>
                <w:color w:val="000000" w:themeColor="text1"/>
                <w:sz w:val="18"/>
                <w:szCs w:val="18"/>
                <w14:textFill>
                  <w14:solidFill>
                    <w14:schemeClr w14:val="tx1"/>
                  </w14:solidFill>
                </w14:textFill>
              </w:rPr>
            </w:pPr>
          </w:p>
        </w:tc>
      </w:tr>
      <w:tr w14:paraId="40B0A1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10F7B1">
            <w:pPr>
              <w:rPr>
                <w:b/>
                <w:color w:val="000000" w:themeColor="text1"/>
                <w:sz w:val="18"/>
                <w:szCs w:val="18"/>
                <w14:textFill>
                  <w14:solidFill>
                    <w14:schemeClr w14:val="tx1"/>
                  </w14:solidFill>
                </w14:textFill>
              </w:rPr>
            </w:pPr>
          </w:p>
        </w:tc>
        <w:tc>
          <w:tcPr>
            <w:tcW w:w="1226" w:type="dxa"/>
            <w:vMerge w:val="restart"/>
            <w:shd w:val="clear" w:color="auto" w:fill="auto"/>
            <w:vAlign w:val="center"/>
          </w:tcPr>
          <w:p w14:paraId="7DBED36E">
            <w:pPr>
              <w:adjustRightInd w:val="0"/>
              <w:snapToGrid w:val="0"/>
              <w:jc w:val="center"/>
              <w:rPr>
                <w:rFonts w:ascii="Times New Roman" w:hAnsi="Times New Roman" w:eastAsia="宋体" w:cs="Times New Roman"/>
                <w:b/>
                <w:color w:val="000000" w:themeColor="text1"/>
                <w:kern w:val="2"/>
                <w:sz w:val="18"/>
                <w:szCs w:val="18"/>
                <w:lang w:val="en-US" w:eastAsia="zh-CN" w:bidi="ar-SA"/>
                <w14:textFill>
                  <w14:solidFill>
                    <w14:schemeClr w14:val="tx1"/>
                  </w14:solidFill>
                </w14:textFill>
              </w:rPr>
            </w:pPr>
            <w:r>
              <w:rPr>
                <w:rFonts w:hint="eastAsia"/>
                <w:b/>
                <w:sz w:val="18"/>
                <w:szCs w:val="18"/>
              </w:rPr>
              <w:t>公共治理与绩效评估</w:t>
            </w:r>
            <w:r>
              <w:rPr>
                <w:b/>
                <w:color w:val="000000" w:themeColor="text1"/>
                <w:sz w:val="18"/>
                <w:szCs w:val="18"/>
                <w14:textFill>
                  <w14:solidFill>
                    <w14:schemeClr w14:val="tx1"/>
                  </w14:solidFill>
                </w14:textFill>
              </w:rPr>
              <w:t>方向选修课</w:t>
            </w:r>
          </w:p>
          <w:p w14:paraId="659BEE76">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40DFFDE">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高级应用统计</w:t>
            </w:r>
          </w:p>
        </w:tc>
        <w:tc>
          <w:tcPr>
            <w:tcW w:w="1139" w:type="dxa"/>
            <w:shd w:val="clear" w:color="auto" w:fill="auto"/>
            <w:vAlign w:val="center"/>
          </w:tcPr>
          <w:p w14:paraId="73453387">
            <w:pPr>
              <w:jc w:val="center"/>
              <w:rPr>
                <w:rFonts w:hint="default" w:ascii="Times New Roman" w:hAnsi="Times New Roman" w:eastAsia="宋体" w:cs="Times New Roman"/>
                <w:color w:val="FF0000"/>
                <w:kern w:val="2"/>
                <w:sz w:val="18"/>
                <w:szCs w:val="18"/>
                <w:lang w:val="en-US" w:eastAsia="zh-CN" w:bidi="ar-SA"/>
              </w:rPr>
            </w:pPr>
            <w:r>
              <w:rPr>
                <w:rFonts w:hint="eastAsia"/>
                <w:iCs/>
                <w:sz w:val="18"/>
                <w:szCs w:val="18"/>
              </w:rPr>
              <w:t>XB</w:t>
            </w:r>
            <w:r>
              <w:rPr>
                <w:iCs/>
                <w:sz w:val="18"/>
                <w:szCs w:val="18"/>
              </w:rPr>
              <w:t>04102</w:t>
            </w:r>
            <w:r>
              <w:rPr>
                <w:rFonts w:hint="eastAsia"/>
                <w:iCs/>
                <w:sz w:val="18"/>
                <w:szCs w:val="18"/>
                <w:lang w:val="en-US" w:eastAsia="zh-CN"/>
              </w:rPr>
              <w:t>01</w:t>
            </w:r>
          </w:p>
        </w:tc>
        <w:tc>
          <w:tcPr>
            <w:tcW w:w="651" w:type="dxa"/>
            <w:shd w:val="clear" w:color="auto" w:fill="auto"/>
            <w:vAlign w:val="center"/>
          </w:tcPr>
          <w:p w14:paraId="7937D2B3">
            <w:pPr>
              <w:jc w:val="center"/>
              <w:rPr>
                <w:rFonts w:ascii="Times New Roman" w:hAnsi="Times New Roman" w:eastAsia="宋体" w:cs="Times New Roman"/>
                <w:color w:val="FF0000"/>
                <w:kern w:val="2"/>
                <w:sz w:val="18"/>
                <w:szCs w:val="18"/>
                <w:lang w:val="en-US" w:eastAsia="zh-CN" w:bidi="ar-SA"/>
              </w:rPr>
            </w:pPr>
            <w:r>
              <w:rPr>
                <w:iCs/>
                <w:sz w:val="18"/>
                <w:szCs w:val="18"/>
              </w:rPr>
              <w:t>3</w:t>
            </w:r>
          </w:p>
        </w:tc>
        <w:tc>
          <w:tcPr>
            <w:tcW w:w="709" w:type="dxa"/>
            <w:shd w:val="clear" w:color="auto" w:fill="auto"/>
            <w:vAlign w:val="center"/>
          </w:tcPr>
          <w:p w14:paraId="6AFA4C47">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restart"/>
            <w:vAlign w:val="center"/>
          </w:tcPr>
          <w:p w14:paraId="41D71E17">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44940B1C">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19A554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329ED7">
            <w:pPr>
              <w:rPr>
                <w:b/>
                <w:color w:val="000000" w:themeColor="text1"/>
                <w:sz w:val="18"/>
                <w:szCs w:val="18"/>
                <w14:textFill>
                  <w14:solidFill>
                    <w14:schemeClr w14:val="tx1"/>
                  </w14:solidFill>
                </w14:textFill>
              </w:rPr>
            </w:pPr>
          </w:p>
        </w:tc>
        <w:tc>
          <w:tcPr>
            <w:tcW w:w="1226" w:type="dxa"/>
            <w:vMerge w:val="continue"/>
            <w:vAlign w:val="center"/>
          </w:tcPr>
          <w:p w14:paraId="40AE0BE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348E545">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系统分析与决策</w:t>
            </w:r>
          </w:p>
        </w:tc>
        <w:tc>
          <w:tcPr>
            <w:tcW w:w="1139" w:type="dxa"/>
            <w:shd w:val="clear" w:color="auto" w:fill="auto"/>
            <w:vAlign w:val="center"/>
          </w:tcPr>
          <w:p w14:paraId="06F7AB90">
            <w:pPr>
              <w:jc w:val="center"/>
              <w:rPr>
                <w:rFonts w:hint="eastAsia"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B041020</w:t>
            </w:r>
            <w:r>
              <w:rPr>
                <w:rFonts w:hint="eastAsia"/>
                <w:iCs/>
                <w:sz w:val="18"/>
                <w:szCs w:val="18"/>
                <w:lang w:val="en-US" w:eastAsia="zh-CN"/>
              </w:rPr>
              <w:t>2</w:t>
            </w:r>
          </w:p>
        </w:tc>
        <w:tc>
          <w:tcPr>
            <w:tcW w:w="651" w:type="dxa"/>
            <w:shd w:val="clear" w:color="auto" w:fill="auto"/>
            <w:vAlign w:val="center"/>
          </w:tcPr>
          <w:p w14:paraId="13571EC9">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6B11BA40">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3D0EC0B5">
            <w:pPr>
              <w:jc w:val="center"/>
              <w:rPr>
                <w:color w:val="000000" w:themeColor="text1"/>
                <w:sz w:val="18"/>
                <w:szCs w:val="18"/>
                <w14:textFill>
                  <w14:solidFill>
                    <w14:schemeClr w14:val="tx1"/>
                  </w14:solidFill>
                </w14:textFill>
              </w:rPr>
            </w:pPr>
          </w:p>
        </w:tc>
      </w:tr>
      <w:tr w14:paraId="551F84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1426BA">
            <w:pPr>
              <w:rPr>
                <w:b/>
                <w:color w:val="000000" w:themeColor="text1"/>
                <w:sz w:val="18"/>
                <w:szCs w:val="18"/>
                <w14:textFill>
                  <w14:solidFill>
                    <w14:schemeClr w14:val="tx1"/>
                  </w14:solidFill>
                </w14:textFill>
              </w:rPr>
            </w:pPr>
          </w:p>
        </w:tc>
        <w:tc>
          <w:tcPr>
            <w:tcW w:w="1226" w:type="dxa"/>
            <w:vMerge w:val="continue"/>
            <w:vAlign w:val="center"/>
          </w:tcPr>
          <w:p w14:paraId="1A096B6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A4B8125">
            <w:pPr>
              <w:adjustRightInd w:val="0"/>
              <w:snapToGrid w:val="0"/>
              <w:rPr>
                <w:rFonts w:hint="default" w:ascii="Times New Roman" w:hAnsi="Times New Roman" w:eastAsia="宋体" w:cs="Times New Roman"/>
                <w:i/>
                <w:color w:val="FF0000"/>
                <w:kern w:val="2"/>
                <w:sz w:val="18"/>
                <w:szCs w:val="18"/>
                <w:lang w:val="en-US" w:eastAsia="zh-CN" w:bidi="ar-SA"/>
              </w:rPr>
            </w:pPr>
            <w:r>
              <w:rPr>
                <w:rFonts w:hint="eastAsia" w:cs="Times New Roman"/>
                <w:i w:val="0"/>
                <w:iCs/>
                <w:color w:val="auto"/>
                <w:kern w:val="2"/>
                <w:sz w:val="18"/>
                <w:szCs w:val="18"/>
                <w:lang w:val="en-US" w:eastAsia="zh-CN" w:bidi="ar-SA"/>
              </w:rPr>
              <w:t>预测与评价方法</w:t>
            </w:r>
          </w:p>
        </w:tc>
        <w:tc>
          <w:tcPr>
            <w:tcW w:w="1139" w:type="dxa"/>
            <w:shd w:val="clear" w:color="auto" w:fill="auto"/>
            <w:vAlign w:val="center"/>
          </w:tcPr>
          <w:p w14:paraId="715A8017">
            <w:pPr>
              <w:jc w:val="center"/>
              <w:rPr>
                <w:rFonts w:hint="default"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B04102</w:t>
            </w:r>
            <w:r>
              <w:rPr>
                <w:rFonts w:hint="eastAsia"/>
                <w:iCs/>
                <w:sz w:val="18"/>
                <w:szCs w:val="18"/>
                <w:lang w:val="en-US" w:eastAsia="zh-CN"/>
              </w:rPr>
              <w:t>18</w:t>
            </w:r>
          </w:p>
        </w:tc>
        <w:tc>
          <w:tcPr>
            <w:tcW w:w="651" w:type="dxa"/>
            <w:shd w:val="clear" w:color="auto" w:fill="auto"/>
            <w:vAlign w:val="center"/>
          </w:tcPr>
          <w:p w14:paraId="67D7BB1A">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06453DC6">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5F6971DA">
            <w:pPr>
              <w:jc w:val="center"/>
              <w:rPr>
                <w:color w:val="000000" w:themeColor="text1"/>
                <w:sz w:val="18"/>
                <w:szCs w:val="18"/>
                <w14:textFill>
                  <w14:solidFill>
                    <w14:schemeClr w14:val="tx1"/>
                  </w14:solidFill>
                </w14:textFill>
              </w:rPr>
            </w:pPr>
          </w:p>
        </w:tc>
      </w:tr>
      <w:tr w14:paraId="0601BC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EC46935">
            <w:pPr>
              <w:rPr>
                <w:b/>
                <w:color w:val="000000" w:themeColor="text1"/>
                <w:sz w:val="18"/>
                <w:szCs w:val="18"/>
                <w14:textFill>
                  <w14:solidFill>
                    <w14:schemeClr w14:val="tx1"/>
                  </w14:solidFill>
                </w14:textFill>
              </w:rPr>
            </w:pPr>
          </w:p>
        </w:tc>
        <w:tc>
          <w:tcPr>
            <w:tcW w:w="1226" w:type="dxa"/>
            <w:vMerge w:val="restart"/>
            <w:shd w:val="clear" w:color="auto" w:fill="auto"/>
            <w:vAlign w:val="center"/>
          </w:tcPr>
          <w:p w14:paraId="689901F8">
            <w:pPr>
              <w:adjustRightInd w:val="0"/>
              <w:snapToGrid w:val="0"/>
              <w:jc w:val="center"/>
              <w:rPr>
                <w:rFonts w:ascii="Times New Roman" w:hAnsi="Times New Roman" w:eastAsia="宋体" w:cs="Times New Roman"/>
                <w:b/>
                <w:color w:val="FF0000"/>
                <w:kern w:val="2"/>
                <w:sz w:val="18"/>
                <w:szCs w:val="18"/>
                <w:lang w:val="en-US" w:eastAsia="zh-CN" w:bidi="ar-SA"/>
              </w:rPr>
            </w:pPr>
            <w:r>
              <w:rPr>
                <w:rFonts w:hint="eastAsia"/>
                <w:b/>
                <w:color w:val="000000" w:themeColor="text1"/>
                <w:sz w:val="18"/>
                <w:szCs w:val="18"/>
                <w14:textFill>
                  <w14:solidFill>
                    <w14:schemeClr w14:val="tx1"/>
                  </w14:solidFill>
                </w14:textFill>
              </w:rPr>
              <w:t>投融资决策与管理</w:t>
            </w:r>
            <w:r>
              <w:rPr>
                <w:b/>
                <w:color w:val="000000" w:themeColor="text1"/>
                <w:sz w:val="18"/>
                <w:szCs w:val="18"/>
                <w14:textFill>
                  <w14:solidFill>
                    <w14:schemeClr w14:val="tx1"/>
                  </w14:solidFill>
                </w14:textFill>
              </w:rPr>
              <w:t>方向选修课</w:t>
            </w:r>
          </w:p>
          <w:p w14:paraId="27E0960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2B14F6E">
            <w:pPr>
              <w:adjustRightInd w:val="0"/>
              <w:snapToGrid w:val="0"/>
              <w:rPr>
                <w:rFonts w:ascii="Times New Roman" w:hAnsi="Times New Roman" w:eastAsia="宋体" w:cs="Times New Roman"/>
                <w:i/>
                <w:color w:val="FF0000"/>
                <w:kern w:val="2"/>
                <w:sz w:val="18"/>
                <w:szCs w:val="18"/>
                <w:lang w:val="en-US" w:eastAsia="zh-CN" w:bidi="ar-SA"/>
              </w:rPr>
            </w:pPr>
            <w:r>
              <w:rPr>
                <w:rFonts w:hint="eastAsia"/>
                <w:iCs/>
                <w:sz w:val="18"/>
                <w:szCs w:val="18"/>
              </w:rPr>
              <w:t>投资项目决策理论</w:t>
            </w:r>
          </w:p>
        </w:tc>
        <w:tc>
          <w:tcPr>
            <w:tcW w:w="1139" w:type="dxa"/>
            <w:shd w:val="clear" w:color="auto" w:fill="auto"/>
            <w:vAlign w:val="center"/>
          </w:tcPr>
          <w:p w14:paraId="30D6D14D">
            <w:pPr>
              <w:jc w:val="center"/>
              <w:rPr>
                <w:rFonts w:hint="default" w:ascii="Times New Roman" w:hAnsi="Times New Roman" w:eastAsia="宋体" w:cs="Times New Roman"/>
                <w:color w:val="FF0000"/>
                <w:kern w:val="2"/>
                <w:sz w:val="18"/>
                <w:szCs w:val="18"/>
                <w:lang w:val="en-US" w:eastAsia="zh-CN" w:bidi="ar-SA"/>
              </w:rPr>
            </w:pPr>
            <w:r>
              <w:rPr>
                <w:rFonts w:hint="eastAsia"/>
                <w:iCs/>
                <w:sz w:val="18"/>
                <w:szCs w:val="18"/>
              </w:rPr>
              <w:t>X</w:t>
            </w:r>
            <w:r>
              <w:rPr>
                <w:iCs/>
                <w:sz w:val="18"/>
                <w:szCs w:val="18"/>
              </w:rPr>
              <w:t>B04102</w:t>
            </w:r>
            <w:r>
              <w:rPr>
                <w:rFonts w:hint="eastAsia"/>
                <w:iCs/>
                <w:sz w:val="18"/>
                <w:szCs w:val="18"/>
                <w:lang w:val="en-US" w:eastAsia="zh-CN"/>
              </w:rPr>
              <w:t>19</w:t>
            </w:r>
          </w:p>
        </w:tc>
        <w:tc>
          <w:tcPr>
            <w:tcW w:w="651" w:type="dxa"/>
            <w:shd w:val="clear" w:color="auto" w:fill="auto"/>
            <w:vAlign w:val="center"/>
          </w:tcPr>
          <w:p w14:paraId="7CA81722">
            <w:pPr>
              <w:jc w:val="center"/>
              <w:rPr>
                <w:rFonts w:ascii="Times New Roman" w:hAnsi="Times New Roman" w:eastAsia="宋体" w:cs="Times New Roman"/>
                <w:color w:val="FF0000"/>
                <w:kern w:val="2"/>
                <w:sz w:val="18"/>
                <w:szCs w:val="18"/>
                <w:lang w:val="en-US" w:eastAsia="zh-CN" w:bidi="ar-SA"/>
              </w:rPr>
            </w:pPr>
            <w:r>
              <w:rPr>
                <w:iCs/>
                <w:sz w:val="18"/>
                <w:szCs w:val="18"/>
              </w:rPr>
              <w:t>3</w:t>
            </w:r>
          </w:p>
        </w:tc>
        <w:tc>
          <w:tcPr>
            <w:tcW w:w="709" w:type="dxa"/>
            <w:shd w:val="clear" w:color="auto" w:fill="auto"/>
            <w:vAlign w:val="center"/>
          </w:tcPr>
          <w:p w14:paraId="6A5B50BF">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restart"/>
            <w:vAlign w:val="center"/>
          </w:tcPr>
          <w:p w14:paraId="1E1EA80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6B618DB">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762732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9A7BC2">
            <w:pPr>
              <w:rPr>
                <w:b/>
                <w:color w:val="000000" w:themeColor="text1"/>
                <w:sz w:val="18"/>
                <w:szCs w:val="18"/>
                <w14:textFill>
                  <w14:solidFill>
                    <w14:schemeClr w14:val="tx1"/>
                  </w14:solidFill>
                </w14:textFill>
              </w:rPr>
            </w:pPr>
          </w:p>
        </w:tc>
        <w:tc>
          <w:tcPr>
            <w:tcW w:w="1226" w:type="dxa"/>
            <w:vMerge w:val="continue"/>
            <w:vAlign w:val="center"/>
          </w:tcPr>
          <w:p w14:paraId="2A4B986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3D3D2CA">
            <w:pPr>
              <w:adjustRightInd w:val="0"/>
              <w:snapToGrid w:val="0"/>
              <w:rPr>
                <w:rFonts w:ascii="Times New Roman" w:hAnsi="Times New Roman" w:eastAsia="宋体" w:cs="Times New Roman"/>
                <w:i/>
                <w:color w:val="FF0000"/>
                <w:kern w:val="2"/>
                <w:sz w:val="18"/>
                <w:szCs w:val="18"/>
                <w:lang w:val="en-US" w:eastAsia="zh-CN" w:bidi="ar-SA"/>
              </w:rPr>
            </w:pPr>
            <w:r>
              <w:rPr>
                <w:rFonts w:hint="eastAsia"/>
                <w:bCs/>
                <w:color w:val="000000" w:themeColor="text1"/>
                <w:sz w:val="18"/>
                <w:szCs w:val="18"/>
                <w14:textFill>
                  <w14:solidFill>
                    <w14:schemeClr w14:val="tx1"/>
                  </w14:solidFill>
                </w14:textFill>
              </w:rPr>
              <w:t>高级计量经济学</w:t>
            </w:r>
          </w:p>
        </w:tc>
        <w:tc>
          <w:tcPr>
            <w:tcW w:w="1139" w:type="dxa"/>
            <w:shd w:val="clear" w:color="auto" w:fill="auto"/>
            <w:vAlign w:val="center"/>
          </w:tcPr>
          <w:p w14:paraId="4E804C3F">
            <w:pPr>
              <w:jc w:val="center"/>
              <w:rPr>
                <w:rFonts w:hint="default"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B04102</w:t>
            </w:r>
            <w:r>
              <w:rPr>
                <w:rFonts w:hint="eastAsia"/>
                <w:iCs/>
                <w:sz w:val="18"/>
                <w:szCs w:val="18"/>
                <w:lang w:val="en-US" w:eastAsia="zh-CN"/>
              </w:rPr>
              <w:t>05</w:t>
            </w:r>
          </w:p>
        </w:tc>
        <w:tc>
          <w:tcPr>
            <w:tcW w:w="651" w:type="dxa"/>
            <w:shd w:val="clear" w:color="auto" w:fill="auto"/>
            <w:vAlign w:val="center"/>
          </w:tcPr>
          <w:p w14:paraId="5AAA403D">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0DAEA40E">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2E243D75">
            <w:pPr>
              <w:jc w:val="center"/>
              <w:rPr>
                <w:color w:val="000000" w:themeColor="text1"/>
                <w:sz w:val="18"/>
                <w:szCs w:val="18"/>
                <w14:textFill>
                  <w14:solidFill>
                    <w14:schemeClr w14:val="tx1"/>
                  </w14:solidFill>
                </w14:textFill>
              </w:rPr>
            </w:pPr>
          </w:p>
        </w:tc>
      </w:tr>
      <w:tr w14:paraId="6DC457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2084D01">
            <w:pPr>
              <w:rPr>
                <w:b/>
                <w:color w:val="000000" w:themeColor="text1"/>
                <w:sz w:val="18"/>
                <w:szCs w:val="18"/>
                <w14:textFill>
                  <w14:solidFill>
                    <w14:schemeClr w14:val="tx1"/>
                  </w14:solidFill>
                </w14:textFill>
              </w:rPr>
            </w:pPr>
          </w:p>
        </w:tc>
        <w:tc>
          <w:tcPr>
            <w:tcW w:w="1226" w:type="dxa"/>
            <w:vMerge w:val="continue"/>
            <w:vAlign w:val="center"/>
          </w:tcPr>
          <w:p w14:paraId="4203B722">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845878D">
            <w:pPr>
              <w:adjustRightInd w:val="0"/>
              <w:snapToGrid w:val="0"/>
              <w:rPr>
                <w:rFonts w:ascii="Times New Roman" w:hAnsi="Times New Roman" w:eastAsia="宋体" w:cs="Times New Roman"/>
                <w:i/>
                <w:color w:val="FF0000"/>
                <w:kern w:val="2"/>
                <w:sz w:val="18"/>
                <w:szCs w:val="18"/>
                <w:lang w:val="en-US" w:eastAsia="zh-CN" w:bidi="ar-SA"/>
              </w:rPr>
            </w:pPr>
            <w:r>
              <w:rPr>
                <w:rFonts w:hint="eastAsia" w:cs="宋体" w:asciiTheme="minorEastAsia" w:hAnsiTheme="minorEastAsia" w:eastAsiaTheme="minorEastAsia"/>
                <w:kern w:val="0"/>
                <w:sz w:val="18"/>
                <w:szCs w:val="18"/>
              </w:rPr>
              <w:t>高级财务管理</w:t>
            </w:r>
          </w:p>
        </w:tc>
        <w:tc>
          <w:tcPr>
            <w:tcW w:w="1139" w:type="dxa"/>
            <w:shd w:val="clear" w:color="auto" w:fill="auto"/>
            <w:vAlign w:val="center"/>
          </w:tcPr>
          <w:p w14:paraId="4B1B7E2E">
            <w:pPr>
              <w:jc w:val="center"/>
              <w:rPr>
                <w:rFonts w:hint="default" w:ascii="Times New Roman" w:hAnsi="Times New Roman" w:eastAsia="宋体" w:cs="Times New Roman"/>
                <w:i/>
                <w:color w:val="FF0000"/>
                <w:kern w:val="2"/>
                <w:sz w:val="18"/>
                <w:szCs w:val="18"/>
                <w:lang w:val="en-US" w:eastAsia="zh-CN" w:bidi="ar-SA"/>
              </w:rPr>
            </w:pPr>
            <w:r>
              <w:rPr>
                <w:rFonts w:hint="eastAsia"/>
                <w:iCs/>
                <w:sz w:val="18"/>
                <w:szCs w:val="18"/>
              </w:rPr>
              <w:t>X</w:t>
            </w:r>
            <w:r>
              <w:rPr>
                <w:iCs/>
                <w:sz w:val="18"/>
                <w:szCs w:val="18"/>
              </w:rPr>
              <w:t>B04102</w:t>
            </w:r>
            <w:r>
              <w:rPr>
                <w:rFonts w:hint="eastAsia"/>
                <w:iCs/>
                <w:sz w:val="18"/>
                <w:szCs w:val="18"/>
                <w:lang w:val="en-US" w:eastAsia="zh-CN"/>
              </w:rPr>
              <w:t>06</w:t>
            </w:r>
          </w:p>
        </w:tc>
        <w:tc>
          <w:tcPr>
            <w:tcW w:w="651" w:type="dxa"/>
            <w:shd w:val="clear" w:color="auto" w:fill="auto"/>
            <w:vAlign w:val="center"/>
          </w:tcPr>
          <w:p w14:paraId="03C7AB7E">
            <w:pPr>
              <w:jc w:val="center"/>
              <w:rPr>
                <w:rFonts w:ascii="Times New Roman" w:hAnsi="Times New Roman" w:eastAsia="宋体" w:cs="Times New Roman"/>
                <w:i/>
                <w:color w:val="FF0000"/>
                <w:kern w:val="2"/>
                <w:sz w:val="18"/>
                <w:szCs w:val="18"/>
                <w:lang w:val="en-US" w:eastAsia="zh-CN" w:bidi="ar-SA"/>
              </w:rPr>
            </w:pPr>
            <w:r>
              <w:rPr>
                <w:iCs/>
                <w:sz w:val="18"/>
                <w:szCs w:val="18"/>
              </w:rPr>
              <w:t>3</w:t>
            </w:r>
          </w:p>
        </w:tc>
        <w:tc>
          <w:tcPr>
            <w:tcW w:w="709" w:type="dxa"/>
            <w:shd w:val="clear" w:color="auto" w:fill="auto"/>
            <w:vAlign w:val="center"/>
          </w:tcPr>
          <w:p w14:paraId="05E5227A">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iCs/>
                <w:sz w:val="18"/>
                <w:szCs w:val="18"/>
              </w:rPr>
              <w:t>1</w:t>
            </w:r>
          </w:p>
        </w:tc>
        <w:tc>
          <w:tcPr>
            <w:tcW w:w="1045" w:type="dxa"/>
            <w:vMerge w:val="continue"/>
            <w:vAlign w:val="center"/>
          </w:tcPr>
          <w:p w14:paraId="40F26B63">
            <w:pPr>
              <w:jc w:val="center"/>
              <w:rPr>
                <w:color w:val="000000" w:themeColor="text1"/>
                <w:sz w:val="18"/>
                <w:szCs w:val="18"/>
                <w14:textFill>
                  <w14:solidFill>
                    <w14:schemeClr w14:val="tx1"/>
                  </w14:solidFill>
                </w14:textFill>
              </w:rPr>
            </w:pPr>
          </w:p>
        </w:tc>
      </w:tr>
      <w:tr w14:paraId="5932EB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2E025F">
            <w:pPr>
              <w:rPr>
                <w:b/>
                <w:color w:val="000000" w:themeColor="text1"/>
                <w:sz w:val="18"/>
                <w:szCs w:val="18"/>
                <w14:textFill>
                  <w14:solidFill>
                    <w14:schemeClr w14:val="tx1"/>
                  </w14:solidFill>
                </w14:textFill>
              </w:rPr>
            </w:pPr>
          </w:p>
        </w:tc>
        <w:tc>
          <w:tcPr>
            <w:tcW w:w="1226" w:type="dxa"/>
            <w:vMerge w:val="restart"/>
            <w:vAlign w:val="center"/>
          </w:tcPr>
          <w:p w14:paraId="07A521DC">
            <w:pPr>
              <w:adjustRightInd w:val="0"/>
              <w:snapToGrid w:val="0"/>
              <w:jc w:val="center"/>
              <w:rPr>
                <w:rFonts w:ascii="Times New Roman" w:hAnsi="Times New Roman" w:eastAsia="宋体" w:cs="Times New Roman"/>
                <w:b/>
                <w:color w:val="FF0000"/>
                <w:kern w:val="2"/>
                <w:sz w:val="18"/>
                <w:szCs w:val="18"/>
                <w:lang w:val="en-US" w:eastAsia="zh-CN" w:bidi="ar-SA"/>
              </w:rPr>
            </w:pPr>
            <w:r>
              <w:rPr>
                <w:rFonts w:hint="eastAsia"/>
                <w:b/>
                <w:color w:val="000000" w:themeColor="text1"/>
                <w:sz w:val="18"/>
                <w:szCs w:val="18"/>
                <w:lang w:val="en-US" w:eastAsia="zh-CN"/>
                <w14:textFill>
                  <w14:solidFill>
                    <w14:schemeClr w14:val="tx1"/>
                  </w14:solidFill>
                </w14:textFill>
              </w:rPr>
              <w:t>服务创新与运营管理</w:t>
            </w:r>
            <w:r>
              <w:rPr>
                <w:b/>
                <w:color w:val="000000" w:themeColor="text1"/>
                <w:sz w:val="18"/>
                <w:szCs w:val="18"/>
                <w14:textFill>
                  <w14:solidFill>
                    <w14:schemeClr w14:val="tx1"/>
                  </w14:solidFill>
                </w14:textFill>
              </w:rPr>
              <w:t>方向选修课</w:t>
            </w:r>
          </w:p>
          <w:p w14:paraId="6A60B60D">
            <w:pPr>
              <w:jc w:val="center"/>
              <w:rPr>
                <w:b/>
                <w:color w:val="FF0000"/>
                <w:sz w:val="18"/>
                <w:szCs w:val="18"/>
              </w:rPr>
            </w:pPr>
          </w:p>
        </w:tc>
        <w:tc>
          <w:tcPr>
            <w:tcW w:w="3516" w:type="dxa"/>
            <w:vAlign w:val="center"/>
          </w:tcPr>
          <w:p w14:paraId="3D98B86A">
            <w:pPr>
              <w:adjustRightInd w:val="0"/>
              <w:snapToGrid w:val="0"/>
              <w:rPr>
                <w:rFonts w:hint="default" w:eastAsia="宋体"/>
                <w:i/>
                <w:color w:val="FF0000"/>
                <w:sz w:val="18"/>
                <w:szCs w:val="18"/>
                <w:lang w:val="en-US" w:eastAsia="zh-CN"/>
              </w:rPr>
            </w:pPr>
            <w:r>
              <w:rPr>
                <w:rFonts w:hint="eastAsia"/>
                <w:i w:val="0"/>
                <w:iCs/>
                <w:color w:val="auto"/>
                <w:sz w:val="18"/>
                <w:szCs w:val="18"/>
                <w:lang w:val="en-US" w:eastAsia="zh-CN"/>
              </w:rPr>
              <w:t>供应链管理</w:t>
            </w:r>
          </w:p>
        </w:tc>
        <w:tc>
          <w:tcPr>
            <w:tcW w:w="1139" w:type="dxa"/>
            <w:vAlign w:val="center"/>
          </w:tcPr>
          <w:p w14:paraId="6FFE4AB9">
            <w:pPr>
              <w:jc w:val="center"/>
              <w:rPr>
                <w:rFonts w:hint="default" w:eastAsia="宋体"/>
                <w:color w:val="FF0000"/>
                <w:sz w:val="18"/>
                <w:szCs w:val="18"/>
                <w:lang w:val="en-US" w:eastAsia="zh-CN"/>
              </w:rPr>
            </w:pPr>
            <w:r>
              <w:rPr>
                <w:rFonts w:hint="eastAsia"/>
                <w:iCs/>
                <w:sz w:val="18"/>
                <w:szCs w:val="18"/>
              </w:rPr>
              <w:t>X</w:t>
            </w:r>
            <w:r>
              <w:rPr>
                <w:iCs/>
                <w:sz w:val="18"/>
                <w:szCs w:val="18"/>
              </w:rPr>
              <w:t>B04102</w:t>
            </w:r>
            <w:r>
              <w:rPr>
                <w:rFonts w:hint="eastAsia"/>
                <w:iCs/>
                <w:sz w:val="18"/>
                <w:szCs w:val="18"/>
                <w:lang w:val="en-US" w:eastAsia="zh-CN"/>
              </w:rPr>
              <w:t>20</w:t>
            </w:r>
          </w:p>
        </w:tc>
        <w:tc>
          <w:tcPr>
            <w:tcW w:w="651" w:type="dxa"/>
            <w:vAlign w:val="center"/>
          </w:tcPr>
          <w:p w14:paraId="4D7DC676">
            <w:pPr>
              <w:jc w:val="center"/>
              <w:rPr>
                <w:color w:val="FF0000"/>
              </w:rPr>
            </w:pPr>
            <w:r>
              <w:rPr>
                <w:iCs/>
                <w:sz w:val="18"/>
                <w:szCs w:val="18"/>
              </w:rPr>
              <w:t>3</w:t>
            </w:r>
          </w:p>
        </w:tc>
        <w:tc>
          <w:tcPr>
            <w:tcW w:w="709" w:type="dxa"/>
            <w:vAlign w:val="center"/>
          </w:tcPr>
          <w:p w14:paraId="1040D2D1">
            <w:pPr>
              <w:jc w:val="center"/>
              <w:rPr>
                <w:color w:val="FF0000"/>
              </w:rPr>
            </w:pPr>
            <w:r>
              <w:rPr>
                <w:iCs/>
                <w:sz w:val="18"/>
                <w:szCs w:val="18"/>
              </w:rPr>
              <w:t>1</w:t>
            </w:r>
          </w:p>
        </w:tc>
        <w:tc>
          <w:tcPr>
            <w:tcW w:w="1045" w:type="dxa"/>
            <w:vMerge w:val="restart"/>
            <w:vAlign w:val="center"/>
          </w:tcPr>
          <w:p w14:paraId="44B58D89">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53D510B">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color w:val="000000" w:themeColor="text1"/>
                <w:sz w:val="18"/>
                <w:szCs w:val="18"/>
                <w14:textFill>
                  <w14:solidFill>
                    <w14:schemeClr w14:val="tx1"/>
                  </w14:solidFill>
                </w14:textFill>
              </w:rPr>
              <w:t>学分</w:t>
            </w:r>
          </w:p>
        </w:tc>
      </w:tr>
      <w:tr w14:paraId="4D83E5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D33C853">
            <w:pPr>
              <w:rPr>
                <w:b/>
                <w:color w:val="000000" w:themeColor="text1"/>
                <w:sz w:val="18"/>
                <w:szCs w:val="18"/>
                <w14:textFill>
                  <w14:solidFill>
                    <w14:schemeClr w14:val="tx1"/>
                  </w14:solidFill>
                </w14:textFill>
              </w:rPr>
            </w:pPr>
          </w:p>
        </w:tc>
        <w:tc>
          <w:tcPr>
            <w:tcW w:w="1226" w:type="dxa"/>
            <w:vMerge w:val="continue"/>
            <w:vAlign w:val="center"/>
          </w:tcPr>
          <w:p w14:paraId="5B393DBC">
            <w:pPr>
              <w:jc w:val="center"/>
              <w:rPr>
                <w:b/>
                <w:color w:val="FF0000"/>
                <w:sz w:val="18"/>
                <w:szCs w:val="18"/>
              </w:rPr>
            </w:pPr>
          </w:p>
        </w:tc>
        <w:tc>
          <w:tcPr>
            <w:tcW w:w="3516" w:type="dxa"/>
            <w:vAlign w:val="center"/>
          </w:tcPr>
          <w:p w14:paraId="0198875F">
            <w:pPr>
              <w:adjustRightInd w:val="0"/>
              <w:snapToGrid w:val="0"/>
              <w:rPr>
                <w:rFonts w:hint="default" w:eastAsia="宋体"/>
                <w:i/>
                <w:color w:val="FF0000"/>
                <w:sz w:val="18"/>
                <w:szCs w:val="18"/>
                <w:lang w:val="en-US" w:eastAsia="zh-CN"/>
              </w:rPr>
            </w:pPr>
            <w:r>
              <w:rPr>
                <w:rFonts w:hint="eastAsia"/>
                <w:bCs/>
                <w:color w:val="000000" w:themeColor="text1"/>
                <w:sz w:val="18"/>
                <w:szCs w:val="18"/>
                <w:lang w:val="en-US" w:eastAsia="zh-CN"/>
                <w14:textFill>
                  <w14:solidFill>
                    <w14:schemeClr w14:val="tx1"/>
                  </w14:solidFill>
                </w14:textFill>
              </w:rPr>
              <w:t>数智化运营管理</w:t>
            </w:r>
          </w:p>
        </w:tc>
        <w:tc>
          <w:tcPr>
            <w:tcW w:w="1139" w:type="dxa"/>
            <w:vAlign w:val="center"/>
          </w:tcPr>
          <w:p w14:paraId="080A5D10">
            <w:pPr>
              <w:jc w:val="center"/>
              <w:rPr>
                <w:rFonts w:hint="default" w:eastAsia="宋体"/>
                <w:color w:val="FF0000"/>
                <w:sz w:val="18"/>
                <w:szCs w:val="18"/>
                <w:lang w:val="en-US" w:eastAsia="zh-CN"/>
              </w:rPr>
            </w:pPr>
            <w:r>
              <w:rPr>
                <w:rFonts w:hint="eastAsia"/>
                <w:iCs/>
                <w:sz w:val="18"/>
                <w:szCs w:val="18"/>
              </w:rPr>
              <w:t>X</w:t>
            </w:r>
            <w:r>
              <w:rPr>
                <w:iCs/>
                <w:sz w:val="18"/>
                <w:szCs w:val="18"/>
              </w:rPr>
              <w:t>B04102</w:t>
            </w:r>
            <w:r>
              <w:rPr>
                <w:rFonts w:hint="eastAsia"/>
                <w:iCs/>
                <w:sz w:val="18"/>
                <w:szCs w:val="18"/>
                <w:lang w:val="en-US" w:eastAsia="zh-CN"/>
              </w:rPr>
              <w:t>21</w:t>
            </w:r>
          </w:p>
        </w:tc>
        <w:tc>
          <w:tcPr>
            <w:tcW w:w="651" w:type="dxa"/>
            <w:vAlign w:val="center"/>
          </w:tcPr>
          <w:p w14:paraId="22427B61">
            <w:pPr>
              <w:jc w:val="center"/>
              <w:rPr>
                <w:color w:val="FF0000"/>
              </w:rPr>
            </w:pPr>
            <w:r>
              <w:rPr>
                <w:iCs/>
                <w:sz w:val="18"/>
                <w:szCs w:val="18"/>
              </w:rPr>
              <w:t>3</w:t>
            </w:r>
          </w:p>
        </w:tc>
        <w:tc>
          <w:tcPr>
            <w:tcW w:w="709" w:type="dxa"/>
            <w:vAlign w:val="center"/>
          </w:tcPr>
          <w:p w14:paraId="1DFC19C1">
            <w:pPr>
              <w:jc w:val="center"/>
              <w:rPr>
                <w:color w:val="FF0000"/>
              </w:rPr>
            </w:pPr>
            <w:r>
              <w:rPr>
                <w:iCs/>
                <w:sz w:val="18"/>
                <w:szCs w:val="18"/>
              </w:rPr>
              <w:t>1</w:t>
            </w:r>
          </w:p>
        </w:tc>
        <w:tc>
          <w:tcPr>
            <w:tcW w:w="1045" w:type="dxa"/>
            <w:vMerge w:val="continue"/>
            <w:vAlign w:val="center"/>
          </w:tcPr>
          <w:p w14:paraId="0E65A5F0">
            <w:pPr>
              <w:adjustRightInd w:val="0"/>
              <w:snapToGrid w:val="0"/>
              <w:jc w:val="center"/>
              <w:rPr>
                <w:color w:val="000000" w:themeColor="text1"/>
                <w:sz w:val="18"/>
                <w:szCs w:val="18"/>
                <w14:textFill>
                  <w14:solidFill>
                    <w14:schemeClr w14:val="tx1"/>
                  </w14:solidFill>
                </w14:textFill>
              </w:rPr>
            </w:pPr>
          </w:p>
        </w:tc>
      </w:tr>
      <w:tr w14:paraId="0D5BB0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14462A">
            <w:pPr>
              <w:rPr>
                <w:b/>
                <w:color w:val="000000" w:themeColor="text1"/>
                <w:sz w:val="18"/>
                <w:szCs w:val="18"/>
                <w14:textFill>
                  <w14:solidFill>
                    <w14:schemeClr w14:val="tx1"/>
                  </w14:solidFill>
                </w14:textFill>
              </w:rPr>
            </w:pPr>
          </w:p>
        </w:tc>
        <w:tc>
          <w:tcPr>
            <w:tcW w:w="1226" w:type="dxa"/>
            <w:vMerge w:val="continue"/>
            <w:vAlign w:val="center"/>
          </w:tcPr>
          <w:p w14:paraId="6D1EBDCD">
            <w:pPr>
              <w:jc w:val="center"/>
              <w:rPr>
                <w:b/>
                <w:color w:val="000000" w:themeColor="text1"/>
                <w:sz w:val="18"/>
                <w:szCs w:val="18"/>
                <w14:textFill>
                  <w14:solidFill>
                    <w14:schemeClr w14:val="tx1"/>
                  </w14:solidFill>
                </w14:textFill>
              </w:rPr>
            </w:pPr>
          </w:p>
        </w:tc>
        <w:tc>
          <w:tcPr>
            <w:tcW w:w="3516" w:type="dxa"/>
            <w:vAlign w:val="center"/>
          </w:tcPr>
          <w:p w14:paraId="6490353D">
            <w:pPr>
              <w:adjustRightInd w:val="0"/>
              <w:snapToGrid w:val="0"/>
              <w:rPr>
                <w:rFonts w:hint="default" w:eastAsia="宋体"/>
                <w:i/>
                <w:color w:val="FF0000"/>
                <w:sz w:val="18"/>
                <w:szCs w:val="18"/>
                <w:lang w:val="en-US" w:eastAsia="zh-CN"/>
              </w:rPr>
            </w:pPr>
            <w:r>
              <w:rPr>
                <w:rFonts w:hint="eastAsia"/>
                <w:i w:val="0"/>
                <w:iCs/>
                <w:color w:val="auto"/>
                <w:sz w:val="18"/>
                <w:szCs w:val="18"/>
                <w:lang w:val="en-US" w:eastAsia="zh-CN"/>
              </w:rPr>
              <w:t>服务科学与工程</w:t>
            </w:r>
          </w:p>
        </w:tc>
        <w:tc>
          <w:tcPr>
            <w:tcW w:w="1139" w:type="dxa"/>
            <w:vAlign w:val="center"/>
          </w:tcPr>
          <w:p w14:paraId="11E57231">
            <w:pPr>
              <w:jc w:val="center"/>
              <w:rPr>
                <w:rFonts w:hint="default" w:eastAsia="宋体"/>
                <w:color w:val="FF0000"/>
                <w:sz w:val="18"/>
                <w:szCs w:val="18"/>
                <w:lang w:val="en-US" w:eastAsia="zh-CN"/>
              </w:rPr>
            </w:pPr>
            <w:r>
              <w:rPr>
                <w:rFonts w:hint="eastAsia"/>
                <w:iCs/>
                <w:sz w:val="18"/>
                <w:szCs w:val="18"/>
              </w:rPr>
              <w:t>X</w:t>
            </w:r>
            <w:r>
              <w:rPr>
                <w:iCs/>
                <w:sz w:val="18"/>
                <w:szCs w:val="18"/>
              </w:rPr>
              <w:t>B04102</w:t>
            </w:r>
            <w:r>
              <w:rPr>
                <w:rFonts w:hint="eastAsia"/>
                <w:iCs/>
                <w:sz w:val="18"/>
                <w:szCs w:val="18"/>
                <w:lang w:val="en-US" w:eastAsia="zh-CN"/>
              </w:rPr>
              <w:t>22</w:t>
            </w:r>
            <w:bookmarkStart w:id="0" w:name="_GoBack"/>
            <w:bookmarkEnd w:id="0"/>
          </w:p>
        </w:tc>
        <w:tc>
          <w:tcPr>
            <w:tcW w:w="651" w:type="dxa"/>
            <w:vAlign w:val="center"/>
          </w:tcPr>
          <w:p w14:paraId="3A2126E7">
            <w:pPr>
              <w:jc w:val="center"/>
              <w:rPr>
                <w:color w:val="FF0000"/>
                <w:sz w:val="18"/>
                <w:szCs w:val="18"/>
              </w:rPr>
            </w:pPr>
            <w:r>
              <w:rPr>
                <w:iCs/>
                <w:sz w:val="18"/>
                <w:szCs w:val="18"/>
              </w:rPr>
              <w:t>3</w:t>
            </w:r>
          </w:p>
        </w:tc>
        <w:tc>
          <w:tcPr>
            <w:tcW w:w="709" w:type="dxa"/>
            <w:vAlign w:val="center"/>
          </w:tcPr>
          <w:p w14:paraId="3E55DF21">
            <w:pPr>
              <w:jc w:val="center"/>
              <w:rPr>
                <w:color w:val="FF0000"/>
                <w:sz w:val="18"/>
                <w:szCs w:val="18"/>
              </w:rPr>
            </w:pPr>
            <w:r>
              <w:rPr>
                <w:iCs/>
                <w:sz w:val="18"/>
                <w:szCs w:val="18"/>
              </w:rPr>
              <w:t>1</w:t>
            </w:r>
          </w:p>
        </w:tc>
        <w:tc>
          <w:tcPr>
            <w:tcW w:w="1045" w:type="dxa"/>
            <w:vMerge w:val="continue"/>
            <w:vAlign w:val="center"/>
          </w:tcPr>
          <w:p w14:paraId="63A56C6B">
            <w:pPr>
              <w:jc w:val="center"/>
              <w:rPr>
                <w:color w:val="000000" w:themeColor="text1"/>
                <w:sz w:val="18"/>
                <w:szCs w:val="18"/>
                <w14:textFill>
                  <w14:solidFill>
                    <w14:schemeClr w14:val="tx1"/>
                  </w14:solidFill>
                </w14:textFill>
              </w:rPr>
            </w:pPr>
          </w:p>
        </w:tc>
      </w:tr>
      <w:tr w14:paraId="75D181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5BC695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68622B16">
            <w:pPr>
              <w:jc w:val="center"/>
              <w:rPr>
                <w:b/>
                <w:color w:val="000000" w:themeColor="text1"/>
                <w:sz w:val="18"/>
                <w:szCs w:val="18"/>
                <w14:textFill>
                  <w14:solidFill>
                    <w14:schemeClr w14:val="tx1"/>
                  </w14:solidFill>
                </w14:textFill>
              </w:rPr>
            </w:pPr>
          </w:p>
        </w:tc>
        <w:tc>
          <w:tcPr>
            <w:tcW w:w="1226" w:type="dxa"/>
            <w:vMerge w:val="restart"/>
            <w:vAlign w:val="center"/>
          </w:tcPr>
          <w:p w14:paraId="2745861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6AC0BB5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139" w:type="dxa"/>
            <w:vAlign w:val="center"/>
          </w:tcPr>
          <w:p w14:paraId="5CD7DA44">
            <w:pPr>
              <w:jc w:val="center"/>
              <w:rPr>
                <w:color w:val="000000" w:themeColor="text1"/>
                <w:sz w:val="18"/>
                <w:szCs w:val="18"/>
                <w14:textFill>
                  <w14:solidFill>
                    <w14:schemeClr w14:val="tx1"/>
                  </w14:solidFill>
                </w14:textFill>
              </w:rPr>
            </w:pPr>
          </w:p>
        </w:tc>
        <w:tc>
          <w:tcPr>
            <w:tcW w:w="651" w:type="dxa"/>
            <w:vAlign w:val="center"/>
          </w:tcPr>
          <w:p w14:paraId="0BAC9DED">
            <w:pPr>
              <w:jc w:val="center"/>
              <w:rPr>
                <w:color w:val="000000" w:themeColor="text1"/>
                <w:sz w:val="18"/>
                <w:szCs w:val="18"/>
                <w14:textFill>
                  <w14:solidFill>
                    <w14:schemeClr w14:val="tx1"/>
                  </w14:solidFill>
                </w14:textFill>
              </w:rPr>
            </w:pPr>
          </w:p>
        </w:tc>
        <w:tc>
          <w:tcPr>
            <w:tcW w:w="709" w:type="dxa"/>
            <w:vAlign w:val="center"/>
          </w:tcPr>
          <w:p w14:paraId="2AE1A5A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3E267FE9">
            <w:pPr>
              <w:jc w:val="center"/>
              <w:rPr>
                <w:i/>
                <w:color w:val="FF0000"/>
                <w:sz w:val="18"/>
                <w:szCs w:val="18"/>
              </w:rPr>
            </w:pPr>
          </w:p>
        </w:tc>
      </w:tr>
      <w:tr w14:paraId="2F99D6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7009575">
            <w:pPr>
              <w:jc w:val="center"/>
              <w:rPr>
                <w:b/>
                <w:color w:val="000000" w:themeColor="text1"/>
                <w:sz w:val="18"/>
                <w:szCs w:val="18"/>
                <w14:textFill>
                  <w14:solidFill>
                    <w14:schemeClr w14:val="tx1"/>
                  </w14:solidFill>
                </w14:textFill>
              </w:rPr>
            </w:pPr>
          </w:p>
        </w:tc>
        <w:tc>
          <w:tcPr>
            <w:tcW w:w="1226" w:type="dxa"/>
            <w:vMerge w:val="continue"/>
            <w:vAlign w:val="center"/>
          </w:tcPr>
          <w:p w14:paraId="21E38286">
            <w:pPr>
              <w:jc w:val="center"/>
              <w:rPr>
                <w:b/>
                <w:color w:val="000000" w:themeColor="text1"/>
                <w:sz w:val="18"/>
                <w:szCs w:val="18"/>
                <w14:textFill>
                  <w14:solidFill>
                    <w14:schemeClr w14:val="tx1"/>
                  </w14:solidFill>
                </w14:textFill>
              </w:rPr>
            </w:pPr>
          </w:p>
        </w:tc>
        <w:tc>
          <w:tcPr>
            <w:tcW w:w="3516" w:type="dxa"/>
            <w:vAlign w:val="center"/>
          </w:tcPr>
          <w:p w14:paraId="235A502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139" w:type="dxa"/>
            <w:vAlign w:val="center"/>
          </w:tcPr>
          <w:p w14:paraId="3DCF6F98">
            <w:pPr>
              <w:jc w:val="center"/>
              <w:rPr>
                <w:color w:val="000000" w:themeColor="text1"/>
                <w:sz w:val="18"/>
                <w:szCs w:val="18"/>
                <w14:textFill>
                  <w14:solidFill>
                    <w14:schemeClr w14:val="tx1"/>
                  </w14:solidFill>
                </w14:textFill>
              </w:rPr>
            </w:pPr>
          </w:p>
        </w:tc>
        <w:tc>
          <w:tcPr>
            <w:tcW w:w="651" w:type="dxa"/>
            <w:vAlign w:val="center"/>
          </w:tcPr>
          <w:p w14:paraId="555F6509">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1A647BC8">
            <w:pPr>
              <w:jc w:val="center"/>
              <w:rPr>
                <w:color w:val="000000" w:themeColor="text1"/>
                <w:sz w:val="18"/>
                <w:szCs w:val="18"/>
                <w14:textFill>
                  <w14:solidFill>
                    <w14:schemeClr w14:val="tx1"/>
                  </w14:solidFill>
                </w14:textFill>
              </w:rPr>
            </w:pPr>
          </w:p>
        </w:tc>
        <w:tc>
          <w:tcPr>
            <w:tcW w:w="1045" w:type="dxa"/>
            <w:vMerge w:val="continue"/>
            <w:vAlign w:val="center"/>
          </w:tcPr>
          <w:p w14:paraId="5BF64154">
            <w:pPr>
              <w:jc w:val="center"/>
              <w:rPr>
                <w:color w:val="000000" w:themeColor="text1"/>
                <w:sz w:val="18"/>
                <w:szCs w:val="18"/>
                <w14:textFill>
                  <w14:solidFill>
                    <w14:schemeClr w14:val="tx1"/>
                  </w14:solidFill>
                </w14:textFill>
              </w:rPr>
            </w:pPr>
          </w:p>
        </w:tc>
      </w:tr>
      <w:tr w14:paraId="6CEE81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58D7BE">
            <w:pPr>
              <w:rPr>
                <w:b/>
                <w:color w:val="000000" w:themeColor="text1"/>
                <w:sz w:val="18"/>
                <w:szCs w:val="18"/>
                <w14:textFill>
                  <w14:solidFill>
                    <w14:schemeClr w14:val="tx1"/>
                  </w14:solidFill>
                </w14:textFill>
              </w:rPr>
            </w:pPr>
          </w:p>
        </w:tc>
        <w:tc>
          <w:tcPr>
            <w:tcW w:w="1226" w:type="dxa"/>
            <w:vMerge w:val="restart"/>
            <w:vAlign w:val="center"/>
          </w:tcPr>
          <w:p w14:paraId="10EFB86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31F2310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139" w:type="dxa"/>
            <w:vAlign w:val="center"/>
          </w:tcPr>
          <w:p w14:paraId="3849E7E3">
            <w:pPr>
              <w:jc w:val="center"/>
              <w:rPr>
                <w:color w:val="000000" w:themeColor="text1"/>
                <w:sz w:val="18"/>
                <w:szCs w:val="18"/>
                <w14:textFill>
                  <w14:solidFill>
                    <w14:schemeClr w14:val="tx1"/>
                  </w14:solidFill>
                </w14:textFill>
              </w:rPr>
            </w:pPr>
          </w:p>
        </w:tc>
        <w:tc>
          <w:tcPr>
            <w:tcW w:w="651" w:type="dxa"/>
            <w:vAlign w:val="center"/>
          </w:tcPr>
          <w:p w14:paraId="37580D9F">
            <w:pPr>
              <w:jc w:val="center"/>
              <w:rPr>
                <w:color w:val="000000" w:themeColor="text1"/>
                <w:sz w:val="18"/>
                <w:szCs w:val="18"/>
                <w14:textFill>
                  <w14:solidFill>
                    <w14:schemeClr w14:val="tx1"/>
                  </w14:solidFill>
                </w14:textFill>
              </w:rPr>
            </w:pPr>
          </w:p>
        </w:tc>
        <w:tc>
          <w:tcPr>
            <w:tcW w:w="709" w:type="dxa"/>
            <w:vAlign w:val="center"/>
          </w:tcPr>
          <w:p w14:paraId="70E3E6F2">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3-5</w:t>
            </w:r>
          </w:p>
        </w:tc>
        <w:tc>
          <w:tcPr>
            <w:tcW w:w="1045" w:type="dxa"/>
            <w:vMerge w:val="restart"/>
            <w:vAlign w:val="center"/>
          </w:tcPr>
          <w:p w14:paraId="2503D39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A474C2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07753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A02A87">
            <w:pPr>
              <w:rPr>
                <w:b/>
                <w:color w:val="000000" w:themeColor="text1"/>
                <w:sz w:val="18"/>
                <w:szCs w:val="18"/>
                <w14:textFill>
                  <w14:solidFill>
                    <w14:schemeClr w14:val="tx1"/>
                  </w14:solidFill>
                </w14:textFill>
              </w:rPr>
            </w:pPr>
          </w:p>
        </w:tc>
        <w:tc>
          <w:tcPr>
            <w:tcW w:w="1226" w:type="dxa"/>
            <w:vMerge w:val="continue"/>
            <w:vAlign w:val="center"/>
          </w:tcPr>
          <w:p w14:paraId="1122D32B">
            <w:pPr>
              <w:jc w:val="center"/>
              <w:rPr>
                <w:b/>
                <w:color w:val="000000" w:themeColor="text1"/>
                <w:sz w:val="18"/>
                <w:szCs w:val="18"/>
                <w14:textFill>
                  <w14:solidFill>
                    <w14:schemeClr w14:val="tx1"/>
                  </w14:solidFill>
                </w14:textFill>
              </w:rPr>
            </w:pPr>
          </w:p>
        </w:tc>
        <w:tc>
          <w:tcPr>
            <w:tcW w:w="3516" w:type="dxa"/>
            <w:vAlign w:val="center"/>
          </w:tcPr>
          <w:p w14:paraId="75236CA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139" w:type="dxa"/>
            <w:vAlign w:val="center"/>
          </w:tcPr>
          <w:p w14:paraId="1C97ADC2">
            <w:pPr>
              <w:jc w:val="center"/>
              <w:rPr>
                <w:color w:val="000000" w:themeColor="text1"/>
                <w:sz w:val="18"/>
                <w:szCs w:val="18"/>
                <w14:textFill>
                  <w14:solidFill>
                    <w14:schemeClr w14:val="tx1"/>
                  </w14:solidFill>
                </w14:textFill>
              </w:rPr>
            </w:pPr>
          </w:p>
        </w:tc>
        <w:tc>
          <w:tcPr>
            <w:tcW w:w="651" w:type="dxa"/>
            <w:vAlign w:val="center"/>
          </w:tcPr>
          <w:p w14:paraId="26A49397">
            <w:pPr>
              <w:jc w:val="center"/>
              <w:rPr>
                <w:color w:val="000000" w:themeColor="text1"/>
                <w:sz w:val="18"/>
                <w:szCs w:val="18"/>
                <w14:textFill>
                  <w14:solidFill>
                    <w14:schemeClr w14:val="tx1"/>
                  </w14:solidFill>
                </w14:textFill>
              </w:rPr>
            </w:pPr>
          </w:p>
        </w:tc>
        <w:tc>
          <w:tcPr>
            <w:tcW w:w="709" w:type="dxa"/>
            <w:vAlign w:val="center"/>
          </w:tcPr>
          <w:p w14:paraId="3DFBDEBD">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4-6</w:t>
            </w:r>
          </w:p>
        </w:tc>
        <w:tc>
          <w:tcPr>
            <w:tcW w:w="1045" w:type="dxa"/>
            <w:vMerge w:val="continue"/>
            <w:vAlign w:val="center"/>
          </w:tcPr>
          <w:p w14:paraId="280E342E">
            <w:pPr>
              <w:jc w:val="center"/>
              <w:rPr>
                <w:color w:val="000000" w:themeColor="text1"/>
                <w:sz w:val="18"/>
                <w:szCs w:val="18"/>
                <w14:textFill>
                  <w14:solidFill>
                    <w14:schemeClr w14:val="tx1"/>
                  </w14:solidFill>
                </w14:textFill>
              </w:rPr>
            </w:pPr>
          </w:p>
        </w:tc>
      </w:tr>
      <w:tr w14:paraId="605DBC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0A5624">
            <w:pPr>
              <w:rPr>
                <w:b/>
                <w:color w:val="000000" w:themeColor="text1"/>
                <w:sz w:val="18"/>
                <w:szCs w:val="18"/>
                <w14:textFill>
                  <w14:solidFill>
                    <w14:schemeClr w14:val="tx1"/>
                  </w14:solidFill>
                </w14:textFill>
              </w:rPr>
            </w:pPr>
          </w:p>
        </w:tc>
        <w:tc>
          <w:tcPr>
            <w:tcW w:w="1226" w:type="dxa"/>
            <w:vMerge w:val="continue"/>
            <w:vAlign w:val="center"/>
          </w:tcPr>
          <w:p w14:paraId="577E98C2">
            <w:pPr>
              <w:jc w:val="center"/>
              <w:rPr>
                <w:b/>
                <w:color w:val="000000" w:themeColor="text1"/>
                <w:sz w:val="18"/>
                <w:szCs w:val="18"/>
                <w14:textFill>
                  <w14:solidFill>
                    <w14:schemeClr w14:val="tx1"/>
                  </w14:solidFill>
                </w14:textFill>
              </w:rPr>
            </w:pPr>
          </w:p>
        </w:tc>
        <w:tc>
          <w:tcPr>
            <w:tcW w:w="3516" w:type="dxa"/>
            <w:vAlign w:val="center"/>
          </w:tcPr>
          <w:p w14:paraId="263855E5">
            <w:pPr>
              <w:rPr>
                <w:sz w:val="18"/>
                <w:szCs w:val="18"/>
              </w:rPr>
            </w:pPr>
            <w:r>
              <w:rPr>
                <w:sz w:val="18"/>
                <w:szCs w:val="18"/>
              </w:rPr>
              <w:t>论文中期进展报告</w:t>
            </w:r>
          </w:p>
        </w:tc>
        <w:tc>
          <w:tcPr>
            <w:tcW w:w="1139" w:type="dxa"/>
            <w:vAlign w:val="center"/>
          </w:tcPr>
          <w:p w14:paraId="1430894C">
            <w:pPr>
              <w:jc w:val="center"/>
              <w:rPr>
                <w:color w:val="000000" w:themeColor="text1"/>
                <w:sz w:val="18"/>
                <w:szCs w:val="18"/>
                <w14:textFill>
                  <w14:solidFill>
                    <w14:schemeClr w14:val="tx1"/>
                  </w14:solidFill>
                </w14:textFill>
              </w:rPr>
            </w:pPr>
          </w:p>
        </w:tc>
        <w:tc>
          <w:tcPr>
            <w:tcW w:w="651" w:type="dxa"/>
            <w:vAlign w:val="center"/>
          </w:tcPr>
          <w:p w14:paraId="262C1A59">
            <w:pPr>
              <w:jc w:val="center"/>
              <w:rPr>
                <w:color w:val="000000" w:themeColor="text1"/>
                <w:sz w:val="18"/>
                <w:szCs w:val="18"/>
                <w14:textFill>
                  <w14:solidFill>
                    <w14:schemeClr w14:val="tx1"/>
                  </w14:solidFill>
                </w14:textFill>
              </w:rPr>
            </w:pPr>
          </w:p>
        </w:tc>
        <w:tc>
          <w:tcPr>
            <w:tcW w:w="709" w:type="dxa"/>
            <w:vAlign w:val="center"/>
          </w:tcPr>
          <w:p w14:paraId="25D15E2C">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6-7</w:t>
            </w:r>
          </w:p>
        </w:tc>
        <w:tc>
          <w:tcPr>
            <w:tcW w:w="1045" w:type="dxa"/>
            <w:vMerge w:val="continue"/>
          </w:tcPr>
          <w:p w14:paraId="099A50F2">
            <w:pPr>
              <w:jc w:val="center"/>
              <w:rPr>
                <w:color w:val="000000" w:themeColor="text1"/>
                <w:sz w:val="18"/>
                <w:szCs w:val="18"/>
                <w14:textFill>
                  <w14:solidFill>
                    <w14:schemeClr w14:val="tx1"/>
                  </w14:solidFill>
                </w14:textFill>
              </w:rPr>
            </w:pPr>
          </w:p>
        </w:tc>
      </w:tr>
      <w:tr w14:paraId="0D183A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7CF06C7">
            <w:pPr>
              <w:rPr>
                <w:b/>
                <w:color w:val="000000" w:themeColor="text1"/>
                <w:sz w:val="18"/>
                <w:szCs w:val="18"/>
                <w14:textFill>
                  <w14:solidFill>
                    <w14:schemeClr w14:val="tx1"/>
                  </w14:solidFill>
                </w14:textFill>
              </w:rPr>
            </w:pPr>
          </w:p>
        </w:tc>
        <w:tc>
          <w:tcPr>
            <w:tcW w:w="1226" w:type="dxa"/>
            <w:vMerge w:val="continue"/>
            <w:vAlign w:val="center"/>
          </w:tcPr>
          <w:p w14:paraId="09911806">
            <w:pPr>
              <w:jc w:val="center"/>
              <w:rPr>
                <w:b/>
                <w:color w:val="000000" w:themeColor="text1"/>
                <w:sz w:val="18"/>
                <w:szCs w:val="18"/>
                <w14:textFill>
                  <w14:solidFill>
                    <w14:schemeClr w14:val="tx1"/>
                  </w14:solidFill>
                </w14:textFill>
              </w:rPr>
            </w:pPr>
          </w:p>
        </w:tc>
        <w:tc>
          <w:tcPr>
            <w:tcW w:w="3516" w:type="dxa"/>
            <w:vAlign w:val="center"/>
          </w:tcPr>
          <w:p w14:paraId="5D0C558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139" w:type="dxa"/>
            <w:vAlign w:val="center"/>
          </w:tcPr>
          <w:p w14:paraId="34F54145">
            <w:pPr>
              <w:jc w:val="center"/>
              <w:rPr>
                <w:color w:val="000000" w:themeColor="text1"/>
                <w:sz w:val="18"/>
                <w:szCs w:val="18"/>
                <w14:textFill>
                  <w14:solidFill>
                    <w14:schemeClr w14:val="tx1"/>
                  </w14:solidFill>
                </w14:textFill>
              </w:rPr>
            </w:pPr>
          </w:p>
        </w:tc>
        <w:tc>
          <w:tcPr>
            <w:tcW w:w="651" w:type="dxa"/>
            <w:vAlign w:val="center"/>
          </w:tcPr>
          <w:p w14:paraId="27A3DC7B">
            <w:pPr>
              <w:jc w:val="center"/>
              <w:rPr>
                <w:color w:val="000000" w:themeColor="text1"/>
                <w:sz w:val="18"/>
                <w:szCs w:val="18"/>
                <w14:textFill>
                  <w14:solidFill>
                    <w14:schemeClr w14:val="tx1"/>
                  </w14:solidFill>
                </w14:textFill>
              </w:rPr>
            </w:pPr>
          </w:p>
        </w:tc>
        <w:tc>
          <w:tcPr>
            <w:tcW w:w="709" w:type="dxa"/>
            <w:vAlign w:val="center"/>
          </w:tcPr>
          <w:p w14:paraId="483F65EB">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8</w:t>
            </w:r>
          </w:p>
        </w:tc>
        <w:tc>
          <w:tcPr>
            <w:tcW w:w="1045" w:type="dxa"/>
            <w:vMerge w:val="continue"/>
          </w:tcPr>
          <w:p w14:paraId="61F6DBB7">
            <w:pPr>
              <w:jc w:val="center"/>
              <w:rPr>
                <w:color w:val="000000" w:themeColor="text1"/>
                <w:sz w:val="18"/>
                <w:szCs w:val="18"/>
                <w14:textFill>
                  <w14:solidFill>
                    <w14:schemeClr w14:val="tx1"/>
                  </w14:solidFill>
                </w14:textFill>
              </w:rPr>
            </w:pPr>
          </w:p>
        </w:tc>
      </w:tr>
      <w:tr w14:paraId="7DDA88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6D8146">
            <w:pPr>
              <w:rPr>
                <w:color w:val="000000" w:themeColor="text1"/>
                <w:sz w:val="18"/>
                <w:szCs w:val="18"/>
                <w14:textFill>
                  <w14:solidFill>
                    <w14:schemeClr w14:val="tx1"/>
                  </w14:solidFill>
                </w14:textFill>
              </w:rPr>
            </w:pPr>
          </w:p>
        </w:tc>
        <w:tc>
          <w:tcPr>
            <w:tcW w:w="1226" w:type="dxa"/>
            <w:vMerge w:val="continue"/>
          </w:tcPr>
          <w:p w14:paraId="48A9B436">
            <w:pPr>
              <w:jc w:val="center"/>
              <w:rPr>
                <w:color w:val="000000" w:themeColor="text1"/>
                <w:sz w:val="18"/>
                <w:szCs w:val="18"/>
                <w14:textFill>
                  <w14:solidFill>
                    <w14:schemeClr w14:val="tx1"/>
                  </w14:solidFill>
                </w14:textFill>
              </w:rPr>
            </w:pPr>
          </w:p>
        </w:tc>
        <w:tc>
          <w:tcPr>
            <w:tcW w:w="3516" w:type="dxa"/>
            <w:vAlign w:val="center"/>
          </w:tcPr>
          <w:p w14:paraId="2CAF066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139" w:type="dxa"/>
            <w:vAlign w:val="center"/>
          </w:tcPr>
          <w:p w14:paraId="35183F03">
            <w:pPr>
              <w:jc w:val="center"/>
              <w:rPr>
                <w:color w:val="000000" w:themeColor="text1"/>
                <w:sz w:val="18"/>
                <w:szCs w:val="18"/>
                <w14:textFill>
                  <w14:solidFill>
                    <w14:schemeClr w14:val="tx1"/>
                  </w14:solidFill>
                </w14:textFill>
              </w:rPr>
            </w:pPr>
          </w:p>
        </w:tc>
        <w:tc>
          <w:tcPr>
            <w:tcW w:w="651" w:type="dxa"/>
            <w:vAlign w:val="center"/>
          </w:tcPr>
          <w:p w14:paraId="15D34AC3">
            <w:pPr>
              <w:jc w:val="center"/>
              <w:rPr>
                <w:color w:val="000000" w:themeColor="text1"/>
                <w:sz w:val="18"/>
                <w:szCs w:val="18"/>
                <w14:textFill>
                  <w14:solidFill>
                    <w14:schemeClr w14:val="tx1"/>
                  </w14:solidFill>
                </w14:textFill>
              </w:rPr>
            </w:pPr>
          </w:p>
        </w:tc>
        <w:tc>
          <w:tcPr>
            <w:tcW w:w="709" w:type="dxa"/>
            <w:vAlign w:val="center"/>
          </w:tcPr>
          <w:p w14:paraId="3EE1998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0F689487">
            <w:pPr>
              <w:jc w:val="center"/>
              <w:rPr>
                <w:color w:val="000000" w:themeColor="text1"/>
                <w:sz w:val="18"/>
                <w:szCs w:val="18"/>
                <w14:textFill>
                  <w14:solidFill>
                    <w14:schemeClr w14:val="tx1"/>
                  </w14:solidFill>
                </w14:textFill>
              </w:rPr>
            </w:pPr>
          </w:p>
        </w:tc>
      </w:tr>
      <w:tr w14:paraId="6AF748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5BDE21">
            <w:pPr>
              <w:rPr>
                <w:color w:val="000000" w:themeColor="text1"/>
                <w:sz w:val="18"/>
                <w:szCs w:val="18"/>
                <w14:textFill>
                  <w14:solidFill>
                    <w14:schemeClr w14:val="tx1"/>
                  </w14:solidFill>
                </w14:textFill>
              </w:rPr>
            </w:pPr>
          </w:p>
        </w:tc>
        <w:tc>
          <w:tcPr>
            <w:tcW w:w="1226" w:type="dxa"/>
            <w:vMerge w:val="continue"/>
          </w:tcPr>
          <w:p w14:paraId="545E64A6">
            <w:pPr>
              <w:jc w:val="center"/>
              <w:rPr>
                <w:color w:val="000000" w:themeColor="text1"/>
                <w:sz w:val="18"/>
                <w:szCs w:val="18"/>
                <w14:textFill>
                  <w14:solidFill>
                    <w14:schemeClr w14:val="tx1"/>
                  </w14:solidFill>
                </w14:textFill>
              </w:rPr>
            </w:pPr>
          </w:p>
        </w:tc>
        <w:tc>
          <w:tcPr>
            <w:tcW w:w="3516" w:type="dxa"/>
            <w:vAlign w:val="center"/>
          </w:tcPr>
          <w:p w14:paraId="5C75171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139" w:type="dxa"/>
            <w:vAlign w:val="center"/>
          </w:tcPr>
          <w:p w14:paraId="0CD1B0B9">
            <w:pPr>
              <w:jc w:val="center"/>
              <w:rPr>
                <w:color w:val="000000" w:themeColor="text1"/>
                <w:sz w:val="18"/>
                <w:szCs w:val="18"/>
                <w14:textFill>
                  <w14:solidFill>
                    <w14:schemeClr w14:val="tx1"/>
                  </w14:solidFill>
                </w14:textFill>
              </w:rPr>
            </w:pPr>
          </w:p>
        </w:tc>
        <w:tc>
          <w:tcPr>
            <w:tcW w:w="651" w:type="dxa"/>
            <w:vAlign w:val="center"/>
          </w:tcPr>
          <w:p w14:paraId="39801E10">
            <w:pPr>
              <w:jc w:val="center"/>
              <w:rPr>
                <w:color w:val="000000" w:themeColor="text1"/>
                <w:sz w:val="18"/>
                <w:szCs w:val="18"/>
                <w14:textFill>
                  <w14:solidFill>
                    <w14:schemeClr w14:val="tx1"/>
                  </w14:solidFill>
                </w14:textFill>
              </w:rPr>
            </w:pPr>
          </w:p>
        </w:tc>
        <w:tc>
          <w:tcPr>
            <w:tcW w:w="709" w:type="dxa"/>
            <w:vAlign w:val="center"/>
          </w:tcPr>
          <w:p w14:paraId="7C3EAC8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5A51C634">
            <w:pPr>
              <w:jc w:val="center"/>
              <w:rPr>
                <w:color w:val="000000" w:themeColor="text1"/>
                <w:sz w:val="18"/>
                <w:szCs w:val="18"/>
                <w14:textFill>
                  <w14:solidFill>
                    <w14:schemeClr w14:val="tx1"/>
                  </w14:solidFill>
                </w14:textFill>
              </w:rPr>
            </w:pPr>
          </w:p>
        </w:tc>
      </w:tr>
    </w:tbl>
    <w:p w14:paraId="6BC75607">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8133394">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543B950">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58CD3445">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44D8B7C">
      <w:pPr>
        <w:ind w:left="321" w:leftChars="153" w:right="227"/>
        <w:jc w:val="center"/>
        <w:rPr>
          <w:rFonts w:eastAsia="黑体"/>
          <w:b/>
          <w:bCs/>
          <w:i/>
          <w:color w:val="FF0000"/>
          <w:sz w:val="36"/>
          <w:szCs w:val="36"/>
          <w:u w:val="single"/>
        </w:rPr>
      </w:pPr>
    </w:p>
    <w:p w14:paraId="47B1B279">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743F15"/>
    <w:multiLevelType w:val="singleLevel"/>
    <w:tmpl w:val="A8743F15"/>
    <w:lvl w:ilvl="0" w:tentative="0">
      <w:start w:val="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F71A11"/>
    <w:rsid w:val="062F65B0"/>
    <w:rsid w:val="1FE96C05"/>
    <w:rsid w:val="219B37CA"/>
    <w:rsid w:val="32B80DB2"/>
    <w:rsid w:val="339920D8"/>
    <w:rsid w:val="350902DA"/>
    <w:rsid w:val="362B2272"/>
    <w:rsid w:val="3F3C12AC"/>
    <w:rsid w:val="43B43058"/>
    <w:rsid w:val="46696286"/>
    <w:rsid w:val="5385202A"/>
    <w:rsid w:val="6253611E"/>
    <w:rsid w:val="75F57C6B"/>
    <w:rsid w:val="7A553B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3496</Words>
  <Characters>3741</Characters>
  <Lines>137</Lines>
  <Paragraphs>38</Paragraphs>
  <TotalTime>2</TotalTime>
  <ScaleCrop>false</ScaleCrop>
  <LinksUpToDate>false</LinksUpToDate>
  <CharactersWithSpaces>3761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2025-03-05T14:47:00Z</dcterms:created>
  <dc:creator>刘明旭</dc:creator>
  <cp:lastModifiedBy>送送</cp:lastModifiedBy>
  <cp:lastPrinted>2025-03-14T11:17:00Z</cp:lastPrinted>
  <dcterms:modified xsi:type="dcterms:W3CDTF">2025-07-11T10:17:19Z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FAE7A1B22AAC44899AB1266E195E99E3_12</vt:lpwstr>
  </property>
</Properties>
</file>