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B2617">
      <w:pPr>
        <w:spacing w:before="100" w:beforeAutospacing="1" w:after="100" w:afterAutospacing="1" w:line="360" w:lineRule="auto"/>
        <w:ind w:left="321" w:leftChars="153" w:right="227"/>
        <w:jc w:val="center"/>
        <w:rPr>
          <w:rFonts w:eastAsia="黑体"/>
          <w:b/>
          <w:bCs/>
          <w:color w:val="000000" w:themeColor="text1"/>
          <w:sz w:val="36"/>
          <w:szCs w:val="36"/>
          <w14:textFill>
            <w14:solidFill>
              <w14:schemeClr w14:val="tx1"/>
            </w14:solidFill>
          </w14:textFill>
        </w:rPr>
      </w:pPr>
      <w:r>
        <w:rPr>
          <w:rFonts w:eastAsia="黑体"/>
          <w:b/>
          <w:bCs/>
          <w:color w:val="000000" w:themeColor="text1"/>
          <w:sz w:val="36"/>
          <w:szCs w:val="36"/>
          <w14:textFill>
            <w14:solidFill>
              <w14:schemeClr w14:val="tx1"/>
            </w14:solidFill>
          </w14:textFill>
        </w:rPr>
        <w:t>旅游管理专业学术学位硕士研究生培养方案</w:t>
      </w:r>
    </w:p>
    <w:p w14:paraId="5D0305E4">
      <w:pPr>
        <w:spacing w:before="100" w:beforeAutospacing="1" w:after="100" w:afterAutospacing="1" w:line="360" w:lineRule="auto"/>
        <w:ind w:left="321" w:leftChars="153" w:right="227"/>
        <w:jc w:val="center"/>
        <w:rPr>
          <w:rFonts w:eastAsia="黑体"/>
          <w:b/>
          <w:bCs/>
          <w:color w:val="000000" w:themeColor="text1"/>
          <w:sz w:val="28"/>
          <w:szCs w:val="28"/>
          <w14:textFill>
            <w14:solidFill>
              <w14:schemeClr w14:val="tx1"/>
            </w14:solidFill>
          </w14:textFill>
        </w:rPr>
      </w:pPr>
      <w:r>
        <w:rPr>
          <w:rFonts w:eastAsia="黑体"/>
          <w:b/>
          <w:bCs/>
          <w:color w:val="000000" w:themeColor="text1"/>
          <w:sz w:val="28"/>
          <w:szCs w:val="28"/>
          <w14:textFill>
            <w14:solidFill>
              <w14:schemeClr w14:val="tx1"/>
            </w14:solidFill>
          </w14:textFill>
        </w:rPr>
        <w:t>（管理学院)</w:t>
      </w:r>
    </w:p>
    <w:p w14:paraId="541CB8DF">
      <w:pPr>
        <w:spacing w:line="360" w:lineRule="auto"/>
        <w:ind w:firstLine="561"/>
        <w:rPr>
          <w:rFonts w:eastAsia="黑体"/>
          <w:bCs/>
          <w:sz w:val="28"/>
          <w:szCs w:val="28"/>
        </w:rPr>
      </w:pPr>
      <w:r>
        <w:rPr>
          <w:rFonts w:eastAsia="黑体"/>
          <w:bCs/>
          <w:sz w:val="28"/>
          <w:szCs w:val="28"/>
        </w:rPr>
        <w:t>一、专业名称、代码</w:t>
      </w:r>
    </w:p>
    <w:p w14:paraId="25A91AD7">
      <w:pPr>
        <w:widowControl/>
        <w:spacing w:line="360" w:lineRule="auto"/>
        <w:ind w:firstLine="960" w:firstLineChars="400"/>
        <w:rPr>
          <w:color w:val="222222"/>
          <w:kern w:val="0"/>
          <w:sz w:val="18"/>
          <w:szCs w:val="18"/>
        </w:rPr>
      </w:pPr>
      <w:r>
        <w:rPr>
          <w:color w:val="222222"/>
          <w:kern w:val="0"/>
          <w:sz w:val="24"/>
        </w:rPr>
        <w:t>专业名称：旅游管理</w:t>
      </w:r>
    </w:p>
    <w:p w14:paraId="6BD8D2EB">
      <w:pPr>
        <w:widowControl/>
        <w:spacing w:line="360" w:lineRule="auto"/>
        <w:ind w:firstLine="960" w:firstLineChars="400"/>
        <w:rPr>
          <w:color w:val="222222"/>
          <w:kern w:val="0"/>
          <w:sz w:val="18"/>
          <w:szCs w:val="18"/>
        </w:rPr>
      </w:pPr>
      <w:r>
        <w:rPr>
          <w:color w:val="222222"/>
          <w:kern w:val="0"/>
          <w:sz w:val="24"/>
        </w:rPr>
        <w:t>专业代码：</w:t>
      </w:r>
      <w:r>
        <w:rPr>
          <w:rFonts w:hint="eastAsia"/>
          <w:color w:val="222222"/>
          <w:kern w:val="0"/>
          <w:sz w:val="24"/>
        </w:rPr>
        <w:t>120203</w:t>
      </w:r>
    </w:p>
    <w:p w14:paraId="17346027">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584DFB22">
      <w:pPr>
        <w:autoSpaceDE w:val="0"/>
        <w:autoSpaceDN w:val="0"/>
        <w:adjustRightInd w:val="0"/>
        <w:spacing w:line="360" w:lineRule="auto"/>
        <w:ind w:firstLine="480" w:firstLineChars="200"/>
        <w:rPr>
          <w:rFonts w:ascii="宋体" w:hAnsi="宋体"/>
          <w:iCs/>
          <w:sz w:val="24"/>
        </w:rPr>
      </w:pPr>
      <w:r>
        <w:rPr>
          <w:rFonts w:hint="eastAsia" w:ascii="宋体" w:hAnsi="宋体"/>
          <w:iCs/>
          <w:sz w:val="24"/>
        </w:rPr>
        <w:t>旅游管理所属学科门类为管理学，是</w:t>
      </w:r>
      <w:r>
        <w:rPr>
          <w:rFonts w:hint="eastAsia" w:ascii="宋体" w:hAnsi="宋体"/>
          <w:sz w:val="24"/>
        </w:rPr>
        <w:t>工商管理一级学科下设的二级学科</w:t>
      </w:r>
      <w:r>
        <w:rPr>
          <w:rFonts w:hint="eastAsia" w:ascii="宋体" w:hAnsi="宋体"/>
          <w:iCs/>
          <w:sz w:val="24"/>
        </w:rPr>
        <w:t>。旅游管理是研究人类闲暇时空流动的发生、响应和效应及其规律的一门学科，其研究对象是人类因追求美好生活而发生的时空流动及其引起的各种社会、经济、文化和环境现象的综合。河北大学旅游管理专业已有</w:t>
      </w:r>
      <w:r>
        <w:rPr>
          <w:iCs/>
          <w:sz w:val="24"/>
        </w:rPr>
        <w:t>30</w:t>
      </w:r>
      <w:r>
        <w:rPr>
          <w:rFonts w:hint="eastAsia" w:ascii="宋体" w:hAnsi="宋体"/>
          <w:iCs/>
          <w:sz w:val="24"/>
        </w:rPr>
        <w:t>余年的发展历史，人才培养质量保持稳定，科研实力和影响力不断增强，社会服务成绩显著，在河北省和京津冀地区具有较高影响力。</w:t>
      </w:r>
      <w:r>
        <w:rPr>
          <w:rFonts w:hint="eastAsia" w:ascii="宋体" w:hAnsi="宋体"/>
          <w:sz w:val="24"/>
        </w:rPr>
        <w:t>本专业立足旅游管理学科特点，运用</w:t>
      </w:r>
      <w:r>
        <w:rPr>
          <w:rFonts w:hint="eastAsia" w:ascii="宋体" w:hAnsi="宋体"/>
          <w:color w:val="000000" w:themeColor="text1"/>
          <w:sz w:val="24"/>
          <w14:textFill>
            <w14:solidFill>
              <w14:schemeClr w14:val="tx1"/>
            </w14:solidFill>
          </w14:textFill>
        </w:rPr>
        <w:t>管理学、规划学、文化学、信息科学</w:t>
      </w:r>
      <w:r>
        <w:rPr>
          <w:rFonts w:hint="eastAsia" w:ascii="宋体" w:hAnsi="宋体"/>
          <w:sz w:val="24"/>
        </w:rPr>
        <w:t>等领域的前沿理论和方法，研究旅游行业发展实践，积极服务京津冀协同发展、雄安新区规划建设、乡村振兴等重大国家战略，在旅游企业管理、旅游规划与乡村振兴、智慧旅游与科技应用等方向形成了自身的研究优势与特色。</w:t>
      </w:r>
    </w:p>
    <w:p w14:paraId="273A9561">
      <w:pPr>
        <w:spacing w:line="360" w:lineRule="auto"/>
        <w:ind w:firstLine="560" w:firstLineChars="200"/>
        <w:rPr>
          <w:rFonts w:eastAsia="黑体"/>
          <w:bCs/>
          <w:sz w:val="28"/>
          <w:szCs w:val="28"/>
        </w:rPr>
      </w:pPr>
      <w:r>
        <w:rPr>
          <w:rFonts w:eastAsia="黑体"/>
          <w:bCs/>
          <w:sz w:val="28"/>
          <w:szCs w:val="28"/>
        </w:rPr>
        <w:t>三、研究方向</w:t>
      </w:r>
    </w:p>
    <w:p w14:paraId="4F9A5EF7">
      <w:pPr>
        <w:spacing w:line="360" w:lineRule="auto"/>
        <w:ind w:firstLine="482"/>
        <w:rPr>
          <w:rFonts w:ascii="宋体" w:hAnsi="宋体"/>
          <w:sz w:val="24"/>
        </w:rPr>
      </w:pPr>
      <w:r>
        <w:rPr>
          <w:iCs/>
          <w:sz w:val="24"/>
        </w:rPr>
        <w:t>1.</w:t>
      </w:r>
      <w:r>
        <w:rPr>
          <w:rFonts w:hint="eastAsia"/>
          <w:iCs/>
          <w:sz w:val="24"/>
        </w:rPr>
        <w:t xml:space="preserve"> </w:t>
      </w:r>
      <w:r>
        <w:rPr>
          <w:rFonts w:hint="eastAsia" w:ascii="宋体" w:hAnsi="宋体"/>
          <w:sz w:val="24"/>
        </w:rPr>
        <w:t>旅游企业管理</w:t>
      </w:r>
    </w:p>
    <w:p w14:paraId="0529E3BF">
      <w:pPr>
        <w:spacing w:line="360" w:lineRule="auto"/>
        <w:ind w:firstLine="482"/>
        <w:rPr>
          <w:rFonts w:ascii="宋体" w:hAnsi="宋体"/>
          <w:sz w:val="24"/>
        </w:rPr>
      </w:pPr>
      <w:r>
        <w:rPr>
          <w:rFonts w:hint="eastAsia" w:ascii="宋体" w:hAnsi="宋体"/>
          <w:sz w:val="24"/>
        </w:rPr>
        <w:t>旅游企业管理方向主要研究旅游饭店、景区、旅行社等为游客提供产品和服务的相关企业，以及目前新兴的旅游共享经济、汽车营地、民宿等相关旅游企业。该研究方向立足旅游企业现实，重点运用管理学基础理论以及国内外先进的旅游管理理论和方法，系统研究旅游企业管理和优质旅游发展，提升旅游企业的核心竞争能力。该方向在授课过程中注重培养学生将相关理论应用于旅游企业管理的技巧和能力，在将基础理论与我国旅游企业发展实践相结合的基础上，洋为中用，融合创新，培养具有创新思维和全球视野、基础理论扎实、专业素养深厚、实践能力突出的旅游管理教学、科研和管理高层次复合型人才。</w:t>
      </w:r>
    </w:p>
    <w:p w14:paraId="73831AEB">
      <w:pPr>
        <w:spacing w:line="360" w:lineRule="auto"/>
        <w:ind w:firstLine="482"/>
        <w:rPr>
          <w:rFonts w:ascii="宋体" w:hAnsi="宋体"/>
          <w:sz w:val="24"/>
        </w:rPr>
      </w:pPr>
      <w:r>
        <w:rPr>
          <w:sz w:val="24"/>
        </w:rPr>
        <w:t>2</w:t>
      </w:r>
      <w:r>
        <w:rPr>
          <w:iCs/>
          <w:sz w:val="24"/>
        </w:rPr>
        <w:t>.</w:t>
      </w:r>
      <w:r>
        <w:rPr>
          <w:rFonts w:hint="eastAsia"/>
          <w:iCs/>
          <w:sz w:val="24"/>
        </w:rPr>
        <w:t xml:space="preserve"> </w:t>
      </w:r>
      <w:r>
        <w:rPr>
          <w:rFonts w:hint="eastAsia" w:ascii="宋体" w:hAnsi="宋体"/>
          <w:sz w:val="24"/>
        </w:rPr>
        <w:t>旅游规划与乡村振兴</w:t>
      </w:r>
    </w:p>
    <w:p w14:paraId="638C3FC9">
      <w:pPr>
        <w:spacing w:line="360" w:lineRule="auto"/>
        <w:ind w:firstLine="482"/>
        <w:rPr>
          <w:rFonts w:ascii="宋体" w:hAnsi="宋体"/>
          <w:sz w:val="24"/>
        </w:rPr>
      </w:pPr>
      <w:r>
        <w:rPr>
          <w:rFonts w:hint="eastAsia" w:ascii="宋体" w:hAnsi="宋体"/>
          <w:sz w:val="24"/>
        </w:rPr>
        <w:t>近年来我国非常重视旅游发展规划编制，在硕士培养层次加强旅游规划能力也是众多院校研究方向之一。该方向致力于培养一批熟练掌握地理学、规划学、文化学等相关理论，熟练掌握规划原则和规划文本设计理念，拥有跨学科的知识结构，具备旅游规划与设计、项目策划与管理、文化创意与创新、数字化应用与实践等多方面能力，能够胜任旅游规划领域多种工作岗位的高素质人才。该方向的研究特色是将旅游规划理论研究与编制实践相结合，积极服务乡村振兴国家战略，以旅游规划引领乡村地区旅游资源开发，助力乡村地区旅游业高质量发展，在此过程中实现学生旅游规划理论水平与实践能力的双向提升。</w:t>
      </w:r>
    </w:p>
    <w:p w14:paraId="0EC0A121">
      <w:pPr>
        <w:spacing w:line="360" w:lineRule="auto"/>
        <w:ind w:firstLine="482"/>
        <w:rPr>
          <w:rFonts w:ascii="宋体" w:hAnsi="宋体"/>
          <w:sz w:val="24"/>
        </w:rPr>
      </w:pPr>
      <w:r>
        <w:rPr>
          <w:sz w:val="24"/>
        </w:rPr>
        <w:t>3</w:t>
      </w:r>
      <w:r>
        <w:rPr>
          <w:iCs/>
          <w:sz w:val="24"/>
        </w:rPr>
        <w:t>.</w:t>
      </w:r>
      <w:r>
        <w:rPr>
          <w:rFonts w:hint="eastAsia"/>
          <w:iCs/>
          <w:sz w:val="24"/>
        </w:rPr>
        <w:t xml:space="preserve"> </w:t>
      </w:r>
      <w:r>
        <w:rPr>
          <w:rFonts w:hint="eastAsia" w:ascii="宋体" w:hAnsi="宋体"/>
          <w:sz w:val="24"/>
        </w:rPr>
        <w:t>智慧旅游与科技应用</w:t>
      </w:r>
    </w:p>
    <w:p w14:paraId="0F564B46">
      <w:pPr>
        <w:spacing w:line="360" w:lineRule="auto"/>
        <w:ind w:firstLine="482"/>
        <w:rPr>
          <w:rFonts w:ascii="宋体" w:hAnsi="宋体"/>
          <w:sz w:val="24"/>
        </w:rPr>
      </w:pPr>
      <w:r>
        <w:rPr>
          <w:rFonts w:hint="eastAsia" w:ascii="宋体" w:hAnsi="宋体"/>
          <w:sz w:val="24"/>
        </w:rPr>
        <w:t>智慧旅游与科技应用</w:t>
      </w:r>
      <w:r>
        <w:rPr>
          <w:rFonts w:hint="eastAsia" w:ascii="宋体"/>
          <w:sz w:val="24"/>
        </w:rPr>
        <w:t>研究方向具有跨学科性和动态性特点，聚焦信息技术与旅游行业场景的深度融合，旨在通过技术创新和管理优化，提升旅游管理效能和服务质量，实现多主体价值共创，促进旅游业高质量发展。该研究方向主要聚焦三个特色研究领域：第一，旅游市场现代化治理。针对旅游市场中存在的一系列旅游企业失范行为，结合信息技术发展的最新趋势，探索其现代化治理的理论逻辑、制度路径和治理效能，构建旅游市场现代化治理体系，提升旅游市场现代化治理能力；第二，技术赋能文旅融合。将智慧旅游与文旅融合两大热点研究领域相结合，开展信息技术赋能文旅融合高质量发展研究，探索文旅内生式融合、旅游数字服务场景创新及旅游体验价值升级等的机制和实践路径</w:t>
      </w:r>
      <w:r>
        <w:rPr>
          <w:rFonts w:hint="eastAsia"/>
          <w:sz w:val="24"/>
        </w:rPr>
        <w:t>；第三，旅游企业智慧化。选取典型旅游企业作为研究对象，探索智慧旅游背景下旅游企业技术创新与商业模式创新实现机理与路径。</w:t>
      </w:r>
    </w:p>
    <w:p w14:paraId="5ADED7B1">
      <w:pPr>
        <w:spacing w:line="360" w:lineRule="auto"/>
        <w:ind w:firstLine="560" w:firstLineChars="200"/>
        <w:rPr>
          <w:rFonts w:eastAsia="黑体"/>
          <w:bCs/>
          <w:sz w:val="28"/>
          <w:szCs w:val="28"/>
        </w:rPr>
      </w:pPr>
      <w:r>
        <w:rPr>
          <w:rFonts w:eastAsia="黑体"/>
          <w:bCs/>
          <w:sz w:val="28"/>
          <w:szCs w:val="28"/>
        </w:rPr>
        <w:t>四、学制及学习年限</w:t>
      </w:r>
    </w:p>
    <w:p w14:paraId="5C43C6CC">
      <w:pPr>
        <w:spacing w:line="360" w:lineRule="auto"/>
        <w:ind w:firstLine="480" w:firstLineChars="200"/>
        <w:rPr>
          <w:rFonts w:eastAsiaTheme="minorEastAsia"/>
          <w:color w:val="FF0000"/>
          <w:sz w:val="24"/>
        </w:rPr>
      </w:pPr>
      <w:r>
        <w:rPr>
          <w:rFonts w:eastAsiaTheme="minorEastAsia"/>
          <w:color w:val="000000"/>
          <w:sz w:val="24"/>
        </w:rPr>
        <w:t>本专业学制为</w:t>
      </w:r>
      <w:r>
        <w:rPr>
          <w:rFonts w:hint="eastAsia" w:eastAsiaTheme="minorEastAsia"/>
          <w:color w:val="000000"/>
          <w:sz w:val="24"/>
        </w:rPr>
        <w:t>3</w:t>
      </w:r>
      <w:r>
        <w:rPr>
          <w:rFonts w:eastAsiaTheme="minorEastAsia"/>
          <w:color w:val="000000"/>
          <w:sz w:val="24"/>
        </w:rPr>
        <w:t>年，在校最长学习年限（含休学）不超过</w:t>
      </w:r>
      <w:r>
        <w:rPr>
          <w:rFonts w:hint="eastAsia" w:eastAsiaTheme="minorEastAsia"/>
          <w:color w:val="000000"/>
          <w:sz w:val="24"/>
        </w:rPr>
        <w:t>6</w:t>
      </w:r>
      <w:r>
        <w:rPr>
          <w:rFonts w:eastAsiaTheme="minorEastAsia"/>
          <w:color w:val="000000"/>
          <w:sz w:val="24"/>
        </w:rPr>
        <w:t>年。</w:t>
      </w:r>
    </w:p>
    <w:p w14:paraId="7C55B65D">
      <w:pPr>
        <w:spacing w:line="360" w:lineRule="auto"/>
        <w:ind w:firstLine="560" w:firstLineChars="200"/>
        <w:rPr>
          <w:rFonts w:eastAsia="黑体"/>
          <w:bCs/>
          <w:sz w:val="28"/>
          <w:szCs w:val="28"/>
        </w:rPr>
      </w:pPr>
      <w:r>
        <w:rPr>
          <w:rFonts w:eastAsia="黑体"/>
          <w:bCs/>
          <w:sz w:val="28"/>
          <w:szCs w:val="28"/>
        </w:rPr>
        <w:t>五、培养目标</w:t>
      </w:r>
    </w:p>
    <w:p w14:paraId="1D292F5A">
      <w:pPr>
        <w:autoSpaceDE w:val="0"/>
        <w:autoSpaceDN w:val="0"/>
        <w:adjustRightInd w:val="0"/>
        <w:spacing w:line="360" w:lineRule="auto"/>
        <w:ind w:firstLine="480" w:firstLineChars="200"/>
        <w:rPr>
          <w:rFonts w:ascii="宋体" w:hAnsi="宋体"/>
          <w:iCs/>
          <w:sz w:val="24"/>
        </w:rPr>
      </w:pPr>
      <w:r>
        <w:rPr>
          <w:iCs/>
          <w:sz w:val="24"/>
        </w:rPr>
        <w:t>1.</w:t>
      </w:r>
      <w:r>
        <w:rPr>
          <w:rFonts w:hint="eastAsia" w:ascii="宋体" w:hAnsi="宋体"/>
          <w:iCs/>
          <w:sz w:val="24"/>
        </w:rPr>
        <w:t xml:space="preserve"> </w:t>
      </w:r>
      <w:bookmarkStart w:id="0" w:name="_Hlk99791788"/>
      <w:r>
        <w:rPr>
          <w:rFonts w:hint="eastAsia" w:ascii="宋体" w:hAnsi="宋体"/>
          <w:iCs/>
          <w:sz w:val="24"/>
        </w:rPr>
        <w:t>树立正确的中国特色社会主义核心价值观，具有坚定的理想信念，高尚的道德情操，优良的学术作风，高度的社会责任感。</w:t>
      </w:r>
    </w:p>
    <w:bookmarkEnd w:id="0"/>
    <w:p w14:paraId="60D26508">
      <w:pPr>
        <w:autoSpaceDE w:val="0"/>
        <w:autoSpaceDN w:val="0"/>
        <w:adjustRightInd w:val="0"/>
        <w:spacing w:line="360" w:lineRule="auto"/>
        <w:ind w:firstLine="480" w:firstLineChars="200"/>
        <w:rPr>
          <w:rFonts w:ascii="宋体" w:hAnsi="宋体"/>
          <w:iCs/>
          <w:sz w:val="24"/>
        </w:rPr>
      </w:pPr>
      <w:r>
        <w:rPr>
          <w:iCs/>
          <w:sz w:val="24"/>
        </w:rPr>
        <w:t>2.</w:t>
      </w:r>
      <w:r>
        <w:rPr>
          <w:rFonts w:hint="eastAsia" w:ascii="宋体" w:hAnsi="宋体"/>
          <w:iCs/>
          <w:sz w:val="24"/>
        </w:rPr>
        <w:t xml:space="preserve"> </w:t>
      </w:r>
      <w:bookmarkStart w:id="1" w:name="_Hlk99791854"/>
      <w:r>
        <w:rPr>
          <w:rFonts w:hint="eastAsia" w:ascii="宋体" w:hAnsi="宋体"/>
          <w:iCs/>
          <w:sz w:val="24"/>
        </w:rPr>
        <w:t>在本专业领域掌握坚实的基础理论和系统的专门知识；具有从事学术研究工作的能力。</w:t>
      </w:r>
    </w:p>
    <w:bookmarkEnd w:id="1"/>
    <w:p w14:paraId="0FC94D72">
      <w:pPr>
        <w:autoSpaceDE w:val="0"/>
        <w:autoSpaceDN w:val="0"/>
        <w:adjustRightInd w:val="0"/>
        <w:spacing w:line="360" w:lineRule="auto"/>
        <w:ind w:firstLine="480" w:firstLineChars="200"/>
        <w:rPr>
          <w:rFonts w:ascii="宋体" w:hAnsi="宋体"/>
          <w:iCs/>
          <w:sz w:val="24"/>
        </w:rPr>
      </w:pPr>
      <w:r>
        <w:rPr>
          <w:iCs/>
          <w:sz w:val="24"/>
        </w:rPr>
        <w:t>3.</w:t>
      </w:r>
      <w:r>
        <w:rPr>
          <w:rFonts w:hint="eastAsia" w:ascii="宋体" w:hAnsi="宋体"/>
          <w:iCs/>
          <w:sz w:val="24"/>
        </w:rPr>
        <w:t xml:space="preserve"> </w:t>
      </w:r>
      <w:bookmarkStart w:id="2" w:name="_Hlk99792044"/>
      <w:r>
        <w:rPr>
          <w:rFonts w:hint="eastAsia" w:ascii="宋体" w:hAnsi="宋体"/>
          <w:iCs/>
          <w:sz w:val="24"/>
        </w:rPr>
        <w:t>至少掌握一门外国语，能熟练阅读本专业的外文资料，具有撰写学术论文和进行国际学术交流的能力。</w:t>
      </w:r>
    </w:p>
    <w:bookmarkEnd w:id="2"/>
    <w:p w14:paraId="013D5F73">
      <w:pPr>
        <w:autoSpaceDE w:val="0"/>
        <w:autoSpaceDN w:val="0"/>
        <w:adjustRightInd w:val="0"/>
        <w:spacing w:line="360" w:lineRule="auto"/>
        <w:ind w:firstLine="480" w:firstLineChars="200"/>
        <w:rPr>
          <w:rFonts w:ascii="宋体" w:hAnsi="宋体"/>
          <w:iCs/>
          <w:sz w:val="24"/>
        </w:rPr>
      </w:pPr>
      <w:r>
        <w:rPr>
          <w:iCs/>
          <w:sz w:val="24"/>
        </w:rPr>
        <w:t>4.</w:t>
      </w:r>
      <w:r>
        <w:rPr>
          <w:rFonts w:hint="eastAsia" w:ascii="宋体" w:hAnsi="宋体"/>
          <w:iCs/>
          <w:sz w:val="24"/>
        </w:rPr>
        <w:t xml:space="preserve"> </w:t>
      </w:r>
      <w:bookmarkStart w:id="3" w:name="_Hlk99792327"/>
      <w:r>
        <w:rPr>
          <w:rFonts w:hint="eastAsia" w:ascii="宋体" w:hAnsi="宋体"/>
          <w:iCs/>
          <w:sz w:val="24"/>
        </w:rPr>
        <w:t>具有良好的团队意识和团队合作精神</w:t>
      </w:r>
      <w:bookmarkEnd w:id="3"/>
      <w:r>
        <w:rPr>
          <w:rFonts w:hint="eastAsia" w:ascii="宋体" w:hAnsi="宋体"/>
          <w:iCs/>
          <w:sz w:val="24"/>
        </w:rPr>
        <w:t>。</w:t>
      </w:r>
    </w:p>
    <w:p w14:paraId="7D34F08B">
      <w:pPr>
        <w:autoSpaceDE w:val="0"/>
        <w:autoSpaceDN w:val="0"/>
        <w:adjustRightInd w:val="0"/>
        <w:spacing w:line="360" w:lineRule="auto"/>
        <w:ind w:firstLine="480" w:firstLineChars="200"/>
        <w:rPr>
          <w:rFonts w:ascii="宋体" w:hAnsi="宋体"/>
          <w:iCs/>
          <w:sz w:val="24"/>
        </w:rPr>
      </w:pPr>
      <w:r>
        <w:rPr>
          <w:iCs/>
          <w:sz w:val="24"/>
        </w:rPr>
        <w:t>5.</w:t>
      </w:r>
      <w:r>
        <w:rPr>
          <w:rFonts w:hint="eastAsia" w:ascii="宋体" w:hAnsi="宋体"/>
          <w:iCs/>
          <w:sz w:val="24"/>
        </w:rPr>
        <w:t xml:space="preserve"> </w:t>
      </w:r>
      <w:bookmarkStart w:id="4" w:name="_Hlk99792351"/>
      <w:r>
        <w:rPr>
          <w:rFonts w:hint="eastAsia" w:ascii="宋体" w:hAnsi="宋体"/>
          <w:iCs/>
          <w:sz w:val="24"/>
        </w:rPr>
        <w:t>具有良好的心理素质</w:t>
      </w:r>
      <w:bookmarkEnd w:id="4"/>
      <w:r>
        <w:rPr>
          <w:rFonts w:hint="eastAsia" w:ascii="宋体" w:hAnsi="宋体"/>
          <w:iCs/>
          <w:sz w:val="24"/>
        </w:rPr>
        <w:t>。</w:t>
      </w:r>
    </w:p>
    <w:p w14:paraId="138C85B3">
      <w:pPr>
        <w:autoSpaceDE w:val="0"/>
        <w:autoSpaceDN w:val="0"/>
        <w:adjustRightInd w:val="0"/>
        <w:spacing w:line="360" w:lineRule="auto"/>
        <w:ind w:firstLine="480" w:firstLineChars="200"/>
        <w:rPr>
          <w:rFonts w:ascii="宋体" w:hAnsi="宋体"/>
          <w:iCs/>
          <w:sz w:val="24"/>
        </w:rPr>
      </w:pPr>
      <w:r>
        <w:rPr>
          <w:iCs/>
          <w:sz w:val="24"/>
        </w:rPr>
        <w:t>6.</w:t>
      </w:r>
      <w:r>
        <w:rPr>
          <w:rFonts w:hint="eastAsia" w:ascii="宋体" w:hAnsi="宋体"/>
          <w:iCs/>
          <w:sz w:val="24"/>
        </w:rPr>
        <w:t xml:space="preserve"> </w:t>
      </w:r>
      <w:bookmarkStart w:id="5" w:name="_Hlk99794370"/>
      <w:r>
        <w:rPr>
          <w:rFonts w:hint="eastAsia" w:ascii="宋体" w:hAnsi="宋体"/>
          <w:iCs/>
          <w:sz w:val="24"/>
        </w:rPr>
        <w:t>培养</w:t>
      </w:r>
      <w:bookmarkStart w:id="6" w:name="_Hlk99792428"/>
      <w:r>
        <w:rPr>
          <w:rFonts w:hint="eastAsia" w:ascii="宋体" w:hAnsi="宋体"/>
          <w:iCs/>
          <w:sz w:val="24"/>
        </w:rPr>
        <w:t>德智体美劳全面发展的社会主义事业接班人</w:t>
      </w:r>
      <w:bookmarkEnd w:id="5"/>
      <w:bookmarkEnd w:id="6"/>
      <w:r>
        <w:rPr>
          <w:rFonts w:hint="eastAsia" w:ascii="宋体" w:hAnsi="宋体"/>
          <w:iCs/>
          <w:sz w:val="24"/>
        </w:rPr>
        <w:t>。</w:t>
      </w:r>
    </w:p>
    <w:p w14:paraId="79F47478">
      <w:pPr>
        <w:autoSpaceDE w:val="0"/>
        <w:autoSpaceDN w:val="0"/>
        <w:adjustRightInd w:val="0"/>
        <w:spacing w:line="360" w:lineRule="auto"/>
        <w:ind w:firstLine="480" w:firstLineChars="200"/>
        <w:rPr>
          <w:rFonts w:ascii="宋体" w:hAnsi="宋体"/>
          <w:iCs/>
          <w:sz w:val="24"/>
        </w:rPr>
      </w:pPr>
      <w:r>
        <w:rPr>
          <w:iCs/>
          <w:sz w:val="24"/>
        </w:rPr>
        <w:t>7.</w:t>
      </w:r>
      <w:r>
        <w:rPr>
          <w:rFonts w:hint="eastAsia" w:ascii="宋体" w:hAnsi="宋体"/>
          <w:iCs/>
          <w:sz w:val="24"/>
        </w:rPr>
        <w:t xml:space="preserve"> 本专业旨在培养德智体全面发展，具有扎实经济学和管理学理论基础，牢固掌握旅游管理基本理论知识，具有科研兴趣和严谨科研作风，</w:t>
      </w:r>
      <w:bookmarkStart w:id="7" w:name="_Hlk99793006"/>
      <w:bookmarkStart w:id="8" w:name="_Hlk99793174"/>
      <w:r>
        <w:rPr>
          <w:rFonts w:hint="eastAsia" w:ascii="宋体" w:hAnsi="宋体"/>
          <w:iCs/>
          <w:sz w:val="24"/>
        </w:rPr>
        <w:t>掌握定量和定性分析方法及数据处理技术</w:t>
      </w:r>
      <w:bookmarkEnd w:id="7"/>
      <w:r>
        <w:rPr>
          <w:rFonts w:hint="eastAsia" w:ascii="宋体" w:hAnsi="宋体"/>
          <w:iCs/>
          <w:sz w:val="24"/>
        </w:rPr>
        <w:t>，</w:t>
      </w:r>
      <w:bookmarkEnd w:id="8"/>
      <w:r>
        <w:rPr>
          <w:rFonts w:hint="eastAsia" w:ascii="宋体" w:hAnsi="宋体"/>
          <w:iCs/>
          <w:sz w:val="24"/>
        </w:rPr>
        <w:t>了解旅游管理学术前沿与学术动态，</w:t>
      </w:r>
      <w:bookmarkStart w:id="9" w:name="_Hlk99793239"/>
      <w:r>
        <w:rPr>
          <w:rFonts w:hint="eastAsia" w:ascii="宋体" w:hAnsi="宋体"/>
          <w:iCs/>
          <w:sz w:val="24"/>
        </w:rPr>
        <w:t>善于提炼科学研究问题</w:t>
      </w:r>
      <w:bookmarkEnd w:id="9"/>
      <w:r>
        <w:rPr>
          <w:rFonts w:hint="eastAsia" w:ascii="宋体" w:hAnsi="宋体"/>
          <w:iCs/>
          <w:sz w:val="24"/>
        </w:rPr>
        <w:t>，</w:t>
      </w:r>
      <w:bookmarkStart w:id="10" w:name="_Hlk99793335"/>
      <w:r>
        <w:rPr>
          <w:rFonts w:hint="eastAsia" w:ascii="宋体" w:hAnsi="宋体"/>
          <w:iCs/>
          <w:sz w:val="24"/>
        </w:rPr>
        <w:t>具备一定的学术研究创新能力和解决实际问题的能力，</w:t>
      </w:r>
      <w:bookmarkEnd w:id="10"/>
      <w:r>
        <w:rPr>
          <w:rFonts w:hint="eastAsia" w:ascii="宋体" w:hAnsi="宋体"/>
          <w:iCs/>
          <w:sz w:val="24"/>
        </w:rPr>
        <w:t>能够开展本专业学术研究和应用研究的高层次复合型旅游管理人才。</w:t>
      </w:r>
    </w:p>
    <w:p w14:paraId="7C95BA0C">
      <w:pPr>
        <w:spacing w:line="360" w:lineRule="auto"/>
        <w:ind w:firstLine="560" w:firstLineChars="200"/>
        <w:rPr>
          <w:rFonts w:eastAsia="黑体"/>
          <w:bCs/>
          <w:sz w:val="28"/>
          <w:szCs w:val="28"/>
        </w:rPr>
      </w:pPr>
      <w:r>
        <w:rPr>
          <w:rFonts w:hint="eastAsia" w:eastAsia="黑体"/>
          <w:bCs/>
          <w:sz w:val="28"/>
          <w:szCs w:val="28"/>
        </w:rPr>
        <w:t>六、培养方式</w:t>
      </w:r>
    </w:p>
    <w:p w14:paraId="43E1EE84">
      <w:pPr>
        <w:tabs>
          <w:tab w:val="left" w:pos="675"/>
          <w:tab w:val="left" w:pos="3690"/>
          <w:tab w:val="left" w:pos="6390"/>
        </w:tabs>
        <w:spacing w:line="360" w:lineRule="auto"/>
        <w:ind w:firstLine="480" w:firstLineChars="200"/>
        <w:rPr>
          <w:rFonts w:ascii="宋体" w:hAnsi="宋体"/>
          <w:sz w:val="24"/>
        </w:rPr>
      </w:pPr>
      <w:r>
        <w:rPr>
          <w:rFonts w:hint="eastAsia"/>
          <w:iCs/>
          <w:sz w:val="24"/>
        </w:rPr>
        <w:t>1</w:t>
      </w:r>
      <w:r>
        <w:rPr>
          <w:iCs/>
          <w:sz w:val="24"/>
        </w:rPr>
        <w:t>.</w:t>
      </w:r>
      <w:r>
        <w:rPr>
          <w:rFonts w:hint="eastAsia"/>
          <w:iCs/>
          <w:sz w:val="24"/>
        </w:rPr>
        <w:t xml:space="preserve"> </w:t>
      </w:r>
      <w:r>
        <w:rPr>
          <w:rFonts w:hint="eastAsia" w:ascii="宋体" w:hAnsi="宋体"/>
          <w:sz w:val="24"/>
        </w:rPr>
        <w:t>导师负责下的硕士生指导小组制</w:t>
      </w:r>
    </w:p>
    <w:p w14:paraId="19D2512B">
      <w:pPr>
        <w:tabs>
          <w:tab w:val="left" w:pos="675"/>
          <w:tab w:val="left" w:pos="3690"/>
          <w:tab w:val="left" w:pos="6390"/>
        </w:tabs>
        <w:spacing w:line="360" w:lineRule="auto"/>
        <w:ind w:firstLine="480" w:firstLineChars="200"/>
        <w:rPr>
          <w:rFonts w:ascii="宋体" w:hAnsi="宋体"/>
          <w:sz w:val="24"/>
        </w:rPr>
      </w:pPr>
      <w:r>
        <w:rPr>
          <w:rFonts w:hint="eastAsia" w:ascii="宋体" w:hAnsi="宋体"/>
          <w:sz w:val="24"/>
        </w:rPr>
        <w:t>导师指导与集体培养相结合，</w:t>
      </w:r>
      <w:r>
        <w:rPr>
          <w:rFonts w:hint="eastAsia"/>
          <w:sz w:val="24"/>
        </w:rPr>
        <w:t>充分发挥学科综合优势和学术群体作用，</w:t>
      </w:r>
      <w:r>
        <w:rPr>
          <w:rFonts w:hint="eastAsia" w:ascii="宋体" w:hAnsi="宋体"/>
          <w:sz w:val="24"/>
        </w:rPr>
        <w:t>注重培养学生的自学能力和研究能力，定期检查学生的自学情况和研究情况，加强对学生的个别辅导，注意将对学生的素质教育放在突出的位置。研究生的教学过程中要坚持导师组制度，将群体优势与导师学术专长优势相结合。</w:t>
      </w:r>
    </w:p>
    <w:p w14:paraId="4E7DAB96">
      <w:pPr>
        <w:tabs>
          <w:tab w:val="left" w:pos="675"/>
          <w:tab w:val="left" w:pos="3690"/>
          <w:tab w:val="left" w:pos="6390"/>
        </w:tabs>
        <w:spacing w:line="360" w:lineRule="auto"/>
        <w:ind w:firstLine="480" w:firstLineChars="200"/>
        <w:rPr>
          <w:rFonts w:ascii="宋体" w:hAnsi="宋体"/>
          <w:sz w:val="24"/>
        </w:rPr>
      </w:pPr>
      <w:r>
        <w:rPr>
          <w:sz w:val="24"/>
        </w:rPr>
        <w:t>2</w:t>
      </w:r>
      <w:r>
        <w:rPr>
          <w:iCs/>
          <w:sz w:val="24"/>
        </w:rPr>
        <w:t>.</w:t>
      </w:r>
      <w:r>
        <w:rPr>
          <w:rFonts w:hint="eastAsia"/>
          <w:iCs/>
          <w:sz w:val="24"/>
        </w:rPr>
        <w:t xml:space="preserve"> </w:t>
      </w:r>
      <w:r>
        <w:rPr>
          <w:rFonts w:hint="eastAsia" w:ascii="宋体" w:hAnsi="宋体"/>
          <w:sz w:val="24"/>
        </w:rPr>
        <w:t>科教融汇、教研一体的人才培养模式</w:t>
      </w:r>
    </w:p>
    <w:p w14:paraId="4195D1A7">
      <w:pPr>
        <w:tabs>
          <w:tab w:val="left" w:pos="675"/>
          <w:tab w:val="left" w:pos="3690"/>
          <w:tab w:val="left" w:pos="6390"/>
        </w:tabs>
        <w:spacing w:line="360" w:lineRule="auto"/>
        <w:ind w:firstLine="480" w:firstLineChars="200"/>
        <w:rPr>
          <w:rFonts w:ascii="宋体" w:hAnsi="宋体"/>
          <w:sz w:val="24"/>
        </w:rPr>
      </w:pPr>
      <w:r>
        <w:rPr>
          <w:rFonts w:hint="eastAsia" w:ascii="宋体" w:hAnsi="宋体"/>
          <w:sz w:val="24"/>
        </w:rPr>
        <w:t>加强学术学位研究生知识创新能力培养。加强系统科研训练，以优质团队、平台、项目支撑高质量研究生培养。建立以问题、课题为核心的探究式、研讨式教学模式，拓展课堂教学形式，加强研讨和调研等形式的课堂教学。坚持研究导向的教学和教学导向的科研，促进知识的传承与创新，形成科教融汇、教研一体的人才培养模式。</w:t>
      </w:r>
    </w:p>
    <w:p w14:paraId="77CE53B1">
      <w:pPr>
        <w:spacing w:line="360" w:lineRule="auto"/>
        <w:ind w:firstLine="480" w:firstLineChars="200"/>
        <w:rPr>
          <w:rFonts w:ascii="宋体" w:hAnsi="宋体"/>
          <w:sz w:val="24"/>
        </w:rPr>
      </w:pPr>
      <w:r>
        <w:rPr>
          <w:rFonts w:hint="eastAsia"/>
          <w:sz w:val="24"/>
        </w:rPr>
        <w:t xml:space="preserve">3. </w:t>
      </w:r>
      <w:r>
        <w:rPr>
          <w:rFonts w:hint="eastAsia" w:ascii="宋体" w:hAnsi="宋体"/>
          <w:sz w:val="24"/>
        </w:rPr>
        <w:t>多学科交叉融合培养模式</w:t>
      </w:r>
    </w:p>
    <w:p w14:paraId="4FFB6695">
      <w:pPr>
        <w:spacing w:line="360" w:lineRule="auto"/>
        <w:ind w:firstLine="480" w:firstLineChars="200"/>
        <w:rPr>
          <w:rFonts w:ascii="宋体" w:hAnsi="宋体"/>
          <w:sz w:val="24"/>
        </w:rPr>
      </w:pPr>
      <w:r>
        <w:rPr>
          <w:rFonts w:hint="eastAsia" w:ascii="宋体" w:hAnsi="宋体"/>
          <w:sz w:val="24"/>
        </w:rPr>
        <w:t>积极推动多学科交叉融合，打破院系、学科、专业壁垒，提高研究生解决复杂工程和挑战性问题的能力。整合学科、行业资源，构建多元化、个性化研究生培养体系，实现人才供给端与人才需求端的精准对接。加强研究生培养单位内部、不同培养单位之间的沟通协同，推动各研究生培养单位之间优质教育教学资源共享。</w:t>
      </w:r>
    </w:p>
    <w:p w14:paraId="2610742C">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0F6B68F8">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6732C245">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00F9122A">
      <w:pPr>
        <w:widowControl/>
        <w:spacing w:line="360" w:lineRule="auto"/>
        <w:ind w:firstLine="480"/>
        <w:rPr>
          <w:color w:val="000000" w:themeColor="text1"/>
          <w:kern w:val="0"/>
          <w:sz w:val="24"/>
          <w14:textFill>
            <w14:solidFill>
              <w14:schemeClr w14:val="tx1"/>
            </w14:solidFill>
          </w14:textFill>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〔2025〕9号</w:t>
      </w:r>
      <w:r>
        <w:rPr>
          <w:color w:val="000000" w:themeColor="text1"/>
          <w:kern w:val="0"/>
          <w:sz w:val="24"/>
          <w14:textFill>
            <w14:solidFill>
              <w14:schemeClr w14:val="tx1"/>
            </w14:solidFill>
          </w14:textFill>
        </w:rPr>
        <w:t>）规定，硕士研究生论文开题与答辩时间间隔原则上不少于1</w:t>
      </w:r>
      <w:r>
        <w:rPr>
          <w:rFonts w:hint="eastAsia"/>
          <w:color w:val="000000" w:themeColor="text1"/>
          <w:kern w:val="0"/>
          <w:sz w:val="24"/>
          <w14:textFill>
            <w14:solidFill>
              <w14:schemeClr w14:val="tx1"/>
            </w14:solidFill>
          </w14:textFill>
        </w:rPr>
        <w:t>2</w:t>
      </w:r>
      <w:r>
        <w:rPr>
          <w:color w:val="000000" w:themeColor="text1"/>
          <w:kern w:val="0"/>
          <w:sz w:val="24"/>
          <w14:textFill>
            <w14:solidFill>
              <w14:schemeClr w14:val="tx1"/>
            </w14:solidFill>
          </w14:textFill>
        </w:rPr>
        <w:t>个月。学位（毕业）论文应当表明作者具有独立从事学术研究工作的能力，鼓励硕士研究生参与科学研究，取得创新性成果</w:t>
      </w:r>
    </w:p>
    <w:p w14:paraId="6E801E5D">
      <w:pPr>
        <w:widowControl/>
        <w:spacing w:line="360" w:lineRule="auto"/>
        <w:ind w:firstLine="480"/>
        <w:rPr>
          <w:color w:val="000000" w:themeColor="text1"/>
          <w:kern w:val="0"/>
          <w:sz w:val="24"/>
          <w14:textFill>
            <w14:solidFill>
              <w14:schemeClr w14:val="tx1"/>
            </w14:solidFill>
          </w14:textFill>
        </w:rPr>
      </w:pPr>
      <w:r>
        <w:rPr>
          <w:bCs/>
          <w:color w:val="222222"/>
          <w:kern w:val="0"/>
          <w:sz w:val="24"/>
        </w:rPr>
        <w:t>2.开题：</w:t>
      </w:r>
      <w:r>
        <w:rPr>
          <w:color w:val="000000" w:themeColor="text1"/>
          <w:kern w:val="0"/>
          <w:sz w:val="24"/>
          <w14:textFill>
            <w14:solidFill>
              <w14:schemeClr w14:val="tx1"/>
            </w14:solidFill>
          </w14:textFill>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5F055AA3">
      <w:pPr>
        <w:widowControl/>
        <w:spacing w:line="360" w:lineRule="auto"/>
        <w:ind w:firstLine="480"/>
        <w:rPr>
          <w:color w:val="000000" w:themeColor="text1"/>
          <w:kern w:val="0"/>
          <w:sz w:val="24"/>
          <w14:textFill>
            <w14:solidFill>
              <w14:schemeClr w14:val="tx1"/>
            </w14:solidFill>
          </w14:textFill>
        </w:rPr>
      </w:pPr>
      <w:r>
        <w:rPr>
          <w:color w:val="000000" w:themeColor="text1"/>
          <w:kern w:val="0"/>
          <w:sz w:val="24"/>
          <w14:textFill>
            <w14:solidFill>
              <w14:schemeClr w14:val="tx1"/>
            </w14:solidFill>
          </w14:textFill>
        </w:rPr>
        <w:t>原则上在入学后第3学期（最迟不超过第4学期）完成开题。开题由3-5名具有高级专业技术职务人员参加，以学术报告的方式进行。</w:t>
      </w:r>
    </w:p>
    <w:p w14:paraId="03A10C68">
      <w:pPr>
        <w:widowControl/>
        <w:spacing w:line="360" w:lineRule="auto"/>
        <w:ind w:firstLine="480"/>
        <w:rPr>
          <w:color w:val="000000" w:themeColor="text1"/>
          <w:kern w:val="0"/>
          <w:sz w:val="24"/>
          <w14:textFill>
            <w14:solidFill>
              <w14:schemeClr w14:val="tx1"/>
            </w14:solidFill>
          </w14:textFill>
        </w:rPr>
      </w:pPr>
      <w:r>
        <w:rPr>
          <w:bCs/>
          <w:color w:val="222222"/>
          <w:kern w:val="0"/>
          <w:sz w:val="24"/>
        </w:rPr>
        <w:t>3.中期进展报告：</w:t>
      </w:r>
      <w:r>
        <w:rPr>
          <w:color w:val="000000" w:themeColor="text1"/>
          <w:kern w:val="0"/>
          <w:sz w:val="24"/>
          <w14:textFill>
            <w14:solidFill>
              <w14:schemeClr w14:val="tx1"/>
            </w14:solidFill>
          </w14:textFill>
        </w:rPr>
        <w:t>中期进展报告是检查研究生个人综合能力及学位论文进展、指导研究生把握学位（毕业）论文方向、提高学位（毕业）论文质量的必要环节。中期进展报告原则上应在入学后第5学期进行；导师组自行制定中期考核办法并组织考核。</w:t>
      </w:r>
    </w:p>
    <w:p w14:paraId="029F9437">
      <w:pPr>
        <w:widowControl/>
        <w:spacing w:line="360" w:lineRule="auto"/>
        <w:ind w:firstLine="480"/>
        <w:rPr>
          <w:color w:val="000000" w:themeColor="text1"/>
          <w:kern w:val="0"/>
          <w:sz w:val="24"/>
          <w14:textFill>
            <w14:solidFill>
              <w14:schemeClr w14:val="tx1"/>
            </w14:solidFill>
          </w14:textFill>
        </w:rPr>
      </w:pPr>
      <w:r>
        <w:rPr>
          <w:bCs/>
          <w:color w:val="222222"/>
          <w:kern w:val="0"/>
          <w:sz w:val="24"/>
        </w:rPr>
        <w:t>4.学位申请：</w:t>
      </w:r>
      <w:r>
        <w:rPr>
          <w:color w:val="000000" w:themeColor="text1"/>
          <w:kern w:val="0"/>
          <w:sz w:val="24"/>
          <w14:textFill>
            <w14:solidFill>
              <w14:schemeClr w14:val="tx1"/>
            </w14:solidFill>
          </w14:textFill>
        </w:rPr>
        <w:t>达到学位授予条件的申请人，经导师同意后，应于答辩前三个月，向所属学位评定分委员会提出学位申请，提交学位申请材料。</w:t>
      </w:r>
    </w:p>
    <w:p w14:paraId="148CDECD">
      <w:pPr>
        <w:widowControl/>
        <w:spacing w:line="360" w:lineRule="auto"/>
        <w:ind w:firstLine="480"/>
        <w:rPr>
          <w:color w:val="000000" w:themeColor="text1"/>
          <w:kern w:val="0"/>
          <w:sz w:val="24"/>
          <w14:textFill>
            <w14:solidFill>
              <w14:schemeClr w14:val="tx1"/>
            </w14:solidFill>
          </w14:textFill>
        </w:rPr>
      </w:pPr>
      <w:r>
        <w:rPr>
          <w:bCs/>
          <w:color w:val="222222"/>
          <w:kern w:val="0"/>
          <w:sz w:val="24"/>
        </w:rPr>
        <w:t>5.预答辩：</w:t>
      </w:r>
      <w:r>
        <w:rPr>
          <w:color w:val="000000" w:themeColor="text1"/>
          <w:kern w:val="0"/>
          <w:sz w:val="24"/>
          <w14:textFill>
            <w14:solidFill>
              <w14:schemeClr w14:val="tx1"/>
            </w14:solidFill>
          </w14:textFill>
        </w:rPr>
        <w:t>学位申请人须进行学位论文预答辩。预答辩通过者，方可进入学位论文评阅、学位论文答辩等环节。学位（毕业）论文预答辩在正式答辩前3个月进行。</w:t>
      </w:r>
    </w:p>
    <w:p w14:paraId="196AA973">
      <w:pPr>
        <w:widowControl/>
        <w:spacing w:line="360" w:lineRule="auto"/>
        <w:ind w:firstLine="480"/>
        <w:rPr>
          <w:color w:val="222222"/>
          <w:kern w:val="0"/>
          <w:sz w:val="24"/>
        </w:rPr>
      </w:pPr>
      <w:r>
        <w:rPr>
          <w:bCs/>
          <w:color w:val="222222"/>
          <w:kern w:val="0"/>
          <w:sz w:val="24"/>
        </w:rPr>
        <w:t>6.论文评阅：</w:t>
      </w:r>
      <w:r>
        <w:rPr>
          <w:color w:val="000000" w:themeColor="text1"/>
          <w:kern w:val="0"/>
          <w:sz w:val="24"/>
          <w14:textFill>
            <w14:solidFill>
              <w14:schemeClr w14:val="tx1"/>
            </w14:solidFill>
          </w14:textFill>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319B386D">
      <w:pPr>
        <w:widowControl/>
        <w:spacing w:line="360" w:lineRule="auto"/>
        <w:ind w:firstLine="480"/>
        <w:jc w:val="left"/>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1E690612">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3708E53">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381ED27C">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color w:val="000000" w:themeColor="text1"/>
          <w:sz w:val="24"/>
          <w14:textFill>
            <w14:solidFill>
              <w14:schemeClr w14:val="tx1"/>
            </w14:solidFill>
          </w14:textFill>
        </w:rPr>
        <w:t>1</w:t>
      </w:r>
      <w:r>
        <w:rPr>
          <w:rFonts w:hint="eastAsia" w:eastAsiaTheme="minorEastAsia"/>
          <w:color w:val="000000" w:themeColor="text1"/>
          <w:sz w:val="24"/>
          <w14:textFill>
            <w14:solidFill>
              <w14:schemeClr w14:val="tx1"/>
            </w14:solidFill>
          </w14:textFill>
        </w:rPr>
        <w:t>0</w:t>
      </w:r>
      <w:r>
        <w:rPr>
          <w:rFonts w:eastAsiaTheme="minorEastAsia"/>
          <w:color w:val="000000"/>
          <w:sz w:val="24"/>
        </w:rPr>
        <w:t>次学术活动，并撰写学术报告小结；以主讲人或宣讲人身份，参加在校内外举行的学术报告或学术讲座不少于</w:t>
      </w:r>
      <w:r>
        <w:rPr>
          <w:rFonts w:hint="eastAsia" w:eastAsiaTheme="minorEastAsia"/>
          <w:sz w:val="24"/>
        </w:rPr>
        <w:t>1</w:t>
      </w:r>
      <w:r>
        <w:rPr>
          <w:rFonts w:eastAsiaTheme="minorEastAsia"/>
          <w:color w:val="000000"/>
          <w:sz w:val="24"/>
        </w:rPr>
        <w:t>次。</w:t>
      </w:r>
    </w:p>
    <w:p w14:paraId="1F17FB24">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191A42CF">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6D96F22">
      <w:pPr>
        <w:spacing w:line="360" w:lineRule="auto"/>
        <w:ind w:firstLine="560" w:firstLineChars="200"/>
        <w:rPr>
          <w:rFonts w:eastAsia="黑体"/>
          <w:bCs/>
          <w:sz w:val="28"/>
          <w:szCs w:val="28"/>
        </w:rPr>
      </w:pPr>
    </w:p>
    <w:p w14:paraId="55E1A286">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47E7F28F">
      <w:pPr>
        <w:spacing w:line="360" w:lineRule="auto"/>
        <w:ind w:firstLine="480" w:firstLineChars="200"/>
        <w:rPr>
          <w:rFonts w:eastAsiaTheme="minorEastAsia"/>
          <w:bCs/>
          <w:sz w:val="24"/>
        </w:rPr>
      </w:pPr>
      <w:r>
        <w:rPr>
          <w:rFonts w:hint="eastAsia" w:eastAsiaTheme="minorEastAsia"/>
          <w:bCs/>
          <w:sz w:val="24"/>
        </w:rPr>
        <w:t>为体现创新性成果的多元化，要求旅游管理专业的硕士研究生完成的成果包括但不限于高端学术论文、竞赛获奖、实践项目报告、政策咨询报告等。</w:t>
      </w:r>
    </w:p>
    <w:p w14:paraId="2B3AA78E">
      <w:pPr>
        <w:spacing w:line="360" w:lineRule="auto"/>
        <w:ind w:firstLine="560" w:firstLineChars="200"/>
        <w:rPr>
          <w:rFonts w:eastAsia="黑体"/>
          <w:bCs/>
          <w:sz w:val="28"/>
          <w:szCs w:val="28"/>
        </w:rPr>
      </w:pPr>
      <w:r>
        <w:rPr>
          <w:rFonts w:hint="eastAsia" w:eastAsia="黑体"/>
          <w:bCs/>
          <w:sz w:val="28"/>
          <w:szCs w:val="28"/>
        </w:rPr>
        <w:t>十一、学位授予</w:t>
      </w:r>
    </w:p>
    <w:p w14:paraId="50CD3F23">
      <w:pPr>
        <w:spacing w:line="360" w:lineRule="auto"/>
        <w:ind w:firstLine="480" w:firstLineChars="200"/>
        <w:rPr>
          <w:rFonts w:eastAsia="黑体"/>
          <w:bCs/>
          <w:sz w:val="28"/>
          <w:szCs w:val="28"/>
        </w:rPr>
      </w:pPr>
      <w:r>
        <w:rPr>
          <w:rFonts w:hint="eastAsia"/>
          <w:bCs/>
          <w:color w:val="222222"/>
          <w:kern w:val="0"/>
          <w:sz w:val="24"/>
        </w:rPr>
        <w:t>研究生通过毕业资格审查，满足本学院制定的创新性成果要求，符合《河北大学博士、硕士学位授予工作实施细则》（校政字〔</w:t>
      </w:r>
      <w:r>
        <w:rPr>
          <w:bCs/>
          <w:color w:val="222222"/>
          <w:kern w:val="0"/>
          <w:sz w:val="24"/>
        </w:rPr>
        <w:t>2025</w:t>
      </w:r>
      <w:r>
        <w:rPr>
          <w:rFonts w:hint="eastAsia"/>
          <w:bCs/>
          <w:color w:val="222222"/>
          <w:kern w:val="0"/>
          <w:sz w:val="24"/>
        </w:rPr>
        <w:t>〕</w:t>
      </w:r>
      <w:r>
        <w:rPr>
          <w:bCs/>
          <w:color w:val="222222"/>
          <w:kern w:val="0"/>
          <w:sz w:val="24"/>
        </w:rPr>
        <w:t>7</w:t>
      </w:r>
      <w:r>
        <w:rPr>
          <w:rFonts w:hint="eastAsia"/>
          <w:bCs/>
          <w:color w:val="222222"/>
          <w:kern w:val="0"/>
          <w:sz w:val="24"/>
        </w:rPr>
        <w:t>号）的有关规定，达到学校学位授予标准，经学校学位评定委员会审议，授予硕士学位。</w:t>
      </w:r>
    </w:p>
    <w:p w14:paraId="41F4C280">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4CC4FCA4">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本专业最低毕业学分为</w:t>
      </w:r>
      <w:r>
        <w:rPr>
          <w:rFonts w:hint="eastAsia" w:eastAsiaTheme="minorEastAsia"/>
          <w:color w:val="000000" w:themeColor="text1"/>
          <w:sz w:val="24"/>
          <w14:textFill>
            <w14:solidFill>
              <w14:schemeClr w14:val="tx1"/>
            </w14:solidFill>
          </w14:textFill>
        </w:rPr>
        <w:t>28</w:t>
      </w:r>
      <w:r>
        <w:rPr>
          <w:rFonts w:eastAsiaTheme="minorEastAsia"/>
          <w:color w:val="000000" w:themeColor="text1"/>
          <w:sz w:val="24"/>
          <w14:textFill>
            <w14:solidFill>
              <w14:schemeClr w14:val="tx1"/>
            </w14:solidFill>
          </w14:textFill>
        </w:rPr>
        <w:t>分，其中学位课</w:t>
      </w:r>
      <w:r>
        <w:rPr>
          <w:rFonts w:hint="eastAsia" w:eastAsiaTheme="minorEastAsia"/>
          <w:color w:val="000000" w:themeColor="text1"/>
          <w:sz w:val="24"/>
          <w14:textFill>
            <w14:solidFill>
              <w14:schemeClr w14:val="tx1"/>
            </w14:solidFill>
          </w14:textFill>
        </w:rPr>
        <w:t>13</w:t>
      </w:r>
      <w:r>
        <w:rPr>
          <w:rFonts w:eastAsiaTheme="minorEastAsia"/>
          <w:color w:val="000000" w:themeColor="text1"/>
          <w:sz w:val="24"/>
          <w14:textFill>
            <w14:solidFill>
              <w14:schemeClr w14:val="tx1"/>
            </w14:solidFill>
          </w14:textFill>
        </w:rPr>
        <w:t>学分，非学位课</w:t>
      </w:r>
      <w:r>
        <w:rPr>
          <w:rFonts w:hint="eastAsia" w:eastAsiaTheme="minorEastAsia"/>
          <w:color w:val="000000" w:themeColor="text1"/>
          <w:sz w:val="24"/>
          <w14:textFill>
            <w14:solidFill>
              <w14:schemeClr w14:val="tx1"/>
            </w14:solidFill>
          </w14:textFill>
        </w:rPr>
        <w:t>14</w:t>
      </w:r>
      <w:r>
        <w:rPr>
          <w:rFonts w:eastAsiaTheme="minorEastAsia"/>
          <w:color w:val="000000" w:themeColor="text1"/>
          <w:sz w:val="24"/>
          <w14:textFill>
            <w14:solidFill>
              <w14:schemeClr w14:val="tx1"/>
            </w14:solidFill>
          </w14:textFill>
        </w:rPr>
        <w:t>学分，必修环节</w:t>
      </w:r>
      <w:r>
        <w:rPr>
          <w:rFonts w:hint="eastAsia" w:eastAsiaTheme="minorEastAsia"/>
          <w:color w:val="000000" w:themeColor="text1"/>
          <w:sz w:val="24"/>
          <w14:textFill>
            <w14:solidFill>
              <w14:schemeClr w14:val="tx1"/>
            </w14:solidFill>
          </w14:textFill>
        </w:rPr>
        <w:t>1学</w:t>
      </w:r>
      <w:r>
        <w:rPr>
          <w:rFonts w:eastAsiaTheme="minorEastAsia"/>
          <w:color w:val="000000" w:themeColor="text1"/>
          <w:sz w:val="24"/>
          <w14:textFill>
            <w14:solidFill>
              <w14:schemeClr w14:val="tx1"/>
            </w14:solidFill>
          </w14:textFill>
        </w:rPr>
        <w:t>分。</w:t>
      </w:r>
    </w:p>
    <w:p w14:paraId="4073D093">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1654BFCE">
      <w:pPr>
        <w:spacing w:line="360" w:lineRule="auto"/>
        <w:ind w:firstLine="480"/>
        <w:rPr>
          <w:rFonts w:eastAsiaTheme="minorEastAsia"/>
          <w:color w:val="000000"/>
          <w:sz w:val="24"/>
        </w:rPr>
      </w:pPr>
      <w:r>
        <w:rPr>
          <w:rFonts w:eastAsiaTheme="minorEastAsia"/>
          <w:color w:val="000000"/>
          <w:sz w:val="24"/>
        </w:rPr>
        <w:t>课程考核方式包括考试和考查，可以采用口试、笔试或写读书报告、论文的形式，但应有</w:t>
      </w:r>
      <w:r>
        <w:rPr>
          <w:rFonts w:hint="eastAsia" w:eastAsiaTheme="minorEastAsia"/>
          <w:color w:val="000000"/>
          <w:sz w:val="24"/>
        </w:rPr>
        <w:t>一</w:t>
      </w:r>
      <w:r>
        <w:rPr>
          <w:rFonts w:eastAsiaTheme="minorEastAsia"/>
          <w:color w:val="000000"/>
          <w:sz w:val="24"/>
        </w:rPr>
        <w:t>定数量的笔试。无论采取何种考核方式，均应能真实反映学生对所学课程掌握的程度及运用知识的能力。</w:t>
      </w:r>
    </w:p>
    <w:p w14:paraId="222CD91F">
      <w:pPr>
        <w:spacing w:line="360" w:lineRule="auto"/>
        <w:ind w:firstLine="480"/>
        <w:rPr>
          <w:rFonts w:eastAsiaTheme="minorEastAsia"/>
          <w:color w:val="000000"/>
          <w:sz w:val="24"/>
        </w:rPr>
      </w:pPr>
    </w:p>
    <w:p w14:paraId="3BFBB8DB">
      <w:pPr>
        <w:spacing w:after="156" w:afterLines="50" w:line="440" w:lineRule="exact"/>
        <w:ind w:firstLine="482" w:firstLineChars="200"/>
        <w:jc w:val="center"/>
        <w:rPr>
          <w:rFonts w:eastAsiaTheme="minorEastAsia"/>
          <w:b/>
          <w:bCs/>
          <w:sz w:val="24"/>
        </w:rPr>
      </w:pPr>
      <w:r>
        <w:rPr>
          <w:rFonts w:eastAsiaTheme="minorEastAsia"/>
          <w:b/>
          <w:bCs/>
          <w:color w:val="000000" w:themeColor="text1"/>
          <w:sz w:val="24"/>
          <w14:textFill>
            <w14:solidFill>
              <w14:schemeClr w14:val="tx1"/>
            </w14:solidFill>
          </w14:textFill>
        </w:rPr>
        <w:t>旅游管理</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306840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99D729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3F48D5AC">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60BF9A3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19EF23F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4EB0700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79C1F46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9D104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1533D40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69C4890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3B47FF7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63F1615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6136C53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16D8558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79C6593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7FFBD55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45216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35E10A5">
            <w:pPr>
              <w:jc w:val="center"/>
              <w:rPr>
                <w:b/>
                <w:color w:val="000000" w:themeColor="text1"/>
                <w:sz w:val="18"/>
                <w:szCs w:val="18"/>
                <w14:textFill>
                  <w14:solidFill>
                    <w14:schemeClr w14:val="tx1"/>
                  </w14:solidFill>
                </w14:textFill>
              </w:rPr>
            </w:pPr>
          </w:p>
        </w:tc>
        <w:tc>
          <w:tcPr>
            <w:tcW w:w="1226" w:type="dxa"/>
            <w:vMerge w:val="continue"/>
            <w:vAlign w:val="center"/>
          </w:tcPr>
          <w:p w14:paraId="5EA66ED1">
            <w:pPr>
              <w:jc w:val="center"/>
              <w:rPr>
                <w:b/>
                <w:color w:val="000000" w:themeColor="text1"/>
                <w:sz w:val="18"/>
                <w:szCs w:val="18"/>
                <w14:textFill>
                  <w14:solidFill>
                    <w14:schemeClr w14:val="tx1"/>
                  </w14:solidFill>
                </w14:textFill>
              </w:rPr>
            </w:pPr>
          </w:p>
        </w:tc>
        <w:tc>
          <w:tcPr>
            <w:tcW w:w="3516" w:type="dxa"/>
            <w:vAlign w:val="center"/>
          </w:tcPr>
          <w:p w14:paraId="6DC27884">
            <w:pPr>
              <w:rPr>
                <w:sz w:val="18"/>
                <w:szCs w:val="18"/>
              </w:rPr>
            </w:pPr>
            <w:r>
              <w:rPr>
                <w:sz w:val="18"/>
                <w:szCs w:val="18"/>
              </w:rPr>
              <w:t>通用学术英语</w:t>
            </w:r>
          </w:p>
        </w:tc>
        <w:tc>
          <w:tcPr>
            <w:tcW w:w="1081" w:type="dxa"/>
            <w:vAlign w:val="center"/>
          </w:tcPr>
          <w:p w14:paraId="3666E1D5">
            <w:pPr>
              <w:jc w:val="center"/>
              <w:rPr>
                <w:sz w:val="18"/>
                <w:szCs w:val="18"/>
              </w:rPr>
            </w:pPr>
            <w:r>
              <w:rPr>
                <w:sz w:val="18"/>
                <w:szCs w:val="18"/>
              </w:rPr>
              <w:t>TS0000002</w:t>
            </w:r>
          </w:p>
        </w:tc>
        <w:tc>
          <w:tcPr>
            <w:tcW w:w="709" w:type="dxa"/>
            <w:vAlign w:val="center"/>
          </w:tcPr>
          <w:p w14:paraId="66A83721">
            <w:pPr>
              <w:jc w:val="center"/>
              <w:rPr>
                <w:sz w:val="18"/>
                <w:szCs w:val="18"/>
              </w:rPr>
            </w:pPr>
            <w:r>
              <w:rPr>
                <w:sz w:val="18"/>
                <w:szCs w:val="18"/>
              </w:rPr>
              <w:t>2</w:t>
            </w:r>
          </w:p>
        </w:tc>
        <w:tc>
          <w:tcPr>
            <w:tcW w:w="709" w:type="dxa"/>
            <w:vAlign w:val="center"/>
          </w:tcPr>
          <w:p w14:paraId="6ECDFE3B">
            <w:pPr>
              <w:jc w:val="center"/>
              <w:rPr>
                <w:sz w:val="18"/>
                <w:szCs w:val="18"/>
              </w:rPr>
            </w:pPr>
            <w:r>
              <w:rPr>
                <w:sz w:val="18"/>
                <w:szCs w:val="18"/>
              </w:rPr>
              <w:t>1</w:t>
            </w:r>
          </w:p>
        </w:tc>
        <w:tc>
          <w:tcPr>
            <w:tcW w:w="1045" w:type="dxa"/>
            <w:vAlign w:val="center"/>
          </w:tcPr>
          <w:p w14:paraId="2D02042A">
            <w:pPr>
              <w:jc w:val="center"/>
              <w:rPr>
                <w:sz w:val="18"/>
                <w:szCs w:val="18"/>
              </w:rPr>
            </w:pPr>
            <w:r>
              <w:rPr>
                <w:rFonts w:hint="eastAsia"/>
                <w:sz w:val="18"/>
                <w:szCs w:val="18"/>
              </w:rPr>
              <w:t>考查</w:t>
            </w:r>
          </w:p>
        </w:tc>
      </w:tr>
      <w:tr w14:paraId="0DCD46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512CD8E">
            <w:pPr>
              <w:jc w:val="center"/>
              <w:rPr>
                <w:b/>
                <w:color w:val="000000" w:themeColor="text1"/>
                <w:sz w:val="18"/>
                <w:szCs w:val="18"/>
                <w14:textFill>
                  <w14:solidFill>
                    <w14:schemeClr w14:val="tx1"/>
                  </w14:solidFill>
                </w14:textFill>
              </w:rPr>
            </w:pPr>
          </w:p>
        </w:tc>
        <w:tc>
          <w:tcPr>
            <w:tcW w:w="1226" w:type="dxa"/>
            <w:vMerge w:val="restart"/>
            <w:vAlign w:val="center"/>
          </w:tcPr>
          <w:p w14:paraId="72B5AE5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3C242E4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学分）</w:t>
            </w:r>
          </w:p>
        </w:tc>
        <w:tc>
          <w:tcPr>
            <w:tcW w:w="3516" w:type="dxa"/>
            <w:vAlign w:val="center"/>
          </w:tcPr>
          <w:p w14:paraId="4F88948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358C1CE8">
            <w:pPr>
              <w:jc w:val="center"/>
              <w:rPr>
                <w:i/>
                <w:sz w:val="18"/>
                <w:szCs w:val="18"/>
              </w:rPr>
            </w:pPr>
            <w:r>
              <w:rPr>
                <w:sz w:val="18"/>
                <w:szCs w:val="18"/>
              </w:rPr>
              <w:t>XS0430</w:t>
            </w:r>
            <w:r>
              <w:rPr>
                <w:rFonts w:hint="eastAsia"/>
                <w:sz w:val="18"/>
                <w:szCs w:val="18"/>
                <w:lang w:val="en-US" w:eastAsia="zh-CN"/>
              </w:rPr>
              <w:t>10</w:t>
            </w:r>
            <w:r>
              <w:rPr>
                <w:sz w:val="18"/>
                <w:szCs w:val="18"/>
              </w:rPr>
              <w:t>1</w:t>
            </w:r>
          </w:p>
        </w:tc>
        <w:tc>
          <w:tcPr>
            <w:tcW w:w="709" w:type="dxa"/>
            <w:vAlign w:val="center"/>
          </w:tcPr>
          <w:p w14:paraId="2DF90E2D">
            <w:pPr>
              <w:jc w:val="center"/>
              <w:rPr>
                <w:color w:val="FF0000"/>
              </w:rPr>
            </w:pPr>
            <w:r>
              <w:rPr>
                <w:color w:val="000000"/>
                <w:sz w:val="18"/>
                <w:szCs w:val="18"/>
              </w:rPr>
              <w:t>1</w:t>
            </w:r>
          </w:p>
        </w:tc>
        <w:tc>
          <w:tcPr>
            <w:tcW w:w="709" w:type="dxa"/>
            <w:vAlign w:val="center"/>
          </w:tcPr>
          <w:p w14:paraId="23A89431">
            <w:pPr>
              <w:jc w:val="center"/>
              <w:rPr>
                <w:color w:val="FF0000"/>
              </w:rPr>
            </w:pPr>
            <w:r>
              <w:rPr>
                <w:color w:val="000000"/>
                <w:sz w:val="18"/>
                <w:szCs w:val="18"/>
              </w:rPr>
              <w:t>1</w:t>
            </w:r>
          </w:p>
        </w:tc>
        <w:tc>
          <w:tcPr>
            <w:tcW w:w="1045" w:type="dxa"/>
            <w:vAlign w:val="center"/>
          </w:tcPr>
          <w:p w14:paraId="17D80BA9">
            <w:pPr>
              <w:jc w:val="center"/>
              <w:rPr>
                <w:i/>
                <w:color w:val="FF0000"/>
                <w:sz w:val="18"/>
                <w:szCs w:val="18"/>
              </w:rPr>
            </w:pPr>
            <w:r>
              <w:rPr>
                <w:rFonts w:hint="eastAsia"/>
                <w:color w:val="000000"/>
                <w:sz w:val="18"/>
                <w:szCs w:val="18"/>
              </w:rPr>
              <w:t>考试</w:t>
            </w:r>
          </w:p>
        </w:tc>
      </w:tr>
      <w:tr w14:paraId="31DDA6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9D16F9B">
            <w:pPr>
              <w:jc w:val="center"/>
              <w:rPr>
                <w:b/>
                <w:color w:val="000000" w:themeColor="text1"/>
                <w:sz w:val="18"/>
                <w:szCs w:val="18"/>
                <w14:textFill>
                  <w14:solidFill>
                    <w14:schemeClr w14:val="tx1"/>
                  </w14:solidFill>
                </w14:textFill>
              </w:rPr>
            </w:pPr>
          </w:p>
        </w:tc>
        <w:tc>
          <w:tcPr>
            <w:tcW w:w="1226" w:type="dxa"/>
            <w:vMerge w:val="continue"/>
            <w:vAlign w:val="center"/>
          </w:tcPr>
          <w:p w14:paraId="317EE26F">
            <w:pPr>
              <w:jc w:val="center"/>
              <w:rPr>
                <w:b/>
                <w:color w:val="000000" w:themeColor="text1"/>
                <w:sz w:val="18"/>
                <w:szCs w:val="18"/>
                <w14:textFill>
                  <w14:solidFill>
                    <w14:schemeClr w14:val="tx1"/>
                  </w14:solidFill>
                </w14:textFill>
              </w:rPr>
            </w:pPr>
          </w:p>
        </w:tc>
        <w:tc>
          <w:tcPr>
            <w:tcW w:w="3516" w:type="dxa"/>
            <w:vAlign w:val="center"/>
          </w:tcPr>
          <w:p w14:paraId="3F316ABA">
            <w:pPr>
              <w:rPr>
                <w:color w:val="000000"/>
                <w:sz w:val="18"/>
                <w:szCs w:val="18"/>
              </w:rPr>
            </w:pPr>
            <w:r>
              <w:rPr>
                <w:rFonts w:hint="eastAsia"/>
                <w:color w:val="000000"/>
                <w:sz w:val="18"/>
                <w:szCs w:val="18"/>
              </w:rPr>
              <w:t>管理研究方法</w:t>
            </w:r>
          </w:p>
        </w:tc>
        <w:tc>
          <w:tcPr>
            <w:tcW w:w="1081" w:type="dxa"/>
            <w:vAlign w:val="center"/>
          </w:tcPr>
          <w:p w14:paraId="4CD2290E">
            <w:pPr>
              <w:jc w:val="center"/>
              <w:rPr>
                <w:rFonts w:hint="eastAsia" w:eastAsia="宋体"/>
                <w:sz w:val="18"/>
                <w:szCs w:val="18"/>
                <w:lang w:val="en-US" w:eastAsia="zh-CN"/>
              </w:rPr>
            </w:pPr>
            <w:r>
              <w:rPr>
                <w:sz w:val="18"/>
                <w:szCs w:val="18"/>
              </w:rPr>
              <w:t>XS043000</w:t>
            </w:r>
            <w:r>
              <w:rPr>
                <w:rFonts w:hint="eastAsia"/>
                <w:sz w:val="18"/>
                <w:szCs w:val="18"/>
                <w:lang w:val="en-US" w:eastAsia="zh-CN"/>
              </w:rPr>
              <w:t>3</w:t>
            </w:r>
          </w:p>
        </w:tc>
        <w:tc>
          <w:tcPr>
            <w:tcW w:w="709" w:type="dxa"/>
            <w:vAlign w:val="center"/>
          </w:tcPr>
          <w:p w14:paraId="698D328E">
            <w:pPr>
              <w:jc w:val="center"/>
              <w:rPr>
                <w:color w:val="000000"/>
                <w:sz w:val="18"/>
                <w:szCs w:val="18"/>
              </w:rPr>
            </w:pPr>
            <w:r>
              <w:rPr>
                <w:color w:val="000000"/>
                <w:sz w:val="18"/>
                <w:szCs w:val="18"/>
              </w:rPr>
              <w:t>2</w:t>
            </w:r>
          </w:p>
        </w:tc>
        <w:tc>
          <w:tcPr>
            <w:tcW w:w="709" w:type="dxa"/>
            <w:vAlign w:val="center"/>
          </w:tcPr>
          <w:p w14:paraId="75B364FC">
            <w:pPr>
              <w:jc w:val="center"/>
              <w:rPr>
                <w:color w:val="000000"/>
                <w:sz w:val="18"/>
                <w:szCs w:val="18"/>
              </w:rPr>
            </w:pPr>
            <w:r>
              <w:rPr>
                <w:color w:val="000000"/>
                <w:sz w:val="18"/>
                <w:szCs w:val="18"/>
              </w:rPr>
              <w:t>1</w:t>
            </w:r>
          </w:p>
        </w:tc>
        <w:tc>
          <w:tcPr>
            <w:tcW w:w="1045" w:type="dxa"/>
            <w:vAlign w:val="center"/>
          </w:tcPr>
          <w:p w14:paraId="7B219F23">
            <w:pPr>
              <w:jc w:val="center"/>
              <w:rPr>
                <w:color w:val="000000"/>
                <w:sz w:val="18"/>
                <w:szCs w:val="18"/>
              </w:rPr>
            </w:pPr>
            <w:r>
              <w:rPr>
                <w:rFonts w:hint="eastAsia"/>
                <w:color w:val="000000"/>
                <w:sz w:val="18"/>
                <w:szCs w:val="18"/>
              </w:rPr>
              <w:t>考试</w:t>
            </w:r>
          </w:p>
        </w:tc>
      </w:tr>
      <w:tr w14:paraId="73A0EA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2E3D318">
            <w:pPr>
              <w:jc w:val="center"/>
              <w:rPr>
                <w:b/>
                <w:color w:val="000000" w:themeColor="text1"/>
                <w:sz w:val="18"/>
                <w:szCs w:val="18"/>
                <w14:textFill>
                  <w14:solidFill>
                    <w14:schemeClr w14:val="tx1"/>
                  </w14:solidFill>
                </w14:textFill>
              </w:rPr>
            </w:pPr>
          </w:p>
        </w:tc>
        <w:tc>
          <w:tcPr>
            <w:tcW w:w="1226" w:type="dxa"/>
            <w:vMerge w:val="continue"/>
            <w:vAlign w:val="center"/>
          </w:tcPr>
          <w:p w14:paraId="76C30FE5">
            <w:pPr>
              <w:jc w:val="center"/>
              <w:rPr>
                <w:b/>
                <w:color w:val="000000" w:themeColor="text1"/>
                <w:sz w:val="18"/>
                <w:szCs w:val="18"/>
                <w14:textFill>
                  <w14:solidFill>
                    <w14:schemeClr w14:val="tx1"/>
                  </w14:solidFill>
                </w14:textFill>
              </w:rPr>
            </w:pPr>
          </w:p>
        </w:tc>
        <w:tc>
          <w:tcPr>
            <w:tcW w:w="3516" w:type="dxa"/>
            <w:vAlign w:val="center"/>
          </w:tcPr>
          <w:p w14:paraId="3D396D52">
            <w:pPr>
              <w:rPr>
                <w:color w:val="000000"/>
                <w:sz w:val="18"/>
                <w:szCs w:val="18"/>
              </w:rPr>
            </w:pPr>
            <w:r>
              <w:rPr>
                <w:rFonts w:hint="eastAsia"/>
                <w:color w:val="000000"/>
                <w:sz w:val="18"/>
                <w:szCs w:val="18"/>
              </w:rPr>
              <w:t>统计分析方法</w:t>
            </w:r>
          </w:p>
        </w:tc>
        <w:tc>
          <w:tcPr>
            <w:tcW w:w="1081" w:type="dxa"/>
            <w:vAlign w:val="center"/>
          </w:tcPr>
          <w:p w14:paraId="2604094C">
            <w:pPr>
              <w:jc w:val="center"/>
              <w:rPr>
                <w:rFonts w:hint="eastAsia" w:eastAsia="宋体"/>
                <w:sz w:val="18"/>
                <w:szCs w:val="18"/>
                <w:lang w:val="en-US" w:eastAsia="zh-CN"/>
              </w:rPr>
            </w:pPr>
            <w:r>
              <w:rPr>
                <w:sz w:val="18"/>
                <w:szCs w:val="18"/>
              </w:rPr>
              <w:t>XS043000</w:t>
            </w:r>
            <w:r>
              <w:rPr>
                <w:rFonts w:hint="eastAsia"/>
                <w:sz w:val="18"/>
                <w:szCs w:val="18"/>
                <w:lang w:val="en-US" w:eastAsia="zh-CN"/>
              </w:rPr>
              <w:t>4</w:t>
            </w:r>
          </w:p>
        </w:tc>
        <w:tc>
          <w:tcPr>
            <w:tcW w:w="709" w:type="dxa"/>
            <w:vAlign w:val="center"/>
          </w:tcPr>
          <w:p w14:paraId="2C968EA3">
            <w:pPr>
              <w:jc w:val="center"/>
              <w:rPr>
                <w:color w:val="000000"/>
                <w:sz w:val="18"/>
                <w:szCs w:val="18"/>
              </w:rPr>
            </w:pPr>
            <w:r>
              <w:rPr>
                <w:color w:val="000000"/>
                <w:sz w:val="18"/>
                <w:szCs w:val="18"/>
              </w:rPr>
              <w:t>2</w:t>
            </w:r>
          </w:p>
        </w:tc>
        <w:tc>
          <w:tcPr>
            <w:tcW w:w="709" w:type="dxa"/>
            <w:vAlign w:val="center"/>
          </w:tcPr>
          <w:p w14:paraId="11B7E403">
            <w:pPr>
              <w:jc w:val="center"/>
              <w:rPr>
                <w:color w:val="000000"/>
                <w:sz w:val="18"/>
                <w:szCs w:val="18"/>
              </w:rPr>
            </w:pPr>
            <w:r>
              <w:rPr>
                <w:color w:val="000000"/>
                <w:sz w:val="18"/>
                <w:szCs w:val="18"/>
              </w:rPr>
              <w:t>2</w:t>
            </w:r>
          </w:p>
        </w:tc>
        <w:tc>
          <w:tcPr>
            <w:tcW w:w="1045" w:type="dxa"/>
            <w:vAlign w:val="center"/>
          </w:tcPr>
          <w:p w14:paraId="47E64C5E">
            <w:pPr>
              <w:jc w:val="center"/>
              <w:rPr>
                <w:color w:val="000000"/>
                <w:sz w:val="18"/>
                <w:szCs w:val="18"/>
              </w:rPr>
            </w:pPr>
            <w:r>
              <w:rPr>
                <w:rFonts w:hint="eastAsia"/>
                <w:color w:val="000000"/>
                <w:sz w:val="18"/>
                <w:szCs w:val="18"/>
              </w:rPr>
              <w:t>考试</w:t>
            </w:r>
          </w:p>
        </w:tc>
      </w:tr>
      <w:tr w14:paraId="04CBDE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2E8CD51">
            <w:pPr>
              <w:jc w:val="center"/>
              <w:rPr>
                <w:b/>
                <w:color w:val="000000" w:themeColor="text1"/>
                <w:sz w:val="18"/>
                <w:szCs w:val="18"/>
                <w14:textFill>
                  <w14:solidFill>
                    <w14:schemeClr w14:val="tx1"/>
                  </w14:solidFill>
                </w14:textFill>
              </w:rPr>
            </w:pPr>
          </w:p>
        </w:tc>
        <w:tc>
          <w:tcPr>
            <w:tcW w:w="1226" w:type="dxa"/>
            <w:vMerge w:val="restart"/>
            <w:vAlign w:val="center"/>
          </w:tcPr>
          <w:p w14:paraId="6CE2D0C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7D0DC69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3D370102">
            <w:pPr>
              <w:rPr>
                <w:color w:val="000000"/>
                <w:sz w:val="18"/>
                <w:szCs w:val="18"/>
              </w:rPr>
            </w:pPr>
            <w:r>
              <w:rPr>
                <w:rFonts w:hint="eastAsia"/>
                <w:color w:val="000000"/>
                <w:sz w:val="18"/>
                <w:szCs w:val="18"/>
              </w:rPr>
              <w:t>中级微观经济学</w:t>
            </w:r>
          </w:p>
        </w:tc>
        <w:tc>
          <w:tcPr>
            <w:tcW w:w="1081" w:type="dxa"/>
            <w:vAlign w:val="center"/>
          </w:tcPr>
          <w:p w14:paraId="05E6C05F">
            <w:pPr>
              <w:jc w:val="center"/>
              <w:rPr>
                <w:rFonts w:hint="eastAsia" w:eastAsia="宋体"/>
                <w:sz w:val="18"/>
                <w:szCs w:val="18"/>
                <w:lang w:val="en-US" w:eastAsia="zh-CN"/>
              </w:rPr>
            </w:pPr>
            <w:r>
              <w:rPr>
                <w:sz w:val="18"/>
                <w:szCs w:val="18"/>
              </w:rPr>
              <w:t>XS043000</w:t>
            </w:r>
            <w:r>
              <w:rPr>
                <w:rFonts w:hint="eastAsia"/>
                <w:sz w:val="18"/>
                <w:szCs w:val="18"/>
                <w:lang w:val="en-US" w:eastAsia="zh-CN"/>
              </w:rPr>
              <w:t>2</w:t>
            </w:r>
          </w:p>
        </w:tc>
        <w:tc>
          <w:tcPr>
            <w:tcW w:w="709" w:type="dxa"/>
            <w:vAlign w:val="center"/>
          </w:tcPr>
          <w:p w14:paraId="6F4D9DD6">
            <w:pPr>
              <w:jc w:val="center"/>
              <w:rPr>
                <w:color w:val="000000"/>
                <w:sz w:val="18"/>
                <w:szCs w:val="18"/>
              </w:rPr>
            </w:pPr>
            <w:r>
              <w:rPr>
                <w:color w:val="000000"/>
                <w:sz w:val="18"/>
                <w:szCs w:val="18"/>
              </w:rPr>
              <w:t>2</w:t>
            </w:r>
          </w:p>
        </w:tc>
        <w:tc>
          <w:tcPr>
            <w:tcW w:w="709" w:type="dxa"/>
            <w:vAlign w:val="center"/>
          </w:tcPr>
          <w:p w14:paraId="72CB8154">
            <w:pPr>
              <w:jc w:val="center"/>
              <w:rPr>
                <w:color w:val="000000"/>
                <w:sz w:val="18"/>
                <w:szCs w:val="18"/>
              </w:rPr>
            </w:pPr>
            <w:r>
              <w:rPr>
                <w:color w:val="000000"/>
                <w:sz w:val="18"/>
                <w:szCs w:val="18"/>
              </w:rPr>
              <w:t>1</w:t>
            </w:r>
          </w:p>
        </w:tc>
        <w:tc>
          <w:tcPr>
            <w:tcW w:w="1045" w:type="dxa"/>
            <w:vAlign w:val="center"/>
          </w:tcPr>
          <w:p w14:paraId="2E4A3743">
            <w:pPr>
              <w:jc w:val="center"/>
              <w:rPr>
                <w:color w:val="000000"/>
                <w:sz w:val="18"/>
                <w:szCs w:val="18"/>
              </w:rPr>
            </w:pPr>
            <w:r>
              <w:rPr>
                <w:rFonts w:hint="eastAsia"/>
                <w:color w:val="000000"/>
                <w:sz w:val="18"/>
                <w:szCs w:val="18"/>
              </w:rPr>
              <w:t>考试</w:t>
            </w:r>
          </w:p>
        </w:tc>
      </w:tr>
      <w:tr w14:paraId="5F60F3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F890C90">
            <w:pPr>
              <w:jc w:val="center"/>
              <w:rPr>
                <w:b/>
                <w:color w:val="000000" w:themeColor="text1"/>
                <w:sz w:val="18"/>
                <w:szCs w:val="18"/>
                <w14:textFill>
                  <w14:solidFill>
                    <w14:schemeClr w14:val="tx1"/>
                  </w14:solidFill>
                </w14:textFill>
              </w:rPr>
            </w:pPr>
          </w:p>
        </w:tc>
        <w:tc>
          <w:tcPr>
            <w:tcW w:w="1226" w:type="dxa"/>
            <w:vMerge w:val="continue"/>
            <w:vAlign w:val="center"/>
          </w:tcPr>
          <w:p w14:paraId="2072B52B">
            <w:pPr>
              <w:jc w:val="center"/>
              <w:rPr>
                <w:b/>
                <w:color w:val="000000" w:themeColor="text1"/>
                <w:sz w:val="18"/>
                <w:szCs w:val="18"/>
                <w14:textFill>
                  <w14:solidFill>
                    <w14:schemeClr w14:val="tx1"/>
                  </w14:solidFill>
                </w14:textFill>
              </w:rPr>
            </w:pPr>
          </w:p>
        </w:tc>
        <w:tc>
          <w:tcPr>
            <w:tcW w:w="3516" w:type="dxa"/>
          </w:tcPr>
          <w:p w14:paraId="0777C2F4">
            <w:pPr>
              <w:rPr>
                <w:color w:val="000000"/>
                <w:sz w:val="18"/>
                <w:szCs w:val="18"/>
              </w:rPr>
            </w:pPr>
            <w:r>
              <w:rPr>
                <w:color w:val="000000"/>
                <w:sz w:val="18"/>
                <w:szCs w:val="18"/>
              </w:rPr>
              <w:t>旅游消费行为学</w:t>
            </w:r>
          </w:p>
        </w:tc>
        <w:tc>
          <w:tcPr>
            <w:tcW w:w="1081" w:type="dxa"/>
            <w:vAlign w:val="center"/>
          </w:tcPr>
          <w:p w14:paraId="341967D4">
            <w:pPr>
              <w:jc w:val="center"/>
              <w:rPr>
                <w:rFonts w:hint="default" w:eastAsia="宋体"/>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XS04</w:t>
            </w:r>
            <w:r>
              <w:rPr>
                <w:rFonts w:hint="eastAsia"/>
                <w:color w:val="000000" w:themeColor="text1"/>
                <w:sz w:val="18"/>
                <w:szCs w:val="18"/>
                <w:lang w:val="en-US" w:eastAsia="zh-CN"/>
                <w14:textFill>
                  <w14:solidFill>
                    <w14:schemeClr w14:val="tx1"/>
                  </w14:solidFill>
                </w14:textFill>
              </w:rPr>
              <w:t>51217</w:t>
            </w:r>
          </w:p>
        </w:tc>
        <w:tc>
          <w:tcPr>
            <w:tcW w:w="709" w:type="dxa"/>
            <w:vAlign w:val="center"/>
          </w:tcPr>
          <w:p w14:paraId="5BAC2A30">
            <w:pPr>
              <w:jc w:val="center"/>
              <w:rPr>
                <w:color w:val="000000"/>
                <w:sz w:val="18"/>
                <w:szCs w:val="18"/>
              </w:rPr>
            </w:pPr>
            <w:r>
              <w:rPr>
                <w:color w:val="000000"/>
                <w:sz w:val="18"/>
                <w:szCs w:val="18"/>
              </w:rPr>
              <w:t>2</w:t>
            </w:r>
          </w:p>
        </w:tc>
        <w:tc>
          <w:tcPr>
            <w:tcW w:w="709" w:type="dxa"/>
            <w:vAlign w:val="center"/>
          </w:tcPr>
          <w:p w14:paraId="5F588D7C">
            <w:pPr>
              <w:jc w:val="center"/>
              <w:rPr>
                <w:color w:val="000000"/>
                <w:sz w:val="18"/>
                <w:szCs w:val="18"/>
              </w:rPr>
            </w:pPr>
            <w:r>
              <w:rPr>
                <w:color w:val="000000"/>
                <w:sz w:val="18"/>
                <w:szCs w:val="18"/>
              </w:rPr>
              <w:t>1</w:t>
            </w:r>
          </w:p>
        </w:tc>
        <w:tc>
          <w:tcPr>
            <w:tcW w:w="1045" w:type="dxa"/>
            <w:vAlign w:val="center"/>
          </w:tcPr>
          <w:p w14:paraId="214D4F98">
            <w:pPr>
              <w:jc w:val="center"/>
              <w:rPr>
                <w:color w:val="000000"/>
                <w:sz w:val="18"/>
                <w:szCs w:val="18"/>
              </w:rPr>
            </w:pPr>
            <w:r>
              <w:rPr>
                <w:rFonts w:hint="eastAsia"/>
                <w:color w:val="000000"/>
                <w:sz w:val="18"/>
                <w:szCs w:val="18"/>
              </w:rPr>
              <w:t>考试</w:t>
            </w:r>
          </w:p>
        </w:tc>
      </w:tr>
      <w:tr w14:paraId="5121C3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62B60A7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59F342F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37C4C1B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44BE9F1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78CB1E0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0178C80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7F1386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3F930B7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15CF44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6460001">
            <w:pPr>
              <w:jc w:val="center"/>
              <w:rPr>
                <w:b/>
                <w:color w:val="000000" w:themeColor="text1"/>
                <w:sz w:val="18"/>
                <w:szCs w:val="18"/>
                <w14:textFill>
                  <w14:solidFill>
                    <w14:schemeClr w14:val="tx1"/>
                  </w14:solidFill>
                </w14:textFill>
              </w:rPr>
            </w:pPr>
          </w:p>
        </w:tc>
        <w:tc>
          <w:tcPr>
            <w:tcW w:w="1226" w:type="dxa"/>
            <w:vMerge w:val="continue"/>
            <w:vAlign w:val="center"/>
          </w:tcPr>
          <w:p w14:paraId="0FAA03A1">
            <w:pPr>
              <w:jc w:val="center"/>
              <w:rPr>
                <w:b/>
                <w:color w:val="000000" w:themeColor="text1"/>
                <w:sz w:val="18"/>
                <w:szCs w:val="18"/>
                <w14:textFill>
                  <w14:solidFill>
                    <w14:schemeClr w14:val="tx1"/>
                  </w14:solidFill>
                </w14:textFill>
              </w:rPr>
            </w:pPr>
          </w:p>
        </w:tc>
        <w:tc>
          <w:tcPr>
            <w:tcW w:w="3516" w:type="dxa"/>
            <w:vAlign w:val="center"/>
          </w:tcPr>
          <w:p w14:paraId="5FD9EDB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32FABEE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41ADFE1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C5B528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24F0DC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A3120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FB62772">
            <w:pPr>
              <w:rPr>
                <w:b/>
                <w:color w:val="000000" w:themeColor="text1"/>
                <w:sz w:val="18"/>
                <w:szCs w:val="18"/>
                <w14:textFill>
                  <w14:solidFill>
                    <w14:schemeClr w14:val="tx1"/>
                  </w14:solidFill>
                </w14:textFill>
              </w:rPr>
            </w:pPr>
          </w:p>
        </w:tc>
        <w:tc>
          <w:tcPr>
            <w:tcW w:w="1226" w:type="dxa"/>
            <w:vMerge w:val="restart"/>
            <w:vAlign w:val="center"/>
          </w:tcPr>
          <w:p w14:paraId="5C4FA03C">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旅游企业管理方向选修课</w:t>
            </w:r>
          </w:p>
        </w:tc>
        <w:tc>
          <w:tcPr>
            <w:tcW w:w="3516" w:type="dxa"/>
            <w:vAlign w:val="center"/>
          </w:tcPr>
          <w:p w14:paraId="19A79288">
            <w:pPr>
              <w:rPr>
                <w:color w:val="FF0000"/>
                <w:sz w:val="18"/>
                <w:szCs w:val="18"/>
              </w:rPr>
            </w:pPr>
            <w:r>
              <w:rPr>
                <w:rFonts w:hint="eastAsia"/>
                <w:color w:val="000000"/>
                <w:sz w:val="18"/>
                <w:szCs w:val="18"/>
              </w:rPr>
              <w:t>旅游企业管理</w:t>
            </w:r>
          </w:p>
        </w:tc>
        <w:tc>
          <w:tcPr>
            <w:tcW w:w="1081" w:type="dxa"/>
            <w:vAlign w:val="center"/>
          </w:tcPr>
          <w:p w14:paraId="50DF6433">
            <w:pPr>
              <w:jc w:val="center"/>
              <w:rPr>
                <w:rFonts w:hint="eastAsia" w:eastAsia="宋体"/>
                <w:color w:val="000000"/>
                <w:sz w:val="18"/>
                <w:szCs w:val="18"/>
                <w:lang w:val="en-US" w:eastAsia="zh-CN"/>
              </w:rPr>
            </w:pPr>
            <w:r>
              <w:rPr>
                <w:color w:val="000000"/>
                <w:sz w:val="18"/>
                <w:szCs w:val="18"/>
              </w:rPr>
              <w:t>XS043320</w:t>
            </w:r>
            <w:r>
              <w:rPr>
                <w:rFonts w:hint="eastAsia"/>
                <w:color w:val="000000"/>
                <w:sz w:val="18"/>
                <w:szCs w:val="18"/>
                <w:lang w:val="en-US" w:eastAsia="zh-CN"/>
              </w:rPr>
              <w:t>4</w:t>
            </w:r>
          </w:p>
        </w:tc>
        <w:tc>
          <w:tcPr>
            <w:tcW w:w="709" w:type="dxa"/>
            <w:vAlign w:val="center"/>
          </w:tcPr>
          <w:p w14:paraId="6C6C58C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D24108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79F9699F">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16D8E94A">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r>
              <w:rPr>
                <w:color w:val="000000" w:themeColor="text1"/>
                <w:sz w:val="18"/>
                <w:szCs w:val="18"/>
                <w14:textFill>
                  <w14:solidFill>
                    <w14:schemeClr w14:val="tx1"/>
                  </w14:solidFill>
                </w14:textFill>
              </w:rPr>
              <w:t>学分</w:t>
            </w:r>
          </w:p>
        </w:tc>
      </w:tr>
      <w:tr w14:paraId="0DF3EF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D826A1">
            <w:pPr>
              <w:rPr>
                <w:b/>
                <w:color w:val="000000" w:themeColor="text1"/>
                <w:sz w:val="18"/>
                <w:szCs w:val="18"/>
                <w14:textFill>
                  <w14:solidFill>
                    <w14:schemeClr w14:val="tx1"/>
                  </w14:solidFill>
                </w14:textFill>
              </w:rPr>
            </w:pPr>
          </w:p>
        </w:tc>
        <w:tc>
          <w:tcPr>
            <w:tcW w:w="1226" w:type="dxa"/>
            <w:vMerge w:val="continue"/>
            <w:vAlign w:val="center"/>
          </w:tcPr>
          <w:p w14:paraId="2EE15EF3">
            <w:pPr>
              <w:adjustRightInd w:val="0"/>
              <w:snapToGrid w:val="0"/>
              <w:jc w:val="center"/>
              <w:rPr>
                <w:b/>
                <w:color w:val="FF0000"/>
                <w:sz w:val="18"/>
                <w:szCs w:val="18"/>
              </w:rPr>
            </w:pPr>
          </w:p>
        </w:tc>
        <w:tc>
          <w:tcPr>
            <w:tcW w:w="3516" w:type="dxa"/>
            <w:vAlign w:val="center"/>
          </w:tcPr>
          <w:p w14:paraId="2F8BF61F">
            <w:pPr>
              <w:rPr>
                <w:color w:val="FF0000"/>
                <w:sz w:val="18"/>
                <w:szCs w:val="18"/>
              </w:rPr>
            </w:pPr>
            <w:r>
              <w:rPr>
                <w:rFonts w:hint="eastAsia"/>
                <w:color w:val="000000"/>
                <w:sz w:val="18"/>
                <w:szCs w:val="18"/>
              </w:rPr>
              <w:t>住宿业管理与创新</w:t>
            </w:r>
          </w:p>
        </w:tc>
        <w:tc>
          <w:tcPr>
            <w:tcW w:w="1081" w:type="dxa"/>
            <w:vAlign w:val="center"/>
          </w:tcPr>
          <w:p w14:paraId="15F1A690">
            <w:pPr>
              <w:jc w:val="center"/>
              <w:rPr>
                <w:rFonts w:hint="default" w:eastAsia="宋体"/>
                <w:color w:val="000000"/>
                <w:sz w:val="18"/>
                <w:szCs w:val="18"/>
                <w:lang w:val="en-US" w:eastAsia="zh-CN"/>
              </w:rPr>
            </w:pPr>
            <w:r>
              <w:rPr>
                <w:color w:val="000000"/>
                <w:sz w:val="18"/>
                <w:szCs w:val="18"/>
              </w:rPr>
              <w:t>XS04332</w:t>
            </w:r>
            <w:r>
              <w:rPr>
                <w:rFonts w:hint="eastAsia"/>
                <w:color w:val="000000"/>
                <w:sz w:val="18"/>
                <w:szCs w:val="18"/>
                <w:lang w:val="en-US" w:eastAsia="zh-CN"/>
              </w:rPr>
              <w:t>30</w:t>
            </w:r>
          </w:p>
        </w:tc>
        <w:tc>
          <w:tcPr>
            <w:tcW w:w="709" w:type="dxa"/>
            <w:vAlign w:val="center"/>
          </w:tcPr>
          <w:p w14:paraId="7242A70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E307B9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3591F42F">
            <w:pPr>
              <w:adjustRightInd w:val="0"/>
              <w:snapToGrid w:val="0"/>
              <w:jc w:val="center"/>
              <w:rPr>
                <w:color w:val="000000" w:themeColor="text1"/>
                <w:sz w:val="18"/>
                <w:szCs w:val="18"/>
                <w14:textFill>
                  <w14:solidFill>
                    <w14:schemeClr w14:val="tx1"/>
                  </w14:solidFill>
                </w14:textFill>
              </w:rPr>
            </w:pPr>
          </w:p>
        </w:tc>
      </w:tr>
      <w:tr w14:paraId="40087D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FBAA2D2">
            <w:pPr>
              <w:rPr>
                <w:b/>
                <w:color w:val="000000" w:themeColor="text1"/>
                <w:sz w:val="18"/>
                <w:szCs w:val="18"/>
                <w14:textFill>
                  <w14:solidFill>
                    <w14:schemeClr w14:val="tx1"/>
                  </w14:solidFill>
                </w14:textFill>
              </w:rPr>
            </w:pPr>
          </w:p>
        </w:tc>
        <w:tc>
          <w:tcPr>
            <w:tcW w:w="1226" w:type="dxa"/>
            <w:vMerge w:val="continue"/>
            <w:vAlign w:val="center"/>
          </w:tcPr>
          <w:p w14:paraId="0B1FBD16">
            <w:pPr>
              <w:jc w:val="center"/>
              <w:rPr>
                <w:b/>
                <w:color w:val="000000" w:themeColor="text1"/>
                <w:sz w:val="18"/>
                <w:szCs w:val="18"/>
                <w14:textFill>
                  <w14:solidFill>
                    <w14:schemeClr w14:val="tx1"/>
                  </w14:solidFill>
                </w14:textFill>
              </w:rPr>
            </w:pPr>
          </w:p>
        </w:tc>
        <w:tc>
          <w:tcPr>
            <w:tcW w:w="3516" w:type="dxa"/>
            <w:vAlign w:val="center"/>
          </w:tcPr>
          <w:p w14:paraId="1E013E2B">
            <w:pPr>
              <w:adjustRightInd w:val="0"/>
              <w:snapToGrid w:val="0"/>
              <w:rPr>
                <w:color w:val="FF0000"/>
                <w:sz w:val="18"/>
                <w:szCs w:val="18"/>
              </w:rPr>
            </w:pPr>
            <w:r>
              <w:rPr>
                <w:rFonts w:hint="eastAsia"/>
                <w:color w:val="000000"/>
                <w:sz w:val="18"/>
                <w:szCs w:val="18"/>
              </w:rPr>
              <w:t>智慧景区运营与管理</w:t>
            </w:r>
          </w:p>
        </w:tc>
        <w:tc>
          <w:tcPr>
            <w:tcW w:w="1081" w:type="dxa"/>
            <w:vAlign w:val="center"/>
          </w:tcPr>
          <w:p w14:paraId="33519120">
            <w:pPr>
              <w:jc w:val="center"/>
              <w:rPr>
                <w:rFonts w:hint="default" w:eastAsia="宋体"/>
                <w:color w:val="000000"/>
                <w:sz w:val="18"/>
                <w:szCs w:val="18"/>
                <w:lang w:val="en-US" w:eastAsia="zh-CN"/>
              </w:rPr>
            </w:pPr>
            <w:r>
              <w:rPr>
                <w:color w:val="000000"/>
                <w:sz w:val="18"/>
                <w:szCs w:val="18"/>
              </w:rPr>
              <w:t>XS04332</w:t>
            </w:r>
            <w:r>
              <w:rPr>
                <w:rFonts w:hint="eastAsia"/>
                <w:color w:val="000000"/>
                <w:sz w:val="18"/>
                <w:szCs w:val="18"/>
                <w:lang w:val="en-US" w:eastAsia="zh-CN"/>
              </w:rPr>
              <w:t>31</w:t>
            </w:r>
          </w:p>
        </w:tc>
        <w:tc>
          <w:tcPr>
            <w:tcW w:w="709" w:type="dxa"/>
            <w:vAlign w:val="center"/>
          </w:tcPr>
          <w:p w14:paraId="6002F85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A26849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285D4137">
            <w:pPr>
              <w:jc w:val="center"/>
              <w:rPr>
                <w:color w:val="000000" w:themeColor="text1"/>
                <w:sz w:val="18"/>
                <w:szCs w:val="18"/>
                <w14:textFill>
                  <w14:solidFill>
                    <w14:schemeClr w14:val="tx1"/>
                  </w14:solidFill>
                </w14:textFill>
              </w:rPr>
            </w:pPr>
          </w:p>
        </w:tc>
      </w:tr>
      <w:tr w14:paraId="4A58AB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D69320D">
            <w:pPr>
              <w:rPr>
                <w:b/>
                <w:color w:val="000000" w:themeColor="text1"/>
                <w:sz w:val="18"/>
                <w:szCs w:val="18"/>
                <w14:textFill>
                  <w14:solidFill>
                    <w14:schemeClr w14:val="tx1"/>
                  </w14:solidFill>
                </w14:textFill>
              </w:rPr>
            </w:pPr>
          </w:p>
        </w:tc>
        <w:tc>
          <w:tcPr>
            <w:tcW w:w="1226" w:type="dxa"/>
            <w:vMerge w:val="continue"/>
            <w:vAlign w:val="center"/>
          </w:tcPr>
          <w:p w14:paraId="373063A5">
            <w:pPr>
              <w:jc w:val="center"/>
              <w:rPr>
                <w:b/>
                <w:color w:val="000000" w:themeColor="text1"/>
                <w:sz w:val="18"/>
                <w:szCs w:val="18"/>
                <w14:textFill>
                  <w14:solidFill>
                    <w14:schemeClr w14:val="tx1"/>
                  </w14:solidFill>
                </w14:textFill>
              </w:rPr>
            </w:pPr>
          </w:p>
        </w:tc>
        <w:tc>
          <w:tcPr>
            <w:tcW w:w="3516" w:type="dxa"/>
            <w:vAlign w:val="center"/>
          </w:tcPr>
          <w:p w14:paraId="7302F6BA">
            <w:pPr>
              <w:adjustRightInd w:val="0"/>
              <w:snapToGrid w:val="0"/>
              <w:rPr>
                <w:color w:val="FF0000"/>
                <w:sz w:val="18"/>
                <w:szCs w:val="18"/>
              </w:rPr>
            </w:pPr>
            <w:r>
              <w:rPr>
                <w:color w:val="000000" w:themeColor="text1"/>
                <w:sz w:val="18"/>
                <w:szCs w:val="18"/>
                <w14:textFill>
                  <w14:solidFill>
                    <w14:schemeClr w14:val="tx1"/>
                  </w14:solidFill>
                </w14:textFill>
              </w:rPr>
              <w:t>旅游业态创新与实践</w:t>
            </w:r>
          </w:p>
        </w:tc>
        <w:tc>
          <w:tcPr>
            <w:tcW w:w="1081" w:type="dxa"/>
            <w:vAlign w:val="center"/>
          </w:tcPr>
          <w:p w14:paraId="2CAAFBC2">
            <w:pPr>
              <w:jc w:val="center"/>
              <w:rPr>
                <w:rFonts w:hint="default" w:eastAsia="宋体"/>
                <w:color w:val="000000"/>
                <w:sz w:val="18"/>
                <w:szCs w:val="18"/>
                <w:lang w:val="en-US" w:eastAsia="zh-CN"/>
              </w:rPr>
            </w:pPr>
            <w:r>
              <w:rPr>
                <w:color w:val="000000"/>
                <w:sz w:val="18"/>
                <w:szCs w:val="18"/>
              </w:rPr>
              <w:t>XS04332</w:t>
            </w:r>
            <w:r>
              <w:rPr>
                <w:rFonts w:hint="eastAsia"/>
                <w:color w:val="000000"/>
                <w:sz w:val="18"/>
                <w:szCs w:val="18"/>
                <w:lang w:val="en-US" w:eastAsia="zh-CN"/>
              </w:rPr>
              <w:t>32</w:t>
            </w:r>
          </w:p>
        </w:tc>
        <w:tc>
          <w:tcPr>
            <w:tcW w:w="709" w:type="dxa"/>
            <w:vAlign w:val="center"/>
          </w:tcPr>
          <w:p w14:paraId="4B224E5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A5DA8C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194F61E0">
            <w:pPr>
              <w:jc w:val="center"/>
              <w:rPr>
                <w:color w:val="000000" w:themeColor="text1"/>
                <w:sz w:val="18"/>
                <w:szCs w:val="18"/>
                <w14:textFill>
                  <w14:solidFill>
                    <w14:schemeClr w14:val="tx1"/>
                  </w14:solidFill>
                </w14:textFill>
              </w:rPr>
            </w:pPr>
          </w:p>
        </w:tc>
      </w:tr>
      <w:tr w14:paraId="392D12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569140E">
            <w:pPr>
              <w:rPr>
                <w:b/>
                <w:color w:val="000000" w:themeColor="text1"/>
                <w:sz w:val="18"/>
                <w:szCs w:val="18"/>
                <w14:textFill>
                  <w14:solidFill>
                    <w14:schemeClr w14:val="tx1"/>
                  </w14:solidFill>
                </w14:textFill>
              </w:rPr>
            </w:pPr>
          </w:p>
        </w:tc>
        <w:tc>
          <w:tcPr>
            <w:tcW w:w="1226" w:type="dxa"/>
            <w:vMerge w:val="restart"/>
            <w:vAlign w:val="center"/>
          </w:tcPr>
          <w:p w14:paraId="131C22F7">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旅游规划与乡村振兴方向选修课</w:t>
            </w:r>
          </w:p>
        </w:tc>
        <w:tc>
          <w:tcPr>
            <w:tcW w:w="3516" w:type="dxa"/>
            <w:vAlign w:val="center"/>
          </w:tcPr>
          <w:p w14:paraId="73EBDB2A">
            <w:pPr>
              <w:rPr>
                <w:color w:val="FF0000"/>
                <w:sz w:val="18"/>
                <w:szCs w:val="18"/>
              </w:rPr>
            </w:pPr>
            <w:r>
              <w:rPr>
                <w:rFonts w:hint="eastAsia"/>
                <w:color w:val="000000"/>
                <w:sz w:val="18"/>
                <w:szCs w:val="18"/>
              </w:rPr>
              <w:t>旅游规划原理</w:t>
            </w:r>
          </w:p>
        </w:tc>
        <w:tc>
          <w:tcPr>
            <w:tcW w:w="1081" w:type="dxa"/>
            <w:vAlign w:val="center"/>
          </w:tcPr>
          <w:p w14:paraId="53B133DE">
            <w:pPr>
              <w:jc w:val="center"/>
              <w:rPr>
                <w:rFonts w:hint="default" w:eastAsia="宋体"/>
                <w:color w:val="000000"/>
                <w:sz w:val="18"/>
                <w:szCs w:val="18"/>
                <w:lang w:val="en-US" w:eastAsia="zh-CN"/>
              </w:rPr>
            </w:pPr>
            <w:r>
              <w:rPr>
                <w:color w:val="000000"/>
                <w:sz w:val="18"/>
                <w:szCs w:val="18"/>
              </w:rPr>
              <w:t>XS04332</w:t>
            </w:r>
            <w:r>
              <w:rPr>
                <w:rFonts w:hint="eastAsia"/>
                <w:color w:val="000000"/>
                <w:sz w:val="18"/>
                <w:szCs w:val="18"/>
                <w:lang w:val="en-US" w:eastAsia="zh-CN"/>
              </w:rPr>
              <w:t>33</w:t>
            </w:r>
          </w:p>
        </w:tc>
        <w:tc>
          <w:tcPr>
            <w:tcW w:w="709" w:type="dxa"/>
            <w:vAlign w:val="center"/>
          </w:tcPr>
          <w:p w14:paraId="583E5C6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B90449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3EE93A95">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2C5E2197">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r>
              <w:rPr>
                <w:color w:val="000000" w:themeColor="text1"/>
                <w:sz w:val="18"/>
                <w:szCs w:val="18"/>
                <w14:textFill>
                  <w14:solidFill>
                    <w14:schemeClr w14:val="tx1"/>
                  </w14:solidFill>
                </w14:textFill>
              </w:rPr>
              <w:t>学分</w:t>
            </w:r>
          </w:p>
        </w:tc>
      </w:tr>
      <w:tr w14:paraId="12A325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88AFA6E">
            <w:pPr>
              <w:rPr>
                <w:b/>
                <w:color w:val="000000" w:themeColor="text1"/>
                <w:sz w:val="18"/>
                <w:szCs w:val="18"/>
                <w14:textFill>
                  <w14:solidFill>
                    <w14:schemeClr w14:val="tx1"/>
                  </w14:solidFill>
                </w14:textFill>
              </w:rPr>
            </w:pPr>
          </w:p>
        </w:tc>
        <w:tc>
          <w:tcPr>
            <w:tcW w:w="1226" w:type="dxa"/>
            <w:vMerge w:val="continue"/>
            <w:vAlign w:val="center"/>
          </w:tcPr>
          <w:p w14:paraId="18353E83">
            <w:pPr>
              <w:adjustRightInd w:val="0"/>
              <w:snapToGrid w:val="0"/>
              <w:jc w:val="center"/>
              <w:rPr>
                <w:b/>
                <w:color w:val="FF0000"/>
                <w:sz w:val="18"/>
                <w:szCs w:val="18"/>
              </w:rPr>
            </w:pPr>
          </w:p>
        </w:tc>
        <w:tc>
          <w:tcPr>
            <w:tcW w:w="3516" w:type="dxa"/>
            <w:vAlign w:val="center"/>
          </w:tcPr>
          <w:p w14:paraId="3D4CFB69">
            <w:pPr>
              <w:rPr>
                <w:color w:val="FF0000"/>
                <w:sz w:val="18"/>
                <w:szCs w:val="18"/>
              </w:rPr>
            </w:pPr>
            <w:r>
              <w:rPr>
                <w:rFonts w:hint="eastAsia"/>
                <w:color w:val="000000"/>
                <w:sz w:val="18"/>
                <w:szCs w:val="18"/>
              </w:rPr>
              <w:t>文旅融合：理论前沿与创新实践</w:t>
            </w:r>
          </w:p>
        </w:tc>
        <w:tc>
          <w:tcPr>
            <w:tcW w:w="1081" w:type="dxa"/>
            <w:vAlign w:val="center"/>
          </w:tcPr>
          <w:p w14:paraId="2881208D">
            <w:pPr>
              <w:jc w:val="center"/>
              <w:rPr>
                <w:rFonts w:hint="default" w:eastAsia="宋体"/>
                <w:color w:val="000000"/>
                <w:sz w:val="18"/>
                <w:szCs w:val="18"/>
                <w:lang w:val="en-US" w:eastAsia="zh-CN"/>
              </w:rPr>
            </w:pPr>
            <w:r>
              <w:rPr>
                <w:color w:val="000000"/>
                <w:sz w:val="18"/>
                <w:szCs w:val="18"/>
              </w:rPr>
              <w:t>XS04332</w:t>
            </w:r>
            <w:r>
              <w:rPr>
                <w:rFonts w:hint="eastAsia"/>
                <w:color w:val="000000"/>
                <w:sz w:val="18"/>
                <w:szCs w:val="18"/>
                <w:lang w:val="en-US" w:eastAsia="zh-CN"/>
              </w:rPr>
              <w:t>34</w:t>
            </w:r>
          </w:p>
        </w:tc>
        <w:tc>
          <w:tcPr>
            <w:tcW w:w="709" w:type="dxa"/>
            <w:vAlign w:val="center"/>
          </w:tcPr>
          <w:p w14:paraId="4354DDD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73FA1D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4530ABD7">
            <w:pPr>
              <w:adjustRightInd w:val="0"/>
              <w:snapToGrid w:val="0"/>
              <w:jc w:val="center"/>
              <w:rPr>
                <w:color w:val="000000" w:themeColor="text1"/>
                <w:sz w:val="18"/>
                <w:szCs w:val="18"/>
                <w14:textFill>
                  <w14:solidFill>
                    <w14:schemeClr w14:val="tx1"/>
                  </w14:solidFill>
                </w14:textFill>
              </w:rPr>
            </w:pPr>
          </w:p>
        </w:tc>
      </w:tr>
      <w:tr w14:paraId="702D74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5950DA1">
            <w:pPr>
              <w:rPr>
                <w:b/>
                <w:color w:val="000000" w:themeColor="text1"/>
                <w:sz w:val="18"/>
                <w:szCs w:val="18"/>
                <w14:textFill>
                  <w14:solidFill>
                    <w14:schemeClr w14:val="tx1"/>
                  </w14:solidFill>
                </w14:textFill>
              </w:rPr>
            </w:pPr>
          </w:p>
        </w:tc>
        <w:tc>
          <w:tcPr>
            <w:tcW w:w="1226" w:type="dxa"/>
            <w:vMerge w:val="continue"/>
            <w:vAlign w:val="center"/>
          </w:tcPr>
          <w:p w14:paraId="797D2D8D">
            <w:pPr>
              <w:adjustRightInd w:val="0"/>
              <w:snapToGrid w:val="0"/>
              <w:jc w:val="center"/>
              <w:rPr>
                <w:b/>
                <w:color w:val="FF0000"/>
                <w:sz w:val="18"/>
                <w:szCs w:val="18"/>
              </w:rPr>
            </w:pPr>
          </w:p>
        </w:tc>
        <w:tc>
          <w:tcPr>
            <w:tcW w:w="3516" w:type="dxa"/>
            <w:vAlign w:val="center"/>
          </w:tcPr>
          <w:p w14:paraId="66E5A51A">
            <w:pPr>
              <w:rPr>
                <w:color w:val="FF0000"/>
                <w:sz w:val="18"/>
                <w:szCs w:val="18"/>
              </w:rPr>
            </w:pPr>
            <w:r>
              <w:rPr>
                <w:rFonts w:hint="eastAsia"/>
                <w:color w:val="000000"/>
                <w:sz w:val="18"/>
                <w:szCs w:val="18"/>
              </w:rPr>
              <w:t>旅游乡村振兴规划案例精选</w:t>
            </w:r>
          </w:p>
        </w:tc>
        <w:tc>
          <w:tcPr>
            <w:tcW w:w="1081" w:type="dxa"/>
            <w:vAlign w:val="center"/>
          </w:tcPr>
          <w:p w14:paraId="5C2D4873">
            <w:pPr>
              <w:jc w:val="center"/>
              <w:rPr>
                <w:rFonts w:hint="default" w:eastAsia="宋体"/>
                <w:color w:val="000000"/>
                <w:sz w:val="18"/>
                <w:szCs w:val="18"/>
                <w:lang w:val="en-US" w:eastAsia="zh-CN"/>
              </w:rPr>
            </w:pPr>
            <w:r>
              <w:rPr>
                <w:color w:val="000000"/>
                <w:sz w:val="18"/>
                <w:szCs w:val="18"/>
              </w:rPr>
              <w:t>XS04332</w:t>
            </w:r>
            <w:r>
              <w:rPr>
                <w:rFonts w:hint="eastAsia"/>
                <w:color w:val="000000"/>
                <w:sz w:val="18"/>
                <w:szCs w:val="18"/>
                <w:lang w:val="en-US" w:eastAsia="zh-CN"/>
              </w:rPr>
              <w:t>35</w:t>
            </w:r>
          </w:p>
        </w:tc>
        <w:tc>
          <w:tcPr>
            <w:tcW w:w="709" w:type="dxa"/>
            <w:vAlign w:val="center"/>
          </w:tcPr>
          <w:p w14:paraId="540FC6C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6D499CC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65886E7B">
            <w:pPr>
              <w:adjustRightInd w:val="0"/>
              <w:snapToGrid w:val="0"/>
              <w:jc w:val="center"/>
              <w:rPr>
                <w:color w:val="000000" w:themeColor="text1"/>
                <w:sz w:val="18"/>
                <w:szCs w:val="18"/>
                <w14:textFill>
                  <w14:solidFill>
                    <w14:schemeClr w14:val="tx1"/>
                  </w14:solidFill>
                </w14:textFill>
              </w:rPr>
            </w:pPr>
          </w:p>
        </w:tc>
      </w:tr>
      <w:tr w14:paraId="3A4F13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302897F">
            <w:pPr>
              <w:rPr>
                <w:b/>
                <w:color w:val="000000" w:themeColor="text1"/>
                <w:sz w:val="18"/>
                <w:szCs w:val="18"/>
                <w14:textFill>
                  <w14:solidFill>
                    <w14:schemeClr w14:val="tx1"/>
                  </w14:solidFill>
                </w14:textFill>
              </w:rPr>
            </w:pPr>
          </w:p>
        </w:tc>
        <w:tc>
          <w:tcPr>
            <w:tcW w:w="1226" w:type="dxa"/>
            <w:vMerge w:val="continue"/>
          </w:tcPr>
          <w:p w14:paraId="6B96E43D">
            <w:pPr>
              <w:jc w:val="center"/>
              <w:rPr>
                <w:b/>
                <w:color w:val="000000" w:themeColor="text1"/>
                <w:sz w:val="18"/>
                <w:szCs w:val="18"/>
                <w14:textFill>
                  <w14:solidFill>
                    <w14:schemeClr w14:val="tx1"/>
                  </w14:solidFill>
                </w14:textFill>
              </w:rPr>
            </w:pPr>
          </w:p>
        </w:tc>
        <w:tc>
          <w:tcPr>
            <w:tcW w:w="3516" w:type="dxa"/>
            <w:vAlign w:val="center"/>
          </w:tcPr>
          <w:p w14:paraId="7404429E">
            <w:pPr>
              <w:adjustRightInd w:val="0"/>
              <w:snapToGrid w:val="0"/>
              <w:rPr>
                <w:color w:val="FF0000"/>
                <w:sz w:val="18"/>
                <w:szCs w:val="18"/>
              </w:rPr>
            </w:pPr>
            <w:r>
              <w:rPr>
                <w:rFonts w:hint="eastAsia"/>
                <w:color w:val="000000" w:themeColor="text1"/>
                <w:sz w:val="18"/>
                <w:szCs w:val="18"/>
                <w14:textFill>
                  <w14:solidFill>
                    <w14:schemeClr w14:val="tx1"/>
                  </w14:solidFill>
                </w14:textFill>
              </w:rPr>
              <w:t>旅游目的地管理</w:t>
            </w:r>
          </w:p>
        </w:tc>
        <w:tc>
          <w:tcPr>
            <w:tcW w:w="1081" w:type="dxa"/>
            <w:vAlign w:val="center"/>
          </w:tcPr>
          <w:p w14:paraId="486F544C">
            <w:pPr>
              <w:jc w:val="center"/>
              <w:rPr>
                <w:rFonts w:hint="eastAsia" w:eastAsia="宋体"/>
                <w:color w:val="000000"/>
                <w:sz w:val="18"/>
                <w:szCs w:val="18"/>
                <w:lang w:val="en-US" w:eastAsia="zh-CN"/>
              </w:rPr>
            </w:pPr>
            <w:r>
              <w:rPr>
                <w:color w:val="000000"/>
                <w:sz w:val="18"/>
                <w:szCs w:val="18"/>
              </w:rPr>
              <w:t>XS043320</w:t>
            </w:r>
            <w:r>
              <w:rPr>
                <w:rFonts w:hint="eastAsia"/>
                <w:color w:val="000000"/>
                <w:sz w:val="18"/>
                <w:szCs w:val="18"/>
                <w:lang w:val="en-US" w:eastAsia="zh-CN"/>
              </w:rPr>
              <w:t>4</w:t>
            </w:r>
          </w:p>
        </w:tc>
        <w:tc>
          <w:tcPr>
            <w:tcW w:w="709" w:type="dxa"/>
            <w:vAlign w:val="center"/>
          </w:tcPr>
          <w:p w14:paraId="04A2FCC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866692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517AF3CC">
            <w:pPr>
              <w:jc w:val="center"/>
              <w:rPr>
                <w:color w:val="000000" w:themeColor="text1"/>
                <w:sz w:val="18"/>
                <w:szCs w:val="18"/>
                <w14:textFill>
                  <w14:solidFill>
                    <w14:schemeClr w14:val="tx1"/>
                  </w14:solidFill>
                </w14:textFill>
              </w:rPr>
            </w:pPr>
          </w:p>
        </w:tc>
      </w:tr>
      <w:tr w14:paraId="4FFA43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ACC289C">
            <w:pPr>
              <w:rPr>
                <w:b/>
                <w:color w:val="000000" w:themeColor="text1"/>
                <w:sz w:val="18"/>
                <w:szCs w:val="18"/>
                <w14:textFill>
                  <w14:solidFill>
                    <w14:schemeClr w14:val="tx1"/>
                  </w14:solidFill>
                </w14:textFill>
              </w:rPr>
            </w:pPr>
          </w:p>
        </w:tc>
        <w:tc>
          <w:tcPr>
            <w:tcW w:w="1226" w:type="dxa"/>
            <w:vMerge w:val="restart"/>
            <w:vAlign w:val="center"/>
          </w:tcPr>
          <w:p w14:paraId="2253ED1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智慧旅游与科技应用</w:t>
            </w:r>
          </w:p>
        </w:tc>
        <w:tc>
          <w:tcPr>
            <w:tcW w:w="3516" w:type="dxa"/>
            <w:vAlign w:val="center"/>
          </w:tcPr>
          <w:p w14:paraId="17AB3E39">
            <w:pPr>
              <w:adjustRightInd w:val="0"/>
              <w:snapToGrid w:val="0"/>
              <w:rPr>
                <w:color w:val="FF0000"/>
                <w:sz w:val="18"/>
                <w:szCs w:val="18"/>
              </w:rPr>
            </w:pPr>
            <w:r>
              <w:rPr>
                <w:rFonts w:hint="eastAsia"/>
                <w:color w:val="000000"/>
                <w:sz w:val="18"/>
                <w:szCs w:val="18"/>
              </w:rPr>
              <w:t>智慧旅游：理论与实践</w:t>
            </w:r>
          </w:p>
        </w:tc>
        <w:tc>
          <w:tcPr>
            <w:tcW w:w="1081" w:type="dxa"/>
            <w:vAlign w:val="center"/>
          </w:tcPr>
          <w:p w14:paraId="6E36360F">
            <w:pPr>
              <w:jc w:val="center"/>
              <w:rPr>
                <w:rFonts w:hint="eastAsia" w:eastAsia="宋体"/>
                <w:color w:val="000000"/>
                <w:sz w:val="18"/>
                <w:szCs w:val="18"/>
                <w:lang w:val="en-US" w:eastAsia="zh-CN"/>
              </w:rPr>
            </w:pPr>
            <w:r>
              <w:rPr>
                <w:color w:val="000000"/>
                <w:sz w:val="18"/>
                <w:szCs w:val="18"/>
              </w:rPr>
              <w:t>XS043320</w:t>
            </w:r>
            <w:r>
              <w:rPr>
                <w:rFonts w:hint="eastAsia"/>
                <w:color w:val="000000"/>
                <w:sz w:val="18"/>
                <w:szCs w:val="18"/>
                <w:lang w:val="en-US" w:eastAsia="zh-CN"/>
              </w:rPr>
              <w:t>6</w:t>
            </w:r>
          </w:p>
        </w:tc>
        <w:tc>
          <w:tcPr>
            <w:tcW w:w="709" w:type="dxa"/>
            <w:vAlign w:val="center"/>
          </w:tcPr>
          <w:p w14:paraId="46D003D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6842F86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593AF7DE">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5A0BEDB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r>
              <w:rPr>
                <w:color w:val="000000" w:themeColor="text1"/>
                <w:sz w:val="18"/>
                <w:szCs w:val="18"/>
                <w14:textFill>
                  <w14:solidFill>
                    <w14:schemeClr w14:val="tx1"/>
                  </w14:solidFill>
                </w14:textFill>
              </w:rPr>
              <w:t>学分</w:t>
            </w:r>
          </w:p>
        </w:tc>
      </w:tr>
      <w:tr w14:paraId="046F5A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BE1600F">
            <w:pPr>
              <w:rPr>
                <w:b/>
                <w:color w:val="000000" w:themeColor="text1"/>
                <w:sz w:val="18"/>
                <w:szCs w:val="18"/>
                <w14:textFill>
                  <w14:solidFill>
                    <w14:schemeClr w14:val="tx1"/>
                  </w14:solidFill>
                </w14:textFill>
              </w:rPr>
            </w:pPr>
          </w:p>
        </w:tc>
        <w:tc>
          <w:tcPr>
            <w:tcW w:w="1226" w:type="dxa"/>
            <w:vMerge w:val="continue"/>
          </w:tcPr>
          <w:p w14:paraId="428B0A9A">
            <w:pPr>
              <w:jc w:val="center"/>
              <w:rPr>
                <w:b/>
                <w:color w:val="000000" w:themeColor="text1"/>
                <w:sz w:val="18"/>
                <w:szCs w:val="18"/>
                <w14:textFill>
                  <w14:solidFill>
                    <w14:schemeClr w14:val="tx1"/>
                  </w14:solidFill>
                </w14:textFill>
              </w:rPr>
            </w:pPr>
          </w:p>
        </w:tc>
        <w:tc>
          <w:tcPr>
            <w:tcW w:w="3516" w:type="dxa"/>
            <w:vAlign w:val="center"/>
          </w:tcPr>
          <w:p w14:paraId="536258DE">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旅游市场现代化治理研究</w:t>
            </w:r>
          </w:p>
        </w:tc>
        <w:tc>
          <w:tcPr>
            <w:tcW w:w="1081" w:type="dxa"/>
            <w:vAlign w:val="center"/>
          </w:tcPr>
          <w:p w14:paraId="2C6911AE">
            <w:pPr>
              <w:jc w:val="center"/>
              <w:rPr>
                <w:rFonts w:hint="default" w:eastAsia="宋体"/>
                <w:color w:val="000000"/>
                <w:sz w:val="18"/>
                <w:szCs w:val="18"/>
                <w:lang w:val="en-US" w:eastAsia="zh-CN"/>
              </w:rPr>
            </w:pPr>
            <w:r>
              <w:rPr>
                <w:color w:val="000000"/>
                <w:sz w:val="18"/>
                <w:szCs w:val="18"/>
              </w:rPr>
              <w:t>XS04332</w:t>
            </w:r>
            <w:r>
              <w:rPr>
                <w:rFonts w:hint="eastAsia"/>
                <w:color w:val="000000"/>
                <w:sz w:val="18"/>
                <w:szCs w:val="18"/>
                <w:lang w:val="en-US" w:eastAsia="zh-CN"/>
              </w:rPr>
              <w:t>36</w:t>
            </w:r>
          </w:p>
        </w:tc>
        <w:tc>
          <w:tcPr>
            <w:tcW w:w="709" w:type="dxa"/>
            <w:vAlign w:val="center"/>
          </w:tcPr>
          <w:p w14:paraId="4F42C5A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45870A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50D5B32B">
            <w:pPr>
              <w:jc w:val="center"/>
              <w:rPr>
                <w:color w:val="000000" w:themeColor="text1"/>
                <w:sz w:val="18"/>
                <w:szCs w:val="18"/>
                <w14:textFill>
                  <w14:solidFill>
                    <w14:schemeClr w14:val="tx1"/>
                  </w14:solidFill>
                </w14:textFill>
              </w:rPr>
            </w:pPr>
          </w:p>
        </w:tc>
      </w:tr>
      <w:tr w14:paraId="493E37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C4224AD">
            <w:pPr>
              <w:rPr>
                <w:b/>
                <w:color w:val="000000" w:themeColor="text1"/>
                <w:sz w:val="18"/>
                <w:szCs w:val="18"/>
                <w14:textFill>
                  <w14:solidFill>
                    <w14:schemeClr w14:val="tx1"/>
                  </w14:solidFill>
                </w14:textFill>
              </w:rPr>
            </w:pPr>
          </w:p>
        </w:tc>
        <w:tc>
          <w:tcPr>
            <w:tcW w:w="1226" w:type="dxa"/>
            <w:vMerge w:val="continue"/>
          </w:tcPr>
          <w:p w14:paraId="0A1A9F24">
            <w:pPr>
              <w:jc w:val="center"/>
              <w:rPr>
                <w:b/>
                <w:color w:val="000000" w:themeColor="text1"/>
                <w:sz w:val="18"/>
                <w:szCs w:val="18"/>
                <w14:textFill>
                  <w14:solidFill>
                    <w14:schemeClr w14:val="tx1"/>
                  </w14:solidFill>
                </w14:textFill>
              </w:rPr>
            </w:pPr>
          </w:p>
        </w:tc>
        <w:tc>
          <w:tcPr>
            <w:tcW w:w="3516" w:type="dxa"/>
            <w:vAlign w:val="center"/>
          </w:tcPr>
          <w:p w14:paraId="27A90A52">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旅游数字服务场景创新调研</w:t>
            </w:r>
          </w:p>
        </w:tc>
        <w:tc>
          <w:tcPr>
            <w:tcW w:w="1081" w:type="dxa"/>
            <w:vAlign w:val="center"/>
          </w:tcPr>
          <w:p w14:paraId="0F9041D6">
            <w:pPr>
              <w:jc w:val="center"/>
              <w:rPr>
                <w:rFonts w:hint="default" w:eastAsia="宋体"/>
                <w:color w:val="000000"/>
                <w:sz w:val="18"/>
                <w:szCs w:val="18"/>
                <w:lang w:val="en-US" w:eastAsia="zh-CN"/>
              </w:rPr>
            </w:pPr>
            <w:r>
              <w:rPr>
                <w:color w:val="000000"/>
                <w:sz w:val="18"/>
                <w:szCs w:val="18"/>
              </w:rPr>
              <w:t>XS04332</w:t>
            </w:r>
            <w:r>
              <w:rPr>
                <w:rFonts w:hint="eastAsia"/>
                <w:color w:val="000000"/>
                <w:sz w:val="18"/>
                <w:szCs w:val="18"/>
                <w:lang w:val="en-US" w:eastAsia="zh-CN"/>
              </w:rPr>
              <w:t>37</w:t>
            </w:r>
          </w:p>
        </w:tc>
        <w:tc>
          <w:tcPr>
            <w:tcW w:w="709" w:type="dxa"/>
            <w:vAlign w:val="center"/>
          </w:tcPr>
          <w:p w14:paraId="702DE72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592C32F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5B2487A2">
            <w:pPr>
              <w:jc w:val="center"/>
              <w:rPr>
                <w:color w:val="000000" w:themeColor="text1"/>
                <w:sz w:val="18"/>
                <w:szCs w:val="18"/>
                <w14:textFill>
                  <w14:solidFill>
                    <w14:schemeClr w14:val="tx1"/>
                  </w14:solidFill>
                </w14:textFill>
              </w:rPr>
            </w:pPr>
          </w:p>
        </w:tc>
      </w:tr>
      <w:tr w14:paraId="3C9159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4633E69">
            <w:pPr>
              <w:rPr>
                <w:b/>
                <w:color w:val="000000" w:themeColor="text1"/>
                <w:sz w:val="18"/>
                <w:szCs w:val="18"/>
                <w14:textFill>
                  <w14:solidFill>
                    <w14:schemeClr w14:val="tx1"/>
                  </w14:solidFill>
                </w14:textFill>
              </w:rPr>
            </w:pPr>
          </w:p>
        </w:tc>
        <w:tc>
          <w:tcPr>
            <w:tcW w:w="1226" w:type="dxa"/>
            <w:vMerge w:val="continue"/>
          </w:tcPr>
          <w:p w14:paraId="5465EA04">
            <w:pPr>
              <w:jc w:val="center"/>
              <w:rPr>
                <w:b/>
                <w:color w:val="000000" w:themeColor="text1"/>
                <w:sz w:val="18"/>
                <w:szCs w:val="18"/>
                <w14:textFill>
                  <w14:solidFill>
                    <w14:schemeClr w14:val="tx1"/>
                  </w14:solidFill>
                </w14:textFill>
              </w:rPr>
            </w:pPr>
          </w:p>
        </w:tc>
        <w:tc>
          <w:tcPr>
            <w:tcW w:w="3516" w:type="dxa"/>
            <w:vAlign w:val="center"/>
          </w:tcPr>
          <w:p w14:paraId="75B8329B">
            <w:pPr>
              <w:adjustRightInd w:val="0"/>
              <w:snapToGrid w:val="0"/>
              <w:rPr>
                <w:color w:val="000000" w:themeColor="text1"/>
                <w:sz w:val="18"/>
                <w:szCs w:val="18"/>
                <w14:textFill>
                  <w14:solidFill>
                    <w14:schemeClr w14:val="tx1"/>
                  </w14:solidFill>
                </w14:textFill>
              </w:rPr>
            </w:pPr>
            <w:bookmarkStart w:id="11" w:name="OLE_LINK2"/>
            <w:bookmarkStart w:id="12" w:name="OLE_LINK1"/>
            <w:r>
              <w:rPr>
                <w:color w:val="000000" w:themeColor="text1"/>
                <w:sz w:val="18"/>
                <w:szCs w:val="18"/>
                <w14:textFill>
                  <w14:solidFill>
                    <w14:schemeClr w14:val="tx1"/>
                  </w14:solidFill>
                </w14:textFill>
              </w:rPr>
              <w:t>数智组织管理研究前沿</w:t>
            </w:r>
            <w:bookmarkEnd w:id="11"/>
            <w:bookmarkEnd w:id="12"/>
          </w:p>
        </w:tc>
        <w:tc>
          <w:tcPr>
            <w:tcW w:w="1081" w:type="dxa"/>
            <w:vAlign w:val="center"/>
          </w:tcPr>
          <w:p w14:paraId="393BABC6">
            <w:pPr>
              <w:jc w:val="center"/>
              <w:rPr>
                <w:rFonts w:hint="default" w:eastAsia="宋体"/>
                <w:color w:val="FF0000"/>
                <w:sz w:val="18"/>
                <w:szCs w:val="18"/>
                <w:lang w:val="en-US" w:eastAsia="zh-CN"/>
              </w:rPr>
            </w:pPr>
            <w:r>
              <w:rPr>
                <w:iCs/>
                <w:kern w:val="0"/>
                <w:sz w:val="18"/>
                <w:szCs w:val="18"/>
              </w:rPr>
              <w:t>XS04322</w:t>
            </w:r>
            <w:r>
              <w:rPr>
                <w:rFonts w:hint="eastAsia"/>
                <w:iCs/>
                <w:kern w:val="0"/>
                <w:sz w:val="18"/>
                <w:szCs w:val="18"/>
                <w:lang w:val="en-US" w:eastAsia="zh-CN"/>
              </w:rPr>
              <w:t>38</w:t>
            </w:r>
            <w:bookmarkStart w:id="13" w:name="_GoBack"/>
            <w:bookmarkEnd w:id="13"/>
          </w:p>
        </w:tc>
        <w:tc>
          <w:tcPr>
            <w:tcW w:w="709" w:type="dxa"/>
            <w:vAlign w:val="center"/>
          </w:tcPr>
          <w:p w14:paraId="3532B79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795E7BE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6DA2593B">
            <w:pPr>
              <w:jc w:val="center"/>
              <w:rPr>
                <w:color w:val="000000" w:themeColor="text1"/>
                <w:sz w:val="18"/>
                <w:szCs w:val="18"/>
                <w14:textFill>
                  <w14:solidFill>
                    <w14:schemeClr w14:val="tx1"/>
                  </w14:solidFill>
                </w14:textFill>
              </w:rPr>
            </w:pPr>
          </w:p>
        </w:tc>
      </w:tr>
      <w:tr w14:paraId="294A1B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4582E9D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0EBD3434">
            <w:pPr>
              <w:jc w:val="center"/>
              <w:rPr>
                <w:b/>
                <w:color w:val="000000" w:themeColor="text1"/>
                <w:sz w:val="18"/>
                <w:szCs w:val="18"/>
                <w14:textFill>
                  <w14:solidFill>
                    <w14:schemeClr w14:val="tx1"/>
                  </w14:solidFill>
                </w14:textFill>
              </w:rPr>
            </w:pPr>
          </w:p>
        </w:tc>
        <w:tc>
          <w:tcPr>
            <w:tcW w:w="1226" w:type="dxa"/>
            <w:vMerge w:val="restart"/>
            <w:vAlign w:val="center"/>
          </w:tcPr>
          <w:p w14:paraId="54EA684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5327D85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21434BCC">
            <w:pPr>
              <w:jc w:val="center"/>
              <w:rPr>
                <w:color w:val="000000" w:themeColor="text1"/>
                <w:sz w:val="18"/>
                <w:szCs w:val="18"/>
                <w14:textFill>
                  <w14:solidFill>
                    <w14:schemeClr w14:val="tx1"/>
                  </w14:solidFill>
                </w14:textFill>
              </w:rPr>
            </w:pPr>
          </w:p>
        </w:tc>
        <w:tc>
          <w:tcPr>
            <w:tcW w:w="709" w:type="dxa"/>
            <w:vAlign w:val="center"/>
          </w:tcPr>
          <w:p w14:paraId="74CBD259">
            <w:pPr>
              <w:jc w:val="center"/>
              <w:rPr>
                <w:color w:val="000000" w:themeColor="text1"/>
                <w:sz w:val="18"/>
                <w:szCs w:val="18"/>
                <w14:textFill>
                  <w14:solidFill>
                    <w14:schemeClr w14:val="tx1"/>
                  </w14:solidFill>
                </w14:textFill>
              </w:rPr>
            </w:pPr>
          </w:p>
        </w:tc>
        <w:tc>
          <w:tcPr>
            <w:tcW w:w="709" w:type="dxa"/>
            <w:vAlign w:val="center"/>
          </w:tcPr>
          <w:p w14:paraId="02F1D01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1AD79D86">
            <w:pPr>
              <w:jc w:val="center"/>
              <w:rPr>
                <w:i/>
                <w:color w:val="FF0000"/>
                <w:sz w:val="18"/>
                <w:szCs w:val="18"/>
              </w:rPr>
            </w:pPr>
          </w:p>
        </w:tc>
      </w:tr>
      <w:tr w14:paraId="53C4EC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59C41F43">
            <w:pPr>
              <w:jc w:val="center"/>
              <w:rPr>
                <w:b/>
                <w:color w:val="000000" w:themeColor="text1"/>
                <w:sz w:val="18"/>
                <w:szCs w:val="18"/>
                <w14:textFill>
                  <w14:solidFill>
                    <w14:schemeClr w14:val="tx1"/>
                  </w14:solidFill>
                </w14:textFill>
              </w:rPr>
            </w:pPr>
          </w:p>
        </w:tc>
        <w:tc>
          <w:tcPr>
            <w:tcW w:w="1226" w:type="dxa"/>
            <w:vMerge w:val="continue"/>
            <w:vAlign w:val="center"/>
          </w:tcPr>
          <w:p w14:paraId="6DA68CC3">
            <w:pPr>
              <w:jc w:val="center"/>
              <w:rPr>
                <w:b/>
                <w:color w:val="000000" w:themeColor="text1"/>
                <w:sz w:val="18"/>
                <w:szCs w:val="18"/>
                <w14:textFill>
                  <w14:solidFill>
                    <w14:schemeClr w14:val="tx1"/>
                  </w14:solidFill>
                </w14:textFill>
              </w:rPr>
            </w:pPr>
          </w:p>
        </w:tc>
        <w:tc>
          <w:tcPr>
            <w:tcW w:w="3516" w:type="dxa"/>
            <w:vAlign w:val="center"/>
          </w:tcPr>
          <w:p w14:paraId="28A2135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vAlign w:val="center"/>
          </w:tcPr>
          <w:p w14:paraId="3F9AAB24">
            <w:pPr>
              <w:jc w:val="center"/>
              <w:rPr>
                <w:color w:val="000000" w:themeColor="text1"/>
                <w:sz w:val="18"/>
                <w:szCs w:val="18"/>
                <w14:textFill>
                  <w14:solidFill>
                    <w14:schemeClr w14:val="tx1"/>
                  </w14:solidFill>
                </w14:textFill>
              </w:rPr>
            </w:pPr>
          </w:p>
        </w:tc>
        <w:tc>
          <w:tcPr>
            <w:tcW w:w="709" w:type="dxa"/>
            <w:vAlign w:val="center"/>
          </w:tcPr>
          <w:p w14:paraId="303831C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0.5</w:t>
            </w:r>
          </w:p>
        </w:tc>
        <w:tc>
          <w:tcPr>
            <w:tcW w:w="709" w:type="dxa"/>
            <w:vAlign w:val="center"/>
          </w:tcPr>
          <w:p w14:paraId="40FAB73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1045" w:type="dxa"/>
            <w:vMerge w:val="continue"/>
            <w:vAlign w:val="center"/>
          </w:tcPr>
          <w:p w14:paraId="1FA97149">
            <w:pPr>
              <w:jc w:val="center"/>
              <w:rPr>
                <w:color w:val="000000" w:themeColor="text1"/>
                <w:sz w:val="18"/>
                <w:szCs w:val="18"/>
                <w14:textFill>
                  <w14:solidFill>
                    <w14:schemeClr w14:val="tx1"/>
                  </w14:solidFill>
                </w14:textFill>
              </w:rPr>
            </w:pPr>
          </w:p>
        </w:tc>
      </w:tr>
      <w:tr w14:paraId="0A0F8B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8" w:hRule="atLeast"/>
          <w:jc w:val="center"/>
        </w:trPr>
        <w:tc>
          <w:tcPr>
            <w:tcW w:w="571" w:type="dxa"/>
            <w:vMerge w:val="continue"/>
            <w:vAlign w:val="center"/>
          </w:tcPr>
          <w:p w14:paraId="345C6D1E">
            <w:pPr>
              <w:jc w:val="center"/>
              <w:rPr>
                <w:b/>
                <w:color w:val="000000" w:themeColor="text1"/>
                <w:sz w:val="18"/>
                <w:szCs w:val="18"/>
                <w14:textFill>
                  <w14:solidFill>
                    <w14:schemeClr w14:val="tx1"/>
                  </w14:solidFill>
                </w14:textFill>
              </w:rPr>
            </w:pPr>
          </w:p>
        </w:tc>
        <w:tc>
          <w:tcPr>
            <w:tcW w:w="1226" w:type="dxa"/>
            <w:vMerge w:val="continue"/>
            <w:vAlign w:val="center"/>
          </w:tcPr>
          <w:p w14:paraId="5156B459">
            <w:pPr>
              <w:jc w:val="center"/>
              <w:rPr>
                <w:b/>
                <w:color w:val="000000" w:themeColor="text1"/>
                <w:sz w:val="18"/>
                <w:szCs w:val="18"/>
                <w14:textFill>
                  <w14:solidFill>
                    <w14:schemeClr w14:val="tx1"/>
                  </w14:solidFill>
                </w14:textFill>
              </w:rPr>
            </w:pPr>
          </w:p>
        </w:tc>
        <w:tc>
          <w:tcPr>
            <w:tcW w:w="3516" w:type="dxa"/>
            <w:vAlign w:val="center"/>
          </w:tcPr>
          <w:p w14:paraId="161A1581">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实践活动</w:t>
            </w:r>
          </w:p>
        </w:tc>
        <w:tc>
          <w:tcPr>
            <w:tcW w:w="1081" w:type="dxa"/>
            <w:vAlign w:val="center"/>
          </w:tcPr>
          <w:p w14:paraId="24419446">
            <w:pPr>
              <w:jc w:val="center"/>
              <w:rPr>
                <w:color w:val="000000" w:themeColor="text1"/>
                <w:sz w:val="18"/>
                <w:szCs w:val="18"/>
                <w14:textFill>
                  <w14:solidFill>
                    <w14:schemeClr w14:val="tx1"/>
                  </w14:solidFill>
                </w14:textFill>
              </w:rPr>
            </w:pPr>
          </w:p>
        </w:tc>
        <w:tc>
          <w:tcPr>
            <w:tcW w:w="709" w:type="dxa"/>
            <w:vAlign w:val="center"/>
          </w:tcPr>
          <w:p w14:paraId="4C13789F">
            <w:pPr>
              <w:jc w:val="center"/>
              <w:rPr>
                <w:color w:val="FF0000"/>
                <w:sz w:val="18"/>
                <w:szCs w:val="18"/>
              </w:rPr>
            </w:pPr>
            <w:r>
              <w:rPr>
                <w:rFonts w:hint="eastAsia"/>
                <w:color w:val="000000" w:themeColor="text1"/>
                <w:sz w:val="18"/>
                <w:szCs w:val="18"/>
                <w14:textFill>
                  <w14:solidFill>
                    <w14:schemeClr w14:val="tx1"/>
                  </w14:solidFill>
                </w14:textFill>
              </w:rPr>
              <w:t>0.5</w:t>
            </w:r>
          </w:p>
        </w:tc>
        <w:tc>
          <w:tcPr>
            <w:tcW w:w="709" w:type="dxa"/>
            <w:vAlign w:val="center"/>
          </w:tcPr>
          <w:p w14:paraId="5AB5073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1045" w:type="dxa"/>
            <w:vMerge w:val="continue"/>
            <w:vAlign w:val="center"/>
          </w:tcPr>
          <w:p w14:paraId="2DF8B94E">
            <w:pPr>
              <w:jc w:val="center"/>
              <w:rPr>
                <w:color w:val="000000" w:themeColor="text1"/>
                <w:sz w:val="18"/>
                <w:szCs w:val="18"/>
                <w14:textFill>
                  <w14:solidFill>
                    <w14:schemeClr w14:val="tx1"/>
                  </w14:solidFill>
                </w14:textFill>
              </w:rPr>
            </w:pPr>
          </w:p>
        </w:tc>
      </w:tr>
      <w:tr w14:paraId="5DE9AAB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762E0D4">
            <w:pPr>
              <w:rPr>
                <w:b/>
                <w:color w:val="000000" w:themeColor="text1"/>
                <w:sz w:val="18"/>
                <w:szCs w:val="18"/>
                <w14:textFill>
                  <w14:solidFill>
                    <w14:schemeClr w14:val="tx1"/>
                  </w14:solidFill>
                </w14:textFill>
              </w:rPr>
            </w:pPr>
          </w:p>
        </w:tc>
        <w:tc>
          <w:tcPr>
            <w:tcW w:w="1226" w:type="dxa"/>
            <w:vMerge w:val="restart"/>
            <w:vAlign w:val="center"/>
          </w:tcPr>
          <w:p w14:paraId="162C963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475BE3B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78446F3D">
            <w:pPr>
              <w:jc w:val="center"/>
              <w:rPr>
                <w:color w:val="000000" w:themeColor="text1"/>
                <w:sz w:val="18"/>
                <w:szCs w:val="18"/>
                <w14:textFill>
                  <w14:solidFill>
                    <w14:schemeClr w14:val="tx1"/>
                  </w14:solidFill>
                </w14:textFill>
              </w:rPr>
            </w:pPr>
          </w:p>
        </w:tc>
        <w:tc>
          <w:tcPr>
            <w:tcW w:w="709" w:type="dxa"/>
            <w:vAlign w:val="center"/>
          </w:tcPr>
          <w:p w14:paraId="7C1751A0">
            <w:pPr>
              <w:jc w:val="center"/>
              <w:rPr>
                <w:color w:val="000000" w:themeColor="text1"/>
                <w:sz w:val="18"/>
                <w:szCs w:val="18"/>
                <w14:textFill>
                  <w14:solidFill>
                    <w14:schemeClr w14:val="tx1"/>
                  </w14:solidFill>
                </w14:textFill>
              </w:rPr>
            </w:pPr>
          </w:p>
        </w:tc>
        <w:tc>
          <w:tcPr>
            <w:tcW w:w="709" w:type="dxa"/>
            <w:vAlign w:val="center"/>
          </w:tcPr>
          <w:p w14:paraId="3FDED399">
            <w:pPr>
              <w:spacing w:line="276" w:lineRule="auto"/>
              <w:jc w:val="center"/>
              <w:rPr>
                <w:iCs/>
                <w:sz w:val="18"/>
                <w:szCs w:val="18"/>
                <w14:ligatures w14:val="standardContextual"/>
              </w:rPr>
            </w:pPr>
            <w:r>
              <w:rPr>
                <w:iCs/>
                <w:sz w:val="18"/>
                <w:szCs w:val="18"/>
                <w14:ligatures w14:val="standardContextual"/>
              </w:rPr>
              <w:t>2-3</w:t>
            </w:r>
          </w:p>
        </w:tc>
        <w:tc>
          <w:tcPr>
            <w:tcW w:w="1045" w:type="dxa"/>
            <w:vMerge w:val="restart"/>
            <w:vAlign w:val="center"/>
          </w:tcPr>
          <w:p w14:paraId="74E9C70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4B3EC4C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2291FA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092D9BB">
            <w:pPr>
              <w:rPr>
                <w:b/>
                <w:color w:val="000000" w:themeColor="text1"/>
                <w:sz w:val="18"/>
                <w:szCs w:val="18"/>
                <w14:textFill>
                  <w14:solidFill>
                    <w14:schemeClr w14:val="tx1"/>
                  </w14:solidFill>
                </w14:textFill>
              </w:rPr>
            </w:pPr>
          </w:p>
        </w:tc>
        <w:tc>
          <w:tcPr>
            <w:tcW w:w="1226" w:type="dxa"/>
            <w:vMerge w:val="continue"/>
            <w:vAlign w:val="center"/>
          </w:tcPr>
          <w:p w14:paraId="0E980C49">
            <w:pPr>
              <w:jc w:val="center"/>
              <w:rPr>
                <w:b/>
                <w:color w:val="000000" w:themeColor="text1"/>
                <w:sz w:val="18"/>
                <w:szCs w:val="18"/>
                <w14:textFill>
                  <w14:solidFill>
                    <w14:schemeClr w14:val="tx1"/>
                  </w14:solidFill>
                </w14:textFill>
              </w:rPr>
            </w:pPr>
          </w:p>
        </w:tc>
        <w:tc>
          <w:tcPr>
            <w:tcW w:w="3516" w:type="dxa"/>
            <w:vAlign w:val="center"/>
          </w:tcPr>
          <w:p w14:paraId="2B78D5B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3CC14D33">
            <w:pPr>
              <w:jc w:val="center"/>
              <w:rPr>
                <w:color w:val="000000" w:themeColor="text1"/>
                <w:sz w:val="18"/>
                <w:szCs w:val="18"/>
                <w14:textFill>
                  <w14:solidFill>
                    <w14:schemeClr w14:val="tx1"/>
                  </w14:solidFill>
                </w14:textFill>
              </w:rPr>
            </w:pPr>
          </w:p>
        </w:tc>
        <w:tc>
          <w:tcPr>
            <w:tcW w:w="709" w:type="dxa"/>
            <w:vAlign w:val="center"/>
          </w:tcPr>
          <w:p w14:paraId="3F997D16">
            <w:pPr>
              <w:jc w:val="center"/>
              <w:rPr>
                <w:color w:val="000000" w:themeColor="text1"/>
                <w:sz w:val="18"/>
                <w:szCs w:val="18"/>
                <w14:textFill>
                  <w14:solidFill>
                    <w14:schemeClr w14:val="tx1"/>
                  </w14:solidFill>
                </w14:textFill>
              </w:rPr>
            </w:pPr>
          </w:p>
        </w:tc>
        <w:tc>
          <w:tcPr>
            <w:tcW w:w="709" w:type="dxa"/>
            <w:vAlign w:val="center"/>
          </w:tcPr>
          <w:p w14:paraId="5E2C5D6D">
            <w:pPr>
              <w:spacing w:line="276" w:lineRule="auto"/>
              <w:jc w:val="center"/>
              <w:rPr>
                <w:iCs/>
                <w:sz w:val="18"/>
                <w:szCs w:val="18"/>
                <w14:ligatures w14:val="standardContextual"/>
              </w:rPr>
            </w:pPr>
            <w:r>
              <w:rPr>
                <w:iCs/>
                <w:sz w:val="18"/>
                <w:szCs w:val="18"/>
                <w14:ligatures w14:val="standardContextual"/>
              </w:rPr>
              <w:t>3-4</w:t>
            </w:r>
          </w:p>
        </w:tc>
        <w:tc>
          <w:tcPr>
            <w:tcW w:w="1045" w:type="dxa"/>
            <w:vMerge w:val="continue"/>
            <w:vAlign w:val="center"/>
          </w:tcPr>
          <w:p w14:paraId="7A1C4204">
            <w:pPr>
              <w:jc w:val="center"/>
              <w:rPr>
                <w:color w:val="000000" w:themeColor="text1"/>
                <w:sz w:val="18"/>
                <w:szCs w:val="18"/>
                <w14:textFill>
                  <w14:solidFill>
                    <w14:schemeClr w14:val="tx1"/>
                  </w14:solidFill>
                </w14:textFill>
              </w:rPr>
            </w:pPr>
          </w:p>
        </w:tc>
      </w:tr>
      <w:tr w14:paraId="44FFBC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46CD069">
            <w:pPr>
              <w:rPr>
                <w:b/>
                <w:color w:val="000000" w:themeColor="text1"/>
                <w:sz w:val="18"/>
                <w:szCs w:val="18"/>
                <w14:textFill>
                  <w14:solidFill>
                    <w14:schemeClr w14:val="tx1"/>
                  </w14:solidFill>
                </w14:textFill>
              </w:rPr>
            </w:pPr>
          </w:p>
        </w:tc>
        <w:tc>
          <w:tcPr>
            <w:tcW w:w="1226" w:type="dxa"/>
            <w:vMerge w:val="continue"/>
            <w:vAlign w:val="center"/>
          </w:tcPr>
          <w:p w14:paraId="27E8E5F9">
            <w:pPr>
              <w:jc w:val="center"/>
              <w:rPr>
                <w:b/>
                <w:color w:val="000000" w:themeColor="text1"/>
                <w:sz w:val="18"/>
                <w:szCs w:val="18"/>
                <w14:textFill>
                  <w14:solidFill>
                    <w14:schemeClr w14:val="tx1"/>
                  </w14:solidFill>
                </w14:textFill>
              </w:rPr>
            </w:pPr>
          </w:p>
        </w:tc>
        <w:tc>
          <w:tcPr>
            <w:tcW w:w="3516" w:type="dxa"/>
            <w:vAlign w:val="center"/>
          </w:tcPr>
          <w:p w14:paraId="39C4EA92">
            <w:pPr>
              <w:rPr>
                <w:sz w:val="18"/>
                <w:szCs w:val="18"/>
              </w:rPr>
            </w:pPr>
            <w:r>
              <w:rPr>
                <w:sz w:val="18"/>
                <w:szCs w:val="18"/>
              </w:rPr>
              <w:t>论文中期进展报告</w:t>
            </w:r>
          </w:p>
        </w:tc>
        <w:tc>
          <w:tcPr>
            <w:tcW w:w="1081" w:type="dxa"/>
            <w:vAlign w:val="center"/>
          </w:tcPr>
          <w:p w14:paraId="5FCE899E">
            <w:pPr>
              <w:jc w:val="center"/>
              <w:rPr>
                <w:color w:val="000000" w:themeColor="text1"/>
                <w:sz w:val="18"/>
                <w:szCs w:val="18"/>
                <w14:textFill>
                  <w14:solidFill>
                    <w14:schemeClr w14:val="tx1"/>
                  </w14:solidFill>
                </w14:textFill>
              </w:rPr>
            </w:pPr>
          </w:p>
        </w:tc>
        <w:tc>
          <w:tcPr>
            <w:tcW w:w="709" w:type="dxa"/>
            <w:vAlign w:val="center"/>
          </w:tcPr>
          <w:p w14:paraId="4FD77CF6">
            <w:pPr>
              <w:jc w:val="center"/>
              <w:rPr>
                <w:color w:val="000000" w:themeColor="text1"/>
                <w:sz w:val="18"/>
                <w:szCs w:val="18"/>
                <w14:textFill>
                  <w14:solidFill>
                    <w14:schemeClr w14:val="tx1"/>
                  </w14:solidFill>
                </w14:textFill>
              </w:rPr>
            </w:pPr>
          </w:p>
        </w:tc>
        <w:tc>
          <w:tcPr>
            <w:tcW w:w="709" w:type="dxa"/>
            <w:vAlign w:val="center"/>
          </w:tcPr>
          <w:p w14:paraId="63A1C55E">
            <w:pPr>
              <w:spacing w:line="276" w:lineRule="auto"/>
              <w:jc w:val="center"/>
              <w:rPr>
                <w:iCs/>
                <w:sz w:val="18"/>
                <w:szCs w:val="18"/>
                <w14:ligatures w14:val="standardContextual"/>
              </w:rPr>
            </w:pPr>
            <w:r>
              <w:rPr>
                <w:iCs/>
                <w:sz w:val="18"/>
                <w:szCs w:val="18"/>
                <w14:ligatures w14:val="standardContextual"/>
              </w:rPr>
              <w:t>5</w:t>
            </w:r>
          </w:p>
        </w:tc>
        <w:tc>
          <w:tcPr>
            <w:tcW w:w="1045" w:type="dxa"/>
            <w:vMerge w:val="continue"/>
          </w:tcPr>
          <w:p w14:paraId="67DB3C92">
            <w:pPr>
              <w:jc w:val="center"/>
              <w:rPr>
                <w:color w:val="000000" w:themeColor="text1"/>
                <w:sz w:val="18"/>
                <w:szCs w:val="18"/>
                <w14:textFill>
                  <w14:solidFill>
                    <w14:schemeClr w14:val="tx1"/>
                  </w14:solidFill>
                </w14:textFill>
              </w:rPr>
            </w:pPr>
          </w:p>
        </w:tc>
      </w:tr>
      <w:tr w14:paraId="7369C8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EDE82F">
            <w:pPr>
              <w:rPr>
                <w:b/>
                <w:color w:val="000000" w:themeColor="text1"/>
                <w:sz w:val="18"/>
                <w:szCs w:val="18"/>
                <w14:textFill>
                  <w14:solidFill>
                    <w14:schemeClr w14:val="tx1"/>
                  </w14:solidFill>
                </w14:textFill>
              </w:rPr>
            </w:pPr>
          </w:p>
        </w:tc>
        <w:tc>
          <w:tcPr>
            <w:tcW w:w="1226" w:type="dxa"/>
            <w:vMerge w:val="continue"/>
            <w:vAlign w:val="center"/>
          </w:tcPr>
          <w:p w14:paraId="0E028642">
            <w:pPr>
              <w:jc w:val="center"/>
              <w:rPr>
                <w:b/>
                <w:color w:val="000000" w:themeColor="text1"/>
                <w:sz w:val="18"/>
                <w:szCs w:val="18"/>
                <w14:textFill>
                  <w14:solidFill>
                    <w14:schemeClr w14:val="tx1"/>
                  </w14:solidFill>
                </w14:textFill>
              </w:rPr>
            </w:pPr>
          </w:p>
        </w:tc>
        <w:tc>
          <w:tcPr>
            <w:tcW w:w="3516" w:type="dxa"/>
            <w:vAlign w:val="center"/>
          </w:tcPr>
          <w:p w14:paraId="283EAF9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43780A61">
            <w:pPr>
              <w:jc w:val="center"/>
              <w:rPr>
                <w:color w:val="000000" w:themeColor="text1"/>
                <w:sz w:val="18"/>
                <w:szCs w:val="18"/>
                <w14:textFill>
                  <w14:solidFill>
                    <w14:schemeClr w14:val="tx1"/>
                  </w14:solidFill>
                </w14:textFill>
              </w:rPr>
            </w:pPr>
          </w:p>
        </w:tc>
        <w:tc>
          <w:tcPr>
            <w:tcW w:w="709" w:type="dxa"/>
            <w:vAlign w:val="center"/>
          </w:tcPr>
          <w:p w14:paraId="6CB8950A">
            <w:pPr>
              <w:jc w:val="center"/>
              <w:rPr>
                <w:color w:val="000000" w:themeColor="text1"/>
                <w:sz w:val="18"/>
                <w:szCs w:val="18"/>
                <w14:textFill>
                  <w14:solidFill>
                    <w14:schemeClr w14:val="tx1"/>
                  </w14:solidFill>
                </w14:textFill>
              </w:rPr>
            </w:pPr>
          </w:p>
        </w:tc>
        <w:tc>
          <w:tcPr>
            <w:tcW w:w="709" w:type="dxa"/>
            <w:vAlign w:val="center"/>
          </w:tcPr>
          <w:p w14:paraId="397BBDE5">
            <w:pPr>
              <w:spacing w:line="276" w:lineRule="auto"/>
              <w:jc w:val="center"/>
              <w:rPr>
                <w:iCs/>
                <w:color w:val="000000" w:themeColor="text1"/>
                <w:sz w:val="18"/>
                <w:szCs w:val="18"/>
                <w14:textFill>
                  <w14:solidFill>
                    <w14:schemeClr w14:val="tx1"/>
                  </w14:solidFill>
                </w14:textFill>
                <w14:ligatures w14:val="standardContextual"/>
              </w:rPr>
            </w:pPr>
            <w:r>
              <w:rPr>
                <w:iCs/>
                <w:color w:val="000000" w:themeColor="text1"/>
                <w:sz w:val="18"/>
                <w:szCs w:val="18"/>
                <w14:textFill>
                  <w14:solidFill>
                    <w14:schemeClr w14:val="tx1"/>
                  </w14:solidFill>
                </w14:textFill>
                <w14:ligatures w14:val="standardContextual"/>
              </w:rPr>
              <w:t>6</w:t>
            </w:r>
          </w:p>
        </w:tc>
        <w:tc>
          <w:tcPr>
            <w:tcW w:w="1045" w:type="dxa"/>
            <w:vMerge w:val="continue"/>
          </w:tcPr>
          <w:p w14:paraId="3B374727">
            <w:pPr>
              <w:jc w:val="center"/>
              <w:rPr>
                <w:color w:val="000000" w:themeColor="text1"/>
                <w:sz w:val="18"/>
                <w:szCs w:val="18"/>
                <w14:textFill>
                  <w14:solidFill>
                    <w14:schemeClr w14:val="tx1"/>
                  </w14:solidFill>
                </w14:textFill>
              </w:rPr>
            </w:pPr>
          </w:p>
        </w:tc>
      </w:tr>
      <w:tr w14:paraId="1A0F8C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9D1FCCF">
            <w:pPr>
              <w:rPr>
                <w:color w:val="000000" w:themeColor="text1"/>
                <w:sz w:val="18"/>
                <w:szCs w:val="18"/>
                <w14:textFill>
                  <w14:solidFill>
                    <w14:schemeClr w14:val="tx1"/>
                  </w14:solidFill>
                </w14:textFill>
              </w:rPr>
            </w:pPr>
          </w:p>
        </w:tc>
        <w:tc>
          <w:tcPr>
            <w:tcW w:w="1226" w:type="dxa"/>
            <w:vMerge w:val="continue"/>
          </w:tcPr>
          <w:p w14:paraId="525779E1">
            <w:pPr>
              <w:jc w:val="center"/>
              <w:rPr>
                <w:color w:val="000000" w:themeColor="text1"/>
                <w:sz w:val="18"/>
                <w:szCs w:val="18"/>
                <w14:textFill>
                  <w14:solidFill>
                    <w14:schemeClr w14:val="tx1"/>
                  </w14:solidFill>
                </w14:textFill>
              </w:rPr>
            </w:pPr>
          </w:p>
        </w:tc>
        <w:tc>
          <w:tcPr>
            <w:tcW w:w="3516" w:type="dxa"/>
            <w:vAlign w:val="center"/>
          </w:tcPr>
          <w:p w14:paraId="2C6C5E6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134C4119">
            <w:pPr>
              <w:jc w:val="center"/>
              <w:rPr>
                <w:color w:val="000000" w:themeColor="text1"/>
                <w:sz w:val="18"/>
                <w:szCs w:val="18"/>
                <w14:textFill>
                  <w14:solidFill>
                    <w14:schemeClr w14:val="tx1"/>
                  </w14:solidFill>
                </w14:textFill>
              </w:rPr>
            </w:pPr>
          </w:p>
        </w:tc>
        <w:tc>
          <w:tcPr>
            <w:tcW w:w="709" w:type="dxa"/>
            <w:vAlign w:val="center"/>
          </w:tcPr>
          <w:p w14:paraId="6D65B25F">
            <w:pPr>
              <w:jc w:val="center"/>
              <w:rPr>
                <w:color w:val="000000" w:themeColor="text1"/>
                <w:sz w:val="18"/>
                <w:szCs w:val="18"/>
                <w14:textFill>
                  <w14:solidFill>
                    <w14:schemeClr w14:val="tx1"/>
                  </w14:solidFill>
                </w14:textFill>
              </w:rPr>
            </w:pPr>
          </w:p>
        </w:tc>
        <w:tc>
          <w:tcPr>
            <w:tcW w:w="709" w:type="dxa"/>
            <w:vAlign w:val="center"/>
          </w:tcPr>
          <w:p w14:paraId="258F4420">
            <w:pPr>
              <w:spacing w:line="276" w:lineRule="auto"/>
              <w:jc w:val="center"/>
              <w:rPr>
                <w:color w:val="000000" w:themeColor="text1"/>
                <w:sz w:val="18"/>
                <w:szCs w:val="18"/>
                <w14:textFill>
                  <w14:solidFill>
                    <w14:schemeClr w14:val="tx1"/>
                  </w14:solidFill>
                </w14:textFill>
                <w14:ligatures w14:val="standardContextual"/>
              </w:rPr>
            </w:pPr>
            <w:r>
              <w:rPr>
                <w:color w:val="000000" w:themeColor="text1"/>
                <w:sz w:val="18"/>
                <w:szCs w:val="18"/>
                <w14:textFill>
                  <w14:solidFill>
                    <w14:schemeClr w14:val="tx1"/>
                  </w14:solidFill>
                </w14:textFill>
                <w14:ligatures w14:val="standardContextual"/>
              </w:rPr>
              <w:t>6</w:t>
            </w:r>
          </w:p>
        </w:tc>
        <w:tc>
          <w:tcPr>
            <w:tcW w:w="1045" w:type="dxa"/>
            <w:vMerge w:val="continue"/>
          </w:tcPr>
          <w:p w14:paraId="10F25B4B">
            <w:pPr>
              <w:jc w:val="center"/>
              <w:rPr>
                <w:color w:val="000000" w:themeColor="text1"/>
                <w:sz w:val="18"/>
                <w:szCs w:val="18"/>
                <w14:textFill>
                  <w14:solidFill>
                    <w14:schemeClr w14:val="tx1"/>
                  </w14:solidFill>
                </w14:textFill>
              </w:rPr>
            </w:pPr>
          </w:p>
        </w:tc>
      </w:tr>
      <w:tr w14:paraId="77AEF5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133A95F">
            <w:pPr>
              <w:rPr>
                <w:color w:val="000000" w:themeColor="text1"/>
                <w:sz w:val="18"/>
                <w:szCs w:val="18"/>
                <w14:textFill>
                  <w14:solidFill>
                    <w14:schemeClr w14:val="tx1"/>
                  </w14:solidFill>
                </w14:textFill>
              </w:rPr>
            </w:pPr>
          </w:p>
        </w:tc>
        <w:tc>
          <w:tcPr>
            <w:tcW w:w="1226" w:type="dxa"/>
            <w:vMerge w:val="continue"/>
          </w:tcPr>
          <w:p w14:paraId="576F0BA4">
            <w:pPr>
              <w:jc w:val="center"/>
              <w:rPr>
                <w:color w:val="000000" w:themeColor="text1"/>
                <w:sz w:val="18"/>
                <w:szCs w:val="18"/>
                <w14:textFill>
                  <w14:solidFill>
                    <w14:schemeClr w14:val="tx1"/>
                  </w14:solidFill>
                </w14:textFill>
              </w:rPr>
            </w:pPr>
          </w:p>
        </w:tc>
        <w:tc>
          <w:tcPr>
            <w:tcW w:w="3516" w:type="dxa"/>
            <w:vAlign w:val="center"/>
          </w:tcPr>
          <w:p w14:paraId="4AE3309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7A7B9915">
            <w:pPr>
              <w:jc w:val="center"/>
              <w:rPr>
                <w:color w:val="000000" w:themeColor="text1"/>
                <w:sz w:val="18"/>
                <w:szCs w:val="18"/>
                <w14:textFill>
                  <w14:solidFill>
                    <w14:schemeClr w14:val="tx1"/>
                  </w14:solidFill>
                </w14:textFill>
              </w:rPr>
            </w:pPr>
          </w:p>
        </w:tc>
        <w:tc>
          <w:tcPr>
            <w:tcW w:w="709" w:type="dxa"/>
            <w:vAlign w:val="center"/>
          </w:tcPr>
          <w:p w14:paraId="2539B860">
            <w:pPr>
              <w:jc w:val="center"/>
              <w:rPr>
                <w:color w:val="000000" w:themeColor="text1"/>
                <w:sz w:val="18"/>
                <w:szCs w:val="18"/>
                <w14:textFill>
                  <w14:solidFill>
                    <w14:schemeClr w14:val="tx1"/>
                  </w14:solidFill>
                </w14:textFill>
              </w:rPr>
            </w:pPr>
          </w:p>
        </w:tc>
        <w:tc>
          <w:tcPr>
            <w:tcW w:w="709" w:type="dxa"/>
            <w:vAlign w:val="center"/>
          </w:tcPr>
          <w:p w14:paraId="67DBEB36">
            <w:pPr>
              <w:spacing w:line="276" w:lineRule="auto"/>
              <w:jc w:val="center"/>
              <w:rPr>
                <w:color w:val="000000" w:themeColor="text1"/>
                <w:sz w:val="18"/>
                <w:szCs w:val="18"/>
                <w14:textFill>
                  <w14:solidFill>
                    <w14:schemeClr w14:val="tx1"/>
                  </w14:solidFill>
                </w14:textFill>
                <w14:ligatures w14:val="standardContextual"/>
              </w:rPr>
            </w:pPr>
            <w:r>
              <w:rPr>
                <w:color w:val="000000" w:themeColor="text1"/>
                <w:sz w:val="18"/>
                <w:szCs w:val="18"/>
                <w14:textFill>
                  <w14:solidFill>
                    <w14:schemeClr w14:val="tx1"/>
                  </w14:solidFill>
                </w14:textFill>
                <w14:ligatures w14:val="standardContextual"/>
              </w:rPr>
              <w:t>6</w:t>
            </w:r>
          </w:p>
        </w:tc>
        <w:tc>
          <w:tcPr>
            <w:tcW w:w="1045" w:type="dxa"/>
            <w:vMerge w:val="continue"/>
          </w:tcPr>
          <w:p w14:paraId="52EE729E">
            <w:pPr>
              <w:jc w:val="center"/>
              <w:rPr>
                <w:color w:val="000000" w:themeColor="text1"/>
                <w:sz w:val="18"/>
                <w:szCs w:val="18"/>
                <w14:textFill>
                  <w14:solidFill>
                    <w14:schemeClr w14:val="tx1"/>
                  </w14:solidFill>
                </w14:textFill>
              </w:rPr>
            </w:pPr>
          </w:p>
        </w:tc>
      </w:tr>
    </w:tbl>
    <w:p w14:paraId="2E4AFBF8">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1B2EE3C1">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2C31949E">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0ED90A6E">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7A6A0BA5">
      <w:pPr>
        <w:spacing w:line="440" w:lineRule="exact"/>
        <w:ind w:firstLine="480" w:firstLineChars="200"/>
        <w:rPr>
          <w:rFonts w:eastAsiaTheme="minorEastAsia"/>
          <w:bCs/>
          <w:sz w:val="24"/>
        </w:rPr>
      </w:pPr>
      <w:r>
        <w:rPr>
          <w:rFonts w:hint="eastAsia" w:eastAsiaTheme="minorEastAsia"/>
          <w:bCs/>
          <w:sz w:val="24"/>
        </w:rPr>
        <w:t>3. 关于实践活动的相关要求</w:t>
      </w:r>
    </w:p>
    <w:p w14:paraId="6D1E9DB4">
      <w:pPr>
        <w:spacing w:line="440" w:lineRule="exact"/>
        <w:ind w:firstLine="480" w:firstLineChars="200"/>
        <w:rPr>
          <w:rFonts w:eastAsiaTheme="minorEastAsia"/>
          <w:bCs/>
          <w:sz w:val="24"/>
        </w:rPr>
      </w:pPr>
      <w:r>
        <w:rPr>
          <w:rFonts w:hint="eastAsia" w:eastAsiaTheme="minorEastAsia"/>
          <w:bCs/>
          <w:sz w:val="24"/>
        </w:rPr>
        <w:t>研究生在读期间完成下列实践活动之一即可：</w:t>
      </w:r>
    </w:p>
    <w:p w14:paraId="13E6D18C">
      <w:pPr>
        <w:spacing w:line="440" w:lineRule="exact"/>
        <w:ind w:firstLine="480" w:firstLineChars="200"/>
        <w:rPr>
          <w:rFonts w:eastAsiaTheme="minorEastAsia"/>
          <w:bCs/>
          <w:sz w:val="24"/>
        </w:rPr>
      </w:pPr>
      <w:r>
        <w:rPr>
          <w:rFonts w:hint="eastAsia" w:eastAsiaTheme="minorEastAsia"/>
          <w:bCs/>
          <w:sz w:val="24"/>
        </w:rPr>
        <w:t>（1）参与校级及以上研究生创新资助项目，有相关佐证材料。</w:t>
      </w:r>
    </w:p>
    <w:p w14:paraId="6795FC14">
      <w:pPr>
        <w:spacing w:line="440" w:lineRule="exact"/>
        <w:ind w:firstLine="480" w:firstLineChars="200"/>
        <w:rPr>
          <w:rFonts w:eastAsiaTheme="minorEastAsia"/>
          <w:bCs/>
          <w:sz w:val="24"/>
        </w:rPr>
      </w:pPr>
      <w:r>
        <w:rPr>
          <w:rFonts w:hint="eastAsia" w:eastAsiaTheme="minorEastAsia"/>
          <w:bCs/>
          <w:sz w:val="24"/>
        </w:rPr>
        <w:t>（2）参与高水平竞赛活动，以参赛证明文件为准。具体赛事包括《河北大学学生课外学术科技竞赛分级目录》中所列赛事，以及全国大学生红色旅游创意策划大赛、全国大学生海洋旅游创意设计大赛、“旅投杯”全国大学生海洋自贸港旅游产品创新大赛、中国研究生创新实践系列大赛等学校目录清单外的专业赛事。学校目录清单外的重要赛事由研究生导师组长组织相关导师进行认定。</w:t>
      </w:r>
    </w:p>
    <w:p w14:paraId="3F67A9D5">
      <w:pPr>
        <w:spacing w:line="440" w:lineRule="exact"/>
        <w:ind w:firstLine="480" w:firstLineChars="200"/>
        <w:rPr>
          <w:rFonts w:eastAsiaTheme="minorEastAsia"/>
          <w:bCs/>
          <w:sz w:val="24"/>
        </w:rPr>
      </w:pPr>
      <w:r>
        <w:rPr>
          <w:rFonts w:hint="eastAsia" w:eastAsiaTheme="minorEastAsia"/>
          <w:bCs/>
          <w:sz w:val="24"/>
        </w:rPr>
        <w:t>（3）参与本学科案例库建设，以相关证明材料为准。</w:t>
      </w:r>
    </w:p>
    <w:p w14:paraId="61AAE44B">
      <w:pPr>
        <w:spacing w:line="440" w:lineRule="exact"/>
        <w:ind w:firstLine="480" w:firstLineChars="200"/>
        <w:rPr>
          <w:rFonts w:eastAsiaTheme="minorEastAsia"/>
          <w:bCs/>
          <w:sz w:val="24"/>
        </w:rPr>
      </w:pPr>
      <w:r>
        <w:rPr>
          <w:rFonts w:hint="eastAsia" w:eastAsiaTheme="minorEastAsia"/>
          <w:bCs/>
          <w:sz w:val="24"/>
        </w:rPr>
        <w:t>（4）参与纵向课题、企业横向课题以及国家部委司局的国情教育项目等，以相关证明材料为准。</w:t>
      </w:r>
    </w:p>
    <w:p w14:paraId="4871123B">
      <w:pPr>
        <w:spacing w:line="440" w:lineRule="exact"/>
        <w:ind w:firstLine="480" w:firstLineChars="200"/>
        <w:rPr>
          <w:rFonts w:eastAsiaTheme="minorEastAsia"/>
          <w:bCs/>
          <w:sz w:val="24"/>
        </w:rPr>
      </w:pPr>
      <w:r>
        <w:rPr>
          <w:rFonts w:hint="eastAsia" w:eastAsiaTheme="minorEastAsia"/>
          <w:bCs/>
          <w:sz w:val="24"/>
        </w:rPr>
        <w:t>（5）参与社会调研，完成具有政策参考价值的调研报告，以相关证明材料为准。</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470"/>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3EE"/>
    <w:rsid w:val="000D3BAB"/>
    <w:rsid w:val="000D3D52"/>
    <w:rsid w:val="000D41D0"/>
    <w:rsid w:val="000D6149"/>
    <w:rsid w:val="000D6CC0"/>
    <w:rsid w:val="000D6CD9"/>
    <w:rsid w:val="000D71B2"/>
    <w:rsid w:val="000E0380"/>
    <w:rsid w:val="000E2728"/>
    <w:rsid w:val="000E2804"/>
    <w:rsid w:val="000E339C"/>
    <w:rsid w:val="000E51AE"/>
    <w:rsid w:val="000E5229"/>
    <w:rsid w:val="000E532D"/>
    <w:rsid w:val="000E58F5"/>
    <w:rsid w:val="000F12FD"/>
    <w:rsid w:val="000F21F3"/>
    <w:rsid w:val="000F238B"/>
    <w:rsid w:val="000F2DCE"/>
    <w:rsid w:val="000F2E11"/>
    <w:rsid w:val="000F3134"/>
    <w:rsid w:val="000F335A"/>
    <w:rsid w:val="000F3809"/>
    <w:rsid w:val="000F4E87"/>
    <w:rsid w:val="000F6ECC"/>
    <w:rsid w:val="000F75B4"/>
    <w:rsid w:val="001004D8"/>
    <w:rsid w:val="00100A1C"/>
    <w:rsid w:val="00100A67"/>
    <w:rsid w:val="001015A9"/>
    <w:rsid w:val="00101F57"/>
    <w:rsid w:val="00104300"/>
    <w:rsid w:val="00104B89"/>
    <w:rsid w:val="00104BB1"/>
    <w:rsid w:val="0010579B"/>
    <w:rsid w:val="00105E20"/>
    <w:rsid w:val="00106020"/>
    <w:rsid w:val="00107C85"/>
    <w:rsid w:val="001101F5"/>
    <w:rsid w:val="00110577"/>
    <w:rsid w:val="00110911"/>
    <w:rsid w:val="00110D6C"/>
    <w:rsid w:val="0011145C"/>
    <w:rsid w:val="00111BCA"/>
    <w:rsid w:val="0011294E"/>
    <w:rsid w:val="00112E68"/>
    <w:rsid w:val="00113B61"/>
    <w:rsid w:val="00114345"/>
    <w:rsid w:val="0011514B"/>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3EB3"/>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85953"/>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2B07"/>
    <w:rsid w:val="001B30C4"/>
    <w:rsid w:val="001B465A"/>
    <w:rsid w:val="001B4FF4"/>
    <w:rsid w:val="001B62AC"/>
    <w:rsid w:val="001B66AF"/>
    <w:rsid w:val="001C2996"/>
    <w:rsid w:val="001C30DC"/>
    <w:rsid w:val="001C45C2"/>
    <w:rsid w:val="001C481C"/>
    <w:rsid w:val="001C4C1B"/>
    <w:rsid w:val="001C4FFF"/>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4CE9"/>
    <w:rsid w:val="00226F23"/>
    <w:rsid w:val="0023080B"/>
    <w:rsid w:val="002309EB"/>
    <w:rsid w:val="00230D9E"/>
    <w:rsid w:val="002311D2"/>
    <w:rsid w:val="00231C36"/>
    <w:rsid w:val="00232528"/>
    <w:rsid w:val="002325BF"/>
    <w:rsid w:val="0023324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4986"/>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87702"/>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401"/>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2ED"/>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4B23"/>
    <w:rsid w:val="00325D12"/>
    <w:rsid w:val="003267DB"/>
    <w:rsid w:val="00326A2C"/>
    <w:rsid w:val="003279B0"/>
    <w:rsid w:val="00331123"/>
    <w:rsid w:val="00331184"/>
    <w:rsid w:val="00331B4B"/>
    <w:rsid w:val="00331D3B"/>
    <w:rsid w:val="00332C98"/>
    <w:rsid w:val="00334F71"/>
    <w:rsid w:val="00335BB9"/>
    <w:rsid w:val="00336751"/>
    <w:rsid w:val="00336778"/>
    <w:rsid w:val="003374FD"/>
    <w:rsid w:val="00337DD6"/>
    <w:rsid w:val="003416AA"/>
    <w:rsid w:val="003416BC"/>
    <w:rsid w:val="00345BF6"/>
    <w:rsid w:val="00347872"/>
    <w:rsid w:val="00350E12"/>
    <w:rsid w:val="00351789"/>
    <w:rsid w:val="00352485"/>
    <w:rsid w:val="00352525"/>
    <w:rsid w:val="003539D7"/>
    <w:rsid w:val="00353D6B"/>
    <w:rsid w:val="003553D8"/>
    <w:rsid w:val="003617F2"/>
    <w:rsid w:val="00361966"/>
    <w:rsid w:val="00362BF4"/>
    <w:rsid w:val="00364D73"/>
    <w:rsid w:val="00367064"/>
    <w:rsid w:val="00371E5D"/>
    <w:rsid w:val="00371F36"/>
    <w:rsid w:val="00372023"/>
    <w:rsid w:val="00372CAC"/>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6CEA"/>
    <w:rsid w:val="003A7FDB"/>
    <w:rsid w:val="003B02F6"/>
    <w:rsid w:val="003B11EC"/>
    <w:rsid w:val="003B1809"/>
    <w:rsid w:val="003B1C29"/>
    <w:rsid w:val="003B21FD"/>
    <w:rsid w:val="003B38C6"/>
    <w:rsid w:val="003B3945"/>
    <w:rsid w:val="003B50B1"/>
    <w:rsid w:val="003B5EF2"/>
    <w:rsid w:val="003B5FCD"/>
    <w:rsid w:val="003B7223"/>
    <w:rsid w:val="003B765B"/>
    <w:rsid w:val="003C1B16"/>
    <w:rsid w:val="003C2368"/>
    <w:rsid w:val="003C2B6F"/>
    <w:rsid w:val="003C3387"/>
    <w:rsid w:val="003C399C"/>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3F8D"/>
    <w:rsid w:val="003F42A8"/>
    <w:rsid w:val="003F5B64"/>
    <w:rsid w:val="003F71EB"/>
    <w:rsid w:val="003F7640"/>
    <w:rsid w:val="003F7B27"/>
    <w:rsid w:val="003F7C00"/>
    <w:rsid w:val="0040267E"/>
    <w:rsid w:val="00404C55"/>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0BBD"/>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24F"/>
    <w:rsid w:val="00483D42"/>
    <w:rsid w:val="0048401B"/>
    <w:rsid w:val="00484694"/>
    <w:rsid w:val="00484F01"/>
    <w:rsid w:val="004858F1"/>
    <w:rsid w:val="00486018"/>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1D82"/>
    <w:rsid w:val="004A2DF9"/>
    <w:rsid w:val="004A3097"/>
    <w:rsid w:val="004A4867"/>
    <w:rsid w:val="004A53C4"/>
    <w:rsid w:val="004A5EB7"/>
    <w:rsid w:val="004A6125"/>
    <w:rsid w:val="004A671E"/>
    <w:rsid w:val="004A69F8"/>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2E0"/>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4877"/>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34E8"/>
    <w:rsid w:val="005E5DC2"/>
    <w:rsid w:val="005E62E3"/>
    <w:rsid w:val="005E64E5"/>
    <w:rsid w:val="005F06F9"/>
    <w:rsid w:val="005F4DB8"/>
    <w:rsid w:val="005F7741"/>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07EBA"/>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33BC"/>
    <w:rsid w:val="0063461B"/>
    <w:rsid w:val="00634736"/>
    <w:rsid w:val="00634968"/>
    <w:rsid w:val="00634DBA"/>
    <w:rsid w:val="006350A1"/>
    <w:rsid w:val="00635BA0"/>
    <w:rsid w:val="00635EF3"/>
    <w:rsid w:val="00640097"/>
    <w:rsid w:val="006406F4"/>
    <w:rsid w:val="00640F18"/>
    <w:rsid w:val="006416DA"/>
    <w:rsid w:val="006417EC"/>
    <w:rsid w:val="00642498"/>
    <w:rsid w:val="006437FE"/>
    <w:rsid w:val="00644B5B"/>
    <w:rsid w:val="00645D87"/>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08C"/>
    <w:rsid w:val="006833B7"/>
    <w:rsid w:val="00683966"/>
    <w:rsid w:val="00683ECB"/>
    <w:rsid w:val="00684095"/>
    <w:rsid w:val="0068580C"/>
    <w:rsid w:val="00687FF2"/>
    <w:rsid w:val="0069100C"/>
    <w:rsid w:val="0069124C"/>
    <w:rsid w:val="00691926"/>
    <w:rsid w:val="00697E04"/>
    <w:rsid w:val="00697F30"/>
    <w:rsid w:val="006A06EB"/>
    <w:rsid w:val="006A20D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6F61EC"/>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6B1B"/>
    <w:rsid w:val="0075725A"/>
    <w:rsid w:val="00757690"/>
    <w:rsid w:val="00760479"/>
    <w:rsid w:val="007653B6"/>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5782"/>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56A6"/>
    <w:rsid w:val="008072D0"/>
    <w:rsid w:val="00810A7C"/>
    <w:rsid w:val="00810F43"/>
    <w:rsid w:val="008116F4"/>
    <w:rsid w:val="00813262"/>
    <w:rsid w:val="00814CA9"/>
    <w:rsid w:val="00815004"/>
    <w:rsid w:val="00815987"/>
    <w:rsid w:val="00815BA8"/>
    <w:rsid w:val="0081685B"/>
    <w:rsid w:val="00816FEC"/>
    <w:rsid w:val="008179E2"/>
    <w:rsid w:val="00817E4C"/>
    <w:rsid w:val="00821603"/>
    <w:rsid w:val="0082256B"/>
    <w:rsid w:val="0082266C"/>
    <w:rsid w:val="00822CB9"/>
    <w:rsid w:val="00825096"/>
    <w:rsid w:val="0082606C"/>
    <w:rsid w:val="00826699"/>
    <w:rsid w:val="008309B8"/>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15D"/>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BAF"/>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A7F5E"/>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97B"/>
    <w:rsid w:val="00901CFA"/>
    <w:rsid w:val="00903019"/>
    <w:rsid w:val="009043B5"/>
    <w:rsid w:val="0090557B"/>
    <w:rsid w:val="00905AC8"/>
    <w:rsid w:val="009062FB"/>
    <w:rsid w:val="0091015C"/>
    <w:rsid w:val="00910B32"/>
    <w:rsid w:val="00910C3B"/>
    <w:rsid w:val="009110A3"/>
    <w:rsid w:val="00911AC4"/>
    <w:rsid w:val="00911D0A"/>
    <w:rsid w:val="00911ED2"/>
    <w:rsid w:val="009120C5"/>
    <w:rsid w:val="0091611D"/>
    <w:rsid w:val="00916C60"/>
    <w:rsid w:val="00917D69"/>
    <w:rsid w:val="009205AF"/>
    <w:rsid w:val="009219BB"/>
    <w:rsid w:val="00921AA0"/>
    <w:rsid w:val="00921ABD"/>
    <w:rsid w:val="00921B45"/>
    <w:rsid w:val="00922498"/>
    <w:rsid w:val="009237EC"/>
    <w:rsid w:val="009238CF"/>
    <w:rsid w:val="0092390E"/>
    <w:rsid w:val="00923DB7"/>
    <w:rsid w:val="00924443"/>
    <w:rsid w:val="00924EDF"/>
    <w:rsid w:val="00926233"/>
    <w:rsid w:val="00926DC3"/>
    <w:rsid w:val="00933D53"/>
    <w:rsid w:val="00933E6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0C1"/>
    <w:rsid w:val="00995A88"/>
    <w:rsid w:val="0099791C"/>
    <w:rsid w:val="009A2000"/>
    <w:rsid w:val="009A26E1"/>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26D"/>
    <w:rsid w:val="009C24BF"/>
    <w:rsid w:val="009C2B08"/>
    <w:rsid w:val="009C32AD"/>
    <w:rsid w:val="009C4CBE"/>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29E7"/>
    <w:rsid w:val="009E432B"/>
    <w:rsid w:val="009E4345"/>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49A"/>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3D80"/>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4CCB"/>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47A6"/>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3734C"/>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478A"/>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1055"/>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1D19"/>
    <w:rsid w:val="00BD2A25"/>
    <w:rsid w:val="00BD3BB8"/>
    <w:rsid w:val="00BD4272"/>
    <w:rsid w:val="00BD4491"/>
    <w:rsid w:val="00BD44CA"/>
    <w:rsid w:val="00BD6FF3"/>
    <w:rsid w:val="00BD761F"/>
    <w:rsid w:val="00BE00E7"/>
    <w:rsid w:val="00BE0144"/>
    <w:rsid w:val="00BE1BEF"/>
    <w:rsid w:val="00BE1D77"/>
    <w:rsid w:val="00BE21C2"/>
    <w:rsid w:val="00BE2A36"/>
    <w:rsid w:val="00BE2E66"/>
    <w:rsid w:val="00BE3B3F"/>
    <w:rsid w:val="00BE51C7"/>
    <w:rsid w:val="00BE55C3"/>
    <w:rsid w:val="00BE676F"/>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5A89"/>
    <w:rsid w:val="00C0653F"/>
    <w:rsid w:val="00C07244"/>
    <w:rsid w:val="00C07C99"/>
    <w:rsid w:val="00C10723"/>
    <w:rsid w:val="00C1171F"/>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0765"/>
    <w:rsid w:val="00C40C85"/>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D67"/>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76D4D"/>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3FB"/>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4D3D"/>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1CF8"/>
    <w:rsid w:val="00D325BC"/>
    <w:rsid w:val="00D3383B"/>
    <w:rsid w:val="00D35F2D"/>
    <w:rsid w:val="00D400EB"/>
    <w:rsid w:val="00D4130B"/>
    <w:rsid w:val="00D42201"/>
    <w:rsid w:val="00D4220F"/>
    <w:rsid w:val="00D4292A"/>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3DF4"/>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C83"/>
    <w:rsid w:val="00DA2F62"/>
    <w:rsid w:val="00DA31B1"/>
    <w:rsid w:val="00DA4192"/>
    <w:rsid w:val="00DA556E"/>
    <w:rsid w:val="00DA6F15"/>
    <w:rsid w:val="00DB1A6A"/>
    <w:rsid w:val="00DB2C18"/>
    <w:rsid w:val="00DB2FEE"/>
    <w:rsid w:val="00DB320C"/>
    <w:rsid w:val="00DB3CF7"/>
    <w:rsid w:val="00DB45CA"/>
    <w:rsid w:val="00DB4DF9"/>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70D"/>
    <w:rsid w:val="00E07990"/>
    <w:rsid w:val="00E10492"/>
    <w:rsid w:val="00E10B9E"/>
    <w:rsid w:val="00E11840"/>
    <w:rsid w:val="00E138C6"/>
    <w:rsid w:val="00E139BA"/>
    <w:rsid w:val="00E158E2"/>
    <w:rsid w:val="00E16233"/>
    <w:rsid w:val="00E16BB2"/>
    <w:rsid w:val="00E17337"/>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662D0"/>
    <w:rsid w:val="00E66331"/>
    <w:rsid w:val="00E700FF"/>
    <w:rsid w:val="00E7013F"/>
    <w:rsid w:val="00E71046"/>
    <w:rsid w:val="00E755F0"/>
    <w:rsid w:val="00E769A4"/>
    <w:rsid w:val="00E76EF0"/>
    <w:rsid w:val="00E802AD"/>
    <w:rsid w:val="00E80F7F"/>
    <w:rsid w:val="00E81793"/>
    <w:rsid w:val="00E8261D"/>
    <w:rsid w:val="00E82DF9"/>
    <w:rsid w:val="00E83926"/>
    <w:rsid w:val="00E8438F"/>
    <w:rsid w:val="00E84FDC"/>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E7103"/>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37892"/>
    <w:rsid w:val="00F40FDE"/>
    <w:rsid w:val="00F415B1"/>
    <w:rsid w:val="00F42341"/>
    <w:rsid w:val="00F45E65"/>
    <w:rsid w:val="00F461CE"/>
    <w:rsid w:val="00F46832"/>
    <w:rsid w:val="00F47115"/>
    <w:rsid w:val="00F47291"/>
    <w:rsid w:val="00F47ADF"/>
    <w:rsid w:val="00F50525"/>
    <w:rsid w:val="00F50557"/>
    <w:rsid w:val="00F50BA9"/>
    <w:rsid w:val="00F50F2F"/>
    <w:rsid w:val="00F52658"/>
    <w:rsid w:val="00F53284"/>
    <w:rsid w:val="00F53D17"/>
    <w:rsid w:val="00F54445"/>
    <w:rsid w:val="00F552A9"/>
    <w:rsid w:val="00F5628B"/>
    <w:rsid w:val="00F56688"/>
    <w:rsid w:val="00F572B1"/>
    <w:rsid w:val="00F60448"/>
    <w:rsid w:val="00F60B18"/>
    <w:rsid w:val="00F611B3"/>
    <w:rsid w:val="00F6287D"/>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0A75"/>
    <w:rsid w:val="00FB167D"/>
    <w:rsid w:val="00FB1C2E"/>
    <w:rsid w:val="00FB3165"/>
    <w:rsid w:val="00FB457A"/>
    <w:rsid w:val="00FB673B"/>
    <w:rsid w:val="00FB6BCD"/>
    <w:rsid w:val="00FB74E8"/>
    <w:rsid w:val="00FC04DE"/>
    <w:rsid w:val="00FC1D6A"/>
    <w:rsid w:val="00FC22A4"/>
    <w:rsid w:val="00FC29BF"/>
    <w:rsid w:val="00FC3997"/>
    <w:rsid w:val="00FC3A9F"/>
    <w:rsid w:val="00FC41FF"/>
    <w:rsid w:val="00FC421C"/>
    <w:rsid w:val="00FC4791"/>
    <w:rsid w:val="00FC4BFE"/>
    <w:rsid w:val="00FC5E8A"/>
    <w:rsid w:val="00FC6435"/>
    <w:rsid w:val="00FC75C9"/>
    <w:rsid w:val="00FD0159"/>
    <w:rsid w:val="00FD0BBA"/>
    <w:rsid w:val="00FD20E1"/>
    <w:rsid w:val="00FD2818"/>
    <w:rsid w:val="00FD4A30"/>
    <w:rsid w:val="00FD5808"/>
    <w:rsid w:val="00FD625A"/>
    <w:rsid w:val="00FD627D"/>
    <w:rsid w:val="00FD6382"/>
    <w:rsid w:val="00FD74CE"/>
    <w:rsid w:val="00FE02E2"/>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4AA53176"/>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88A52F-6B12-4479-A217-413D5D2B3451}">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4464</Words>
  <Characters>4707</Characters>
  <Lines>35</Lines>
  <Paragraphs>10</Paragraphs>
  <TotalTime>107</TotalTime>
  <ScaleCrop>false</ScaleCrop>
  <LinksUpToDate>false</LinksUpToDate>
  <CharactersWithSpaces>4731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2025-04-25T01:03:00Z</dcterms:created>
  <dc:creator>刘明旭</dc:creator>
  <cp:lastModifiedBy>送送</cp:lastModifiedBy>
  <cp:lastPrinted>2025-03-14T03:17:00Z</cp:lastPrinted>
  <dcterms:modified xsi:type="dcterms:W3CDTF">2025-07-11T10:50:43Z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C3FCCB7972184FD1B57E24E2FD69492E_12</vt:lpwstr>
  </property>
</Properties>
</file>