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9D8160">
      <w:pPr>
        <w:ind w:left="321" w:leftChars="153" w:right="227"/>
        <w:jc w:val="center"/>
        <w:rPr>
          <w:rFonts w:eastAsia="黑体"/>
          <w:b/>
          <w:bCs/>
          <w:i/>
          <w:color w:val="auto"/>
          <w:sz w:val="36"/>
          <w:szCs w:val="36"/>
          <w:u w:val="single"/>
        </w:rPr>
      </w:pPr>
    </w:p>
    <w:p w14:paraId="11BB29F6">
      <w:pPr>
        <w:ind w:left="321" w:leftChars="153" w:right="227"/>
        <w:jc w:val="center"/>
        <w:rPr>
          <w:rFonts w:eastAsia="黑体"/>
          <w:b/>
          <w:bCs/>
          <w:color w:val="auto"/>
          <w:sz w:val="36"/>
          <w:szCs w:val="36"/>
        </w:rPr>
      </w:pPr>
      <w:r>
        <w:rPr>
          <w:rFonts w:hint="eastAsia" w:eastAsia="黑体"/>
          <w:b/>
          <w:bCs/>
          <w:color w:val="auto"/>
          <w:sz w:val="36"/>
          <w:szCs w:val="36"/>
          <w:lang w:val="en-US" w:eastAsia="zh-CN"/>
        </w:rPr>
        <w:t>数字经济管理</w:t>
      </w:r>
      <w:r>
        <w:rPr>
          <w:rFonts w:eastAsia="黑体"/>
          <w:b/>
          <w:bCs/>
          <w:color w:val="auto"/>
          <w:sz w:val="36"/>
          <w:szCs w:val="36"/>
        </w:rPr>
        <w:t>专业学术学位硕士研究生培养方案</w:t>
      </w:r>
    </w:p>
    <w:p w14:paraId="4FC5462C">
      <w:pPr>
        <w:ind w:left="321" w:leftChars="153" w:right="227"/>
        <w:jc w:val="center"/>
        <w:rPr>
          <w:rFonts w:eastAsia="黑体"/>
          <w:b/>
          <w:bCs/>
          <w:color w:val="auto"/>
          <w:sz w:val="28"/>
          <w:szCs w:val="28"/>
        </w:rPr>
      </w:pPr>
      <w:r>
        <w:rPr>
          <w:rFonts w:eastAsia="黑体"/>
          <w:b/>
          <w:bCs/>
          <w:color w:val="auto"/>
          <w:sz w:val="28"/>
          <w:szCs w:val="28"/>
        </w:rPr>
        <w:t>（</w:t>
      </w:r>
      <w:r>
        <w:rPr>
          <w:rFonts w:hint="eastAsia" w:eastAsia="黑体"/>
          <w:b/>
          <w:bCs/>
          <w:color w:val="auto"/>
          <w:sz w:val="28"/>
          <w:szCs w:val="28"/>
          <w:lang w:val="en-US" w:eastAsia="zh-CN"/>
        </w:rPr>
        <w:t>管理</w:t>
      </w:r>
      <w:r>
        <w:rPr>
          <w:rFonts w:eastAsia="黑体"/>
          <w:b/>
          <w:bCs/>
          <w:color w:val="auto"/>
          <w:sz w:val="28"/>
          <w:szCs w:val="28"/>
        </w:rPr>
        <w:t>学院)</w:t>
      </w:r>
    </w:p>
    <w:p w14:paraId="461F3957">
      <w:pPr>
        <w:spacing w:line="440" w:lineRule="exact"/>
        <w:ind w:firstLine="56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一、专业名称、代码</w:t>
      </w:r>
    </w:p>
    <w:p w14:paraId="4168CBF9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rFonts w:hint="default"/>
          <w:color w:val="auto"/>
          <w:kern w:val="0"/>
          <w:sz w:val="24"/>
          <w:lang w:val="en-US" w:eastAsia="zh-CN"/>
        </w:rPr>
      </w:pPr>
      <w:r>
        <w:rPr>
          <w:color w:val="auto"/>
          <w:kern w:val="0"/>
          <w:sz w:val="24"/>
        </w:rPr>
        <w:t>专业名称：</w:t>
      </w:r>
      <w:r>
        <w:rPr>
          <w:rFonts w:hint="eastAsia"/>
          <w:color w:val="auto"/>
          <w:kern w:val="0"/>
          <w:sz w:val="24"/>
          <w:lang w:val="en-US" w:eastAsia="zh-CN"/>
        </w:rPr>
        <w:t>数字经济管理</w:t>
      </w:r>
    </w:p>
    <w:p w14:paraId="56B40188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rFonts w:hint="default" w:eastAsia="宋体"/>
          <w:color w:val="auto"/>
          <w:kern w:val="0"/>
          <w:sz w:val="18"/>
          <w:szCs w:val="18"/>
          <w:lang w:val="en-US" w:eastAsia="zh-CN"/>
        </w:rPr>
      </w:pPr>
      <w:r>
        <w:rPr>
          <w:color w:val="auto"/>
          <w:kern w:val="0"/>
          <w:sz w:val="24"/>
        </w:rPr>
        <w:t>专业代码：</w:t>
      </w:r>
      <w:r>
        <w:rPr>
          <w:rFonts w:hint="eastAsia"/>
          <w:color w:val="auto"/>
          <w:kern w:val="0"/>
          <w:sz w:val="24"/>
          <w:lang w:val="en-US" w:eastAsia="zh-CN"/>
        </w:rPr>
        <w:t>1201J2</w:t>
      </w:r>
    </w:p>
    <w:p w14:paraId="777CF478">
      <w:pPr>
        <w:spacing w:line="440" w:lineRule="exact"/>
        <w:ind w:firstLine="560" w:firstLineChars="200"/>
        <w:rPr>
          <w:rFonts w:eastAsia="黑体"/>
          <w:bCs/>
          <w:i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二、专业简介</w:t>
      </w:r>
    </w:p>
    <w:p w14:paraId="69464C24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河北大学数字经济管理是新兴的交叉学科，其依托于管理科学与工程、</w:t>
      </w:r>
      <w:r>
        <w:rPr>
          <w:rFonts w:hint="eastAsia" w:eastAsiaTheme="minorEastAsia"/>
          <w:iCs/>
          <w:color w:val="auto"/>
          <w:sz w:val="24"/>
          <w:lang w:val="en-US" w:eastAsia="zh-CN"/>
        </w:rPr>
        <w:t>信息资源</w:t>
      </w:r>
      <w:r>
        <w:rPr>
          <w:rFonts w:hint="eastAsia" w:eastAsiaTheme="minorEastAsia"/>
          <w:iCs/>
          <w:color w:val="auto"/>
          <w:sz w:val="24"/>
        </w:rPr>
        <w:t>管理两个一级学科博士点基础进行建设。数字经济管理交叉学科博士点，于2020年10月呈报教育部，获批增设。2021年开始招收数字经济管理方向硕士研究生。</w:t>
      </w:r>
    </w:p>
    <w:p w14:paraId="2584C0F9">
      <w:pPr>
        <w:spacing w:line="440" w:lineRule="exact"/>
        <w:ind w:firstLine="480" w:firstLineChars="200"/>
        <w:rPr>
          <w:rFonts w:eastAsiaTheme="minorEastAsia"/>
          <w:i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数字经济管理是时代发展的必然，符合国家重大战略方向，满足社会发展需求。研究内容包含了众多分支和学科交叉领域，如数字政府治理、企业转型与治理、智能决策管理、智能财务、智慧金融、平台经济等。该学科目前形成以管理学为主，与经济学、数据科学等学科交叉融合，数字化特色明显的专业发展特征。数字经济管理专业“扎根京津冀、服务国家重大战略需求，培养复合型创新人才”。</w:t>
      </w:r>
    </w:p>
    <w:p w14:paraId="5F1494F6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三、研究方向</w:t>
      </w:r>
    </w:p>
    <w:p w14:paraId="47877820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根据本学科的优势和特点，</w:t>
      </w:r>
      <w:r>
        <w:rPr>
          <w:rFonts w:hint="eastAsia"/>
          <w:color w:val="auto"/>
          <w:sz w:val="24"/>
          <w:highlight w:val="none"/>
        </w:rPr>
        <w:t>立足于</w:t>
      </w:r>
      <w:r>
        <w:rPr>
          <w:rFonts w:hint="eastAsia"/>
          <w:color w:val="auto"/>
          <w:sz w:val="24"/>
          <w:highlight w:val="none"/>
          <w:lang w:val="en-US" w:eastAsia="zh-CN"/>
        </w:rPr>
        <w:t>服务国家重大战略、河北省八大产业</w:t>
      </w:r>
      <w:r>
        <w:rPr>
          <w:rFonts w:hint="eastAsia"/>
          <w:color w:val="auto"/>
          <w:sz w:val="24"/>
          <w:highlight w:val="none"/>
        </w:rPr>
        <w:t>，</w:t>
      </w:r>
      <w:r>
        <w:rPr>
          <w:rFonts w:hint="eastAsia"/>
          <w:color w:val="auto"/>
          <w:sz w:val="24"/>
          <w:highlight w:val="none"/>
          <w:lang w:val="en-US" w:eastAsia="zh-CN"/>
        </w:rPr>
        <w:t>依据</w:t>
      </w:r>
      <w:r>
        <w:rPr>
          <w:rFonts w:hint="eastAsia"/>
          <w:color w:val="auto"/>
          <w:sz w:val="24"/>
        </w:rPr>
        <w:t>导师队伍知识结构和研究领域等条件，本学科设置以下</w:t>
      </w:r>
      <w:r>
        <w:rPr>
          <w:rFonts w:hint="eastAsia"/>
          <w:color w:val="auto"/>
          <w:sz w:val="24"/>
          <w:lang w:val="en-US" w:eastAsia="zh-CN"/>
        </w:rPr>
        <w:t>3</w:t>
      </w:r>
      <w:r>
        <w:rPr>
          <w:rFonts w:hint="eastAsia"/>
          <w:color w:val="auto"/>
          <w:sz w:val="24"/>
        </w:rPr>
        <w:t>个研究方向</w:t>
      </w:r>
      <w:r>
        <w:rPr>
          <w:rFonts w:hint="eastAsia"/>
          <w:color w:val="auto"/>
          <w:sz w:val="24"/>
          <w:lang w:eastAsia="zh-CN"/>
        </w:rPr>
        <w:t>。</w:t>
      </w:r>
      <w:r>
        <w:rPr>
          <w:rFonts w:hint="eastAsia"/>
          <w:color w:val="auto"/>
          <w:sz w:val="24"/>
        </w:rPr>
        <w:t>这</w:t>
      </w:r>
      <w:r>
        <w:rPr>
          <w:rFonts w:hint="eastAsia"/>
          <w:color w:val="auto"/>
          <w:sz w:val="24"/>
          <w:lang w:val="en-US" w:eastAsia="zh-CN"/>
        </w:rPr>
        <w:t>3</w:t>
      </w:r>
      <w:r>
        <w:rPr>
          <w:rFonts w:hint="eastAsia"/>
          <w:color w:val="auto"/>
          <w:sz w:val="24"/>
        </w:rPr>
        <w:t>个研究方向在内容和方法上既相互独立，又相互补充。</w:t>
      </w:r>
    </w:p>
    <w:p w14:paraId="4729BFE1">
      <w:pPr>
        <w:pStyle w:val="25"/>
        <w:numPr>
          <w:ilvl w:val="0"/>
          <w:numId w:val="1"/>
        </w:numPr>
        <w:spacing w:line="440" w:lineRule="exact"/>
        <w:ind w:firstLineChars="0"/>
        <w:rPr>
          <w:rFonts w:eastAsiaTheme="minorEastAsia"/>
          <w:b/>
          <w:bCs/>
          <w:iCs/>
          <w:color w:val="auto"/>
          <w:sz w:val="24"/>
        </w:rPr>
      </w:pPr>
      <w:r>
        <w:rPr>
          <w:rFonts w:hint="eastAsia" w:eastAsiaTheme="minorEastAsia"/>
          <w:b/>
          <w:bCs/>
          <w:iCs/>
          <w:color w:val="auto"/>
          <w:sz w:val="24"/>
        </w:rPr>
        <w:t>数字</w:t>
      </w:r>
      <w:r>
        <w:rPr>
          <w:rFonts w:hint="eastAsia" w:eastAsiaTheme="minorEastAsia"/>
          <w:b/>
          <w:bCs/>
          <w:iCs/>
          <w:color w:val="auto"/>
          <w:sz w:val="24"/>
          <w:lang w:val="en-US" w:eastAsia="zh-CN"/>
        </w:rPr>
        <w:t>公共</w:t>
      </w:r>
      <w:r>
        <w:rPr>
          <w:rFonts w:hint="eastAsia" w:eastAsiaTheme="minorEastAsia"/>
          <w:b/>
          <w:bCs/>
          <w:iCs/>
          <w:color w:val="auto"/>
          <w:sz w:val="24"/>
        </w:rPr>
        <w:t>治理</w:t>
      </w:r>
    </w:p>
    <w:p w14:paraId="39117E3B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探索未来数字政府形态及政府治理的前沿性研究。随着大数据、物联网、区块链、人工智能等信息与技术的不断更新迭代，紧跟国内外学术研究和实践创新前沿，结合我国政治经济社会文化的发展背景，探索研究未来数字政府治理的创新趋势和创新范式。</w:t>
      </w:r>
    </w:p>
    <w:p w14:paraId="66BD4AF0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聚焦国家在推动政务数据开放、政务数据交换共享、智慧城市建设等领域的政策创新与实践。依托政府各类决策、管理和服务系统以及电子政务和智能政务平台上的数据资源，开展电子政务及智慧城市系统中信息数据的分析及应用。</w:t>
      </w:r>
    </w:p>
    <w:p w14:paraId="2FADE5EA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开展政务数据的挖掘分析与政策研究。通过对政府网站及政务服务平台监测数据的深度分析，研究政府履职、政策执行、改革创新等方面的情况，探索数据驱动的社会治理研究及基于大数据的智慧城市管理。</w:t>
      </w:r>
    </w:p>
    <w:p w14:paraId="73BC1307">
      <w:pPr>
        <w:pStyle w:val="25"/>
        <w:numPr>
          <w:ilvl w:val="0"/>
          <w:numId w:val="1"/>
        </w:numPr>
        <w:spacing w:line="440" w:lineRule="exact"/>
        <w:ind w:firstLineChars="0"/>
        <w:rPr>
          <w:rFonts w:eastAsiaTheme="minorEastAsia"/>
          <w:b/>
          <w:bCs/>
          <w:iCs/>
          <w:color w:val="auto"/>
          <w:sz w:val="24"/>
        </w:rPr>
      </w:pPr>
      <w:r>
        <w:rPr>
          <w:rFonts w:hint="eastAsia" w:eastAsiaTheme="minorEastAsia"/>
          <w:b/>
          <w:bCs/>
          <w:iCs/>
          <w:color w:val="auto"/>
          <w:sz w:val="24"/>
        </w:rPr>
        <w:t>智能决策与优化</w:t>
      </w:r>
    </w:p>
    <w:p w14:paraId="2A676E1F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数据驱动的智能决策与优化方法理论研究。运用统计学、运筹学等知识，研究海量数据的存储与管理方法，研究不确定性优化理论与多目标决策理论在数据驱动环境下的应用，构建自动化、智能化的决策支持系统。</w:t>
      </w:r>
    </w:p>
    <w:p w14:paraId="31ED4D93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复杂数据环境下智能决策应用研究。探究复杂制造与服务系统运营中海量数据的收集、整理与挖掘，结合企业管理及公共服务，构建全产业链智能化决策系统，实现智能制造、智能销售、智能服务等一系列重要应用。</w:t>
      </w:r>
    </w:p>
    <w:p w14:paraId="5D4F0BC1">
      <w:pPr>
        <w:pStyle w:val="25"/>
        <w:numPr>
          <w:ilvl w:val="0"/>
          <w:numId w:val="1"/>
        </w:numPr>
        <w:spacing w:line="440" w:lineRule="exact"/>
        <w:ind w:firstLineChars="0"/>
        <w:rPr>
          <w:rFonts w:eastAsiaTheme="minorEastAsia"/>
          <w:b/>
          <w:bCs/>
          <w:iCs/>
          <w:color w:val="auto"/>
          <w:sz w:val="24"/>
        </w:rPr>
      </w:pPr>
      <w:r>
        <w:rPr>
          <w:rFonts w:hint="eastAsia" w:eastAsiaTheme="minorEastAsia"/>
          <w:b/>
          <w:bCs/>
          <w:iCs/>
          <w:color w:val="auto"/>
          <w:sz w:val="24"/>
        </w:rPr>
        <w:t>企业数字化转型与治理</w:t>
      </w:r>
    </w:p>
    <w:p w14:paraId="59DB4C8E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企业数字化转型研究。研究国内外关于企业数字化转型的相关理论问题，分析和研究国内外具有代表性的企业数字化转型发展案例，科学揭示不同类型企业数字化转型规律，为政府的政策制定和企业数字化转型实践提供理论指导和政策建议。</w:t>
      </w:r>
    </w:p>
    <w:p w14:paraId="18823399">
      <w:pPr>
        <w:spacing w:line="440" w:lineRule="exact"/>
        <w:ind w:firstLine="480" w:firstLineChars="200"/>
        <w:rPr>
          <w:rFonts w:eastAsiaTheme="minorEastAsia"/>
          <w:iCs/>
          <w:color w:val="auto"/>
          <w:sz w:val="24"/>
        </w:rPr>
      </w:pPr>
      <w:r>
        <w:rPr>
          <w:rFonts w:hint="eastAsia" w:eastAsiaTheme="minorEastAsia"/>
          <w:iCs/>
          <w:color w:val="auto"/>
          <w:sz w:val="24"/>
        </w:rPr>
        <w:t>企业数字化治理研究。关注数字化背景下企业治理机制创新实践，通过对国内外企业数字化治理创新实践的研究分析，综合运用质性和量化研究方法，实现理论建构与检验，为推动企业数字化治理实践提供了理论指导和管理启示。</w:t>
      </w:r>
    </w:p>
    <w:p w14:paraId="4C2A10DF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四、学制及学习年限</w:t>
      </w:r>
    </w:p>
    <w:p w14:paraId="7499552D">
      <w:pPr>
        <w:spacing w:line="440" w:lineRule="exact"/>
        <w:ind w:firstLine="480" w:firstLineChars="200"/>
        <w:rPr>
          <w:rFonts w:eastAsiaTheme="minorEastAsia"/>
          <w:i/>
          <w:color w:val="auto"/>
          <w:sz w:val="24"/>
        </w:rPr>
      </w:pPr>
      <w:r>
        <w:rPr>
          <w:rFonts w:eastAsiaTheme="minorEastAsia"/>
          <w:color w:val="auto"/>
          <w:sz w:val="24"/>
        </w:rPr>
        <w:t>本专业学制为3年，在校最长学习年限（含休学）不超过6年。</w:t>
      </w:r>
    </w:p>
    <w:p w14:paraId="2DB43D0D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五、培养目标</w:t>
      </w:r>
    </w:p>
    <w:p w14:paraId="2E1DE528">
      <w:pPr>
        <w:spacing w:line="360" w:lineRule="auto"/>
        <w:ind w:firstLine="480"/>
        <w:rPr>
          <w:color w:val="auto"/>
          <w:sz w:val="24"/>
        </w:rPr>
      </w:pPr>
      <w:r>
        <w:rPr>
          <w:color w:val="auto"/>
          <w:sz w:val="24"/>
        </w:rPr>
        <w:t>1</w:t>
      </w:r>
      <w:r>
        <w:rPr>
          <w:rFonts w:hint="eastAsia"/>
          <w:color w:val="auto"/>
          <w:sz w:val="24"/>
          <w:lang w:val="en-US" w:eastAsia="zh-CN"/>
        </w:rPr>
        <w:t xml:space="preserve">. </w:t>
      </w:r>
      <w:r>
        <w:rPr>
          <w:rFonts w:hint="eastAsia"/>
          <w:color w:val="auto"/>
          <w:sz w:val="24"/>
        </w:rPr>
        <w:t>树立正确的中国特色社会主义核心价值观，具有坚定的理想信念，高尚的道德情操，优良的学术作风，高度的社会责任感。坚持诚实守信，勤勉尽责，具有科学严谨和求真务实的学习态度和工作作风。</w:t>
      </w:r>
    </w:p>
    <w:p w14:paraId="16693078">
      <w:pPr>
        <w:spacing w:line="360" w:lineRule="auto"/>
        <w:ind w:firstLine="480"/>
        <w:rPr>
          <w:color w:val="auto"/>
          <w:sz w:val="24"/>
        </w:rPr>
      </w:pPr>
      <w:r>
        <w:rPr>
          <w:color w:val="auto"/>
          <w:sz w:val="24"/>
        </w:rPr>
        <w:t>2.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eastAsiaTheme="minorEastAsia"/>
          <w:iCs/>
          <w:color w:val="auto"/>
          <w:sz w:val="24"/>
        </w:rPr>
        <w:t>掌握坚实的基础理论和系统的专门知识，掌握</w:t>
      </w:r>
      <w:r>
        <w:rPr>
          <w:rFonts w:hint="eastAsia" w:eastAsiaTheme="minorEastAsia"/>
          <w:iCs/>
          <w:color w:val="auto"/>
          <w:sz w:val="24"/>
        </w:rPr>
        <w:t>数字经济管理</w:t>
      </w:r>
      <w:r>
        <w:rPr>
          <w:rFonts w:eastAsiaTheme="minorEastAsia"/>
          <w:iCs/>
          <w:color w:val="auto"/>
          <w:sz w:val="24"/>
        </w:rPr>
        <w:t>学科的科学研究方法及必要的</w:t>
      </w:r>
      <w:r>
        <w:rPr>
          <w:rFonts w:hint="eastAsia" w:eastAsiaTheme="minorEastAsia"/>
          <w:iCs/>
          <w:color w:val="auto"/>
          <w:sz w:val="24"/>
        </w:rPr>
        <w:t>先进的技术</w:t>
      </w:r>
      <w:r>
        <w:rPr>
          <w:rFonts w:eastAsiaTheme="minorEastAsia"/>
          <w:iCs/>
          <w:color w:val="auto"/>
          <w:sz w:val="24"/>
        </w:rPr>
        <w:t>方法和技能，熟悉本学科的前沿研究领域，具有独立从事科学研究和解决实际问题的能力。</w:t>
      </w:r>
    </w:p>
    <w:p w14:paraId="09E6FCFE">
      <w:pPr>
        <w:spacing w:line="360" w:lineRule="auto"/>
        <w:ind w:firstLine="480"/>
        <w:rPr>
          <w:color w:val="auto"/>
          <w:sz w:val="24"/>
        </w:rPr>
      </w:pPr>
      <w:r>
        <w:rPr>
          <w:color w:val="auto"/>
          <w:sz w:val="24"/>
        </w:rPr>
        <w:t>3.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至少掌握一门外国语，能熟练阅读本专业的外文资料，具备一定的</w:t>
      </w:r>
      <w:r>
        <w:rPr>
          <w:rFonts w:hint="eastAsia"/>
          <w:color w:val="auto"/>
          <w:sz w:val="24"/>
          <w:highlight w:val="none"/>
        </w:rPr>
        <w:t>写</w:t>
      </w:r>
      <w:r>
        <w:rPr>
          <w:rFonts w:hint="eastAsia"/>
          <w:color w:val="auto"/>
          <w:sz w:val="24"/>
          <w:highlight w:val="none"/>
          <w:lang w:val="en-US" w:eastAsia="zh-CN"/>
        </w:rPr>
        <w:t>作、翻译</w:t>
      </w:r>
      <w:r>
        <w:rPr>
          <w:rFonts w:hint="eastAsia"/>
          <w:color w:val="auto"/>
          <w:sz w:val="24"/>
        </w:rPr>
        <w:t>能力和基本听说能力，具有撰写学术论文和进行国际学术交流的能力。</w:t>
      </w:r>
    </w:p>
    <w:p w14:paraId="4BE07383">
      <w:pPr>
        <w:spacing w:line="360" w:lineRule="auto"/>
        <w:ind w:firstLine="480"/>
        <w:rPr>
          <w:color w:val="auto"/>
          <w:sz w:val="24"/>
        </w:rPr>
      </w:pPr>
      <w:r>
        <w:rPr>
          <w:color w:val="auto"/>
          <w:sz w:val="24"/>
        </w:rPr>
        <w:t>4.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具有良好的团队意识和团队合作精神。</w:t>
      </w:r>
    </w:p>
    <w:p w14:paraId="2011267D">
      <w:pPr>
        <w:spacing w:line="360" w:lineRule="auto"/>
        <w:ind w:firstLine="480"/>
        <w:rPr>
          <w:color w:val="auto"/>
          <w:sz w:val="24"/>
        </w:rPr>
      </w:pPr>
      <w:r>
        <w:rPr>
          <w:color w:val="auto"/>
          <w:sz w:val="24"/>
        </w:rPr>
        <w:t>5.</w:t>
      </w:r>
      <w:r>
        <w:rPr>
          <w:rFonts w:hint="eastAsia"/>
          <w:color w:val="auto"/>
          <w:sz w:val="24"/>
          <w:lang w:val="en-US" w:eastAsia="zh-CN"/>
        </w:rPr>
        <w:t xml:space="preserve"> </w:t>
      </w:r>
      <w:r>
        <w:rPr>
          <w:rFonts w:hint="eastAsia"/>
          <w:color w:val="auto"/>
          <w:sz w:val="24"/>
        </w:rPr>
        <w:t>具有健康的身体和良好的心理素质。</w:t>
      </w:r>
    </w:p>
    <w:p w14:paraId="4BCA1700">
      <w:pPr>
        <w:spacing w:line="420" w:lineRule="exact"/>
        <w:ind w:firstLine="480"/>
        <w:rPr>
          <w:rFonts w:eastAsiaTheme="minorEastAsia"/>
          <w:i/>
          <w:color w:val="auto"/>
          <w:sz w:val="24"/>
        </w:rPr>
      </w:pPr>
      <w:r>
        <w:rPr>
          <w:color w:val="auto"/>
          <w:sz w:val="24"/>
        </w:rPr>
        <w:t xml:space="preserve">6. </w:t>
      </w:r>
      <w:r>
        <w:rPr>
          <w:rFonts w:hint="eastAsia"/>
          <w:color w:val="auto"/>
          <w:sz w:val="24"/>
        </w:rPr>
        <w:t>培养德智体美劳全面发展的社会主义事业接班人。</w:t>
      </w:r>
    </w:p>
    <w:p w14:paraId="3A83389E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六、培养方式</w:t>
      </w:r>
    </w:p>
    <w:p w14:paraId="7671C7A4">
      <w:pPr>
        <w:spacing w:line="360" w:lineRule="auto"/>
        <w:ind w:firstLine="480" w:firstLineChars="200"/>
        <w:rPr>
          <w:color w:val="auto"/>
          <w:sz w:val="24"/>
        </w:rPr>
      </w:pPr>
      <w:r>
        <w:rPr>
          <w:rFonts w:hint="eastAsia"/>
          <w:color w:val="auto"/>
          <w:sz w:val="24"/>
        </w:rPr>
        <w:t>本专业采用导师负责制与学科组集体培养相结合的方式，对研究生培养的全过程进行全方位、针对性指导。</w:t>
      </w:r>
      <w:r>
        <w:rPr>
          <w:rFonts w:hint="eastAsia" w:asciiTheme="minorEastAsia" w:hAnsiTheme="minorEastAsia" w:eastAsiaTheme="minorEastAsia"/>
          <w:bCs/>
          <w:color w:val="auto"/>
          <w:sz w:val="24"/>
        </w:rPr>
        <w:t>负责研究生日常管理、学风和学术道德教育、制定和调整硕士研究生培养计划、组织开题、指导科学研究和学位论文等。</w:t>
      </w:r>
    </w:p>
    <w:p w14:paraId="4EA13E4C"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bCs/>
          <w:i/>
          <w:color w:val="auto"/>
          <w:sz w:val="24"/>
        </w:rPr>
      </w:pPr>
      <w:r>
        <w:rPr>
          <w:rFonts w:hint="eastAsia" w:asciiTheme="minorEastAsia" w:hAnsiTheme="minorEastAsia" w:eastAsiaTheme="minorEastAsia"/>
          <w:bCs/>
          <w:color w:val="auto"/>
          <w:sz w:val="24"/>
        </w:rPr>
        <w:t>课程学习实行学分制。学生在申请答辩之前须修满所要求的学分。</w:t>
      </w:r>
      <w:r>
        <w:rPr>
          <w:rFonts w:hint="eastAsia"/>
          <w:color w:val="auto"/>
          <w:sz w:val="24"/>
        </w:rPr>
        <w:t>采用系统讲授、专题研讨、案例教学、文献研读等多元化教学方式，注重理论与实践结合。注重过程考核，通过课程论文、实验报告、学术汇报等形式综合评价学习成效。</w:t>
      </w:r>
    </w:p>
    <w:p w14:paraId="70D30323">
      <w:pPr>
        <w:spacing w:line="360" w:lineRule="auto"/>
        <w:ind w:firstLine="480" w:firstLineChars="20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</w:rPr>
        <w:t>注重科研能力训练。以科研能力培养为核心，通过课程学习、文献阅读、课题研究、学术交流与学位论文撰写等环节，系统提升学生的理论水平和创新能力。鼓励和支持学生参与导师的科研项目、独立申报校级/省级研究生创新课题、参加专业相关学术比赛、产出一定水平的科研成果。</w:t>
      </w:r>
    </w:p>
    <w:p w14:paraId="22BB2A77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七、中期筛选</w:t>
      </w:r>
    </w:p>
    <w:p w14:paraId="1DC92539">
      <w:pPr>
        <w:spacing w:before="156" w:beforeLines="50" w:line="360" w:lineRule="auto"/>
        <w:ind w:firstLine="480" w:firstLineChars="200"/>
        <w:rPr>
          <w:rFonts w:eastAsiaTheme="minorEastAsia"/>
          <w:bCs/>
          <w:color w:val="auto"/>
          <w:sz w:val="24"/>
        </w:rPr>
      </w:pPr>
      <w:bookmarkStart w:id="0" w:name="_Toc59002625"/>
      <w:r>
        <w:rPr>
          <w:rFonts w:eastAsiaTheme="minorEastAsia"/>
          <w:bCs/>
          <w:color w:val="auto"/>
          <w:sz w:val="24"/>
        </w:rPr>
        <w:t>在完成培养方案规定的课程学习、考核成绩合格、获得规定的学分后，</w:t>
      </w:r>
      <w:bookmarkEnd w:id="0"/>
      <w:r>
        <w:rPr>
          <w:rFonts w:eastAsiaTheme="minorEastAsia"/>
          <w:bCs/>
          <w:color w:val="auto"/>
          <w:sz w:val="24"/>
        </w:rPr>
        <w:t>按照《河北大学研究生中期筛选管理办法》（校政字〔2021〕15号）的相关规定，组织开展中期筛选工作。</w:t>
      </w:r>
    </w:p>
    <w:p w14:paraId="26574002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八</w:t>
      </w:r>
      <w:r>
        <w:rPr>
          <w:rFonts w:eastAsia="黑体"/>
          <w:bCs/>
          <w:color w:val="auto"/>
          <w:sz w:val="28"/>
          <w:szCs w:val="28"/>
        </w:rPr>
        <w:t>、学位（毕业）论文</w:t>
      </w:r>
    </w:p>
    <w:p w14:paraId="3B6943B0">
      <w:pPr>
        <w:spacing w:line="360" w:lineRule="auto"/>
        <w:ind w:firstLine="480"/>
        <w:rPr>
          <w:rFonts w:hint="eastAsia" w:eastAsia="宋体"/>
          <w:color w:val="auto"/>
          <w:sz w:val="24"/>
          <w:highlight w:val="none"/>
          <w:lang w:eastAsia="zh-CN"/>
        </w:rPr>
      </w:pPr>
      <w:r>
        <w:rPr>
          <w:rFonts w:hint="eastAsia"/>
          <w:color w:val="auto"/>
          <w:sz w:val="24"/>
          <w:highlight w:val="none"/>
        </w:rPr>
        <w:t>1.</w:t>
      </w:r>
      <w:r>
        <w:rPr>
          <w:rFonts w:hint="eastAsia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4"/>
          <w:highlight w:val="none"/>
        </w:rPr>
        <w:t>总体要求：按照《河北大学关于开展2025版研究生培养方案修订工作的指导意见》（校政字〔2025〕</w:t>
      </w:r>
      <w:r>
        <w:rPr>
          <w:rFonts w:hint="eastAsia"/>
          <w:b w:val="0"/>
          <w:bCs w:val="0"/>
          <w:color w:val="auto"/>
          <w:sz w:val="24"/>
          <w:highlight w:val="none"/>
          <w:lang w:val="en-US" w:eastAsia="zh-CN"/>
        </w:rPr>
        <w:t>9</w:t>
      </w:r>
      <w:r>
        <w:rPr>
          <w:rFonts w:hint="eastAsia"/>
          <w:b w:val="0"/>
          <w:bCs w:val="0"/>
          <w:color w:val="auto"/>
          <w:sz w:val="24"/>
          <w:highlight w:val="none"/>
        </w:rPr>
        <w:t>号</w:t>
      </w:r>
      <w:r>
        <w:rPr>
          <w:rFonts w:hint="eastAsia"/>
          <w:color w:val="auto"/>
          <w:sz w:val="24"/>
          <w:highlight w:val="none"/>
        </w:rPr>
        <w:t>）规定，硕士研究生论文开题与答辩时间间隔原则上不少于12个月。学位（毕业）论文应当表明作者具有独立从事学术研究工作的能力，鼓励硕士研究生参与科学研究，取得创新性成果</w:t>
      </w:r>
      <w:r>
        <w:rPr>
          <w:rFonts w:hint="eastAsia"/>
          <w:color w:val="auto"/>
          <w:sz w:val="24"/>
          <w:highlight w:val="none"/>
          <w:lang w:eastAsia="zh-CN"/>
        </w:rPr>
        <w:t>。</w:t>
      </w:r>
    </w:p>
    <w:p w14:paraId="0AD050D8">
      <w:pPr>
        <w:spacing w:line="360" w:lineRule="auto"/>
        <w:ind w:firstLine="48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2.</w:t>
      </w:r>
      <w:r>
        <w:rPr>
          <w:rFonts w:hint="eastAsia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/>
          <w:color w:val="auto"/>
          <w:sz w:val="24"/>
          <w:highlight w:val="none"/>
        </w:rPr>
        <w:t>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201CF6C1">
      <w:pPr>
        <w:spacing w:line="360" w:lineRule="auto"/>
        <w:ind w:firstLine="48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原则上在入学后第3学期（最迟不超过第4学期）完成开题。开题</w:t>
      </w:r>
      <w:r>
        <w:rPr>
          <w:rFonts w:hint="eastAsia"/>
          <w:color w:val="auto"/>
          <w:sz w:val="24"/>
        </w:rPr>
        <w:t>评议小组</w:t>
      </w:r>
      <w:r>
        <w:rPr>
          <w:rFonts w:hint="eastAsia"/>
          <w:color w:val="auto"/>
          <w:sz w:val="24"/>
          <w:highlight w:val="none"/>
        </w:rPr>
        <w:t>由3-5名具有高级专业技术职务人员参加，以学术报告的方式进行。</w:t>
      </w:r>
    </w:p>
    <w:p w14:paraId="107B2BBF">
      <w:pPr>
        <w:numPr>
          <w:ilvl w:val="0"/>
          <w:numId w:val="2"/>
        </w:numPr>
        <w:spacing w:line="360" w:lineRule="auto"/>
        <w:ind w:firstLine="48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69EB4F81">
      <w:pPr>
        <w:numPr>
          <w:ilvl w:val="0"/>
          <w:numId w:val="2"/>
        </w:numPr>
        <w:spacing w:line="360" w:lineRule="auto"/>
        <w:ind w:left="0" w:leftChars="0" w:firstLine="480" w:firstLineChars="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学位申请：达到学位授予条件的申请人，经导师同意后，应于答辩前三个月，向所属学位评定分委员会提出学位申请，提交学位申请材料。</w:t>
      </w:r>
    </w:p>
    <w:p w14:paraId="2D833F5A">
      <w:pPr>
        <w:numPr>
          <w:ilvl w:val="0"/>
          <w:numId w:val="2"/>
        </w:numPr>
        <w:spacing w:line="360" w:lineRule="auto"/>
        <w:ind w:left="0" w:leftChars="0" w:firstLine="480" w:firstLineChars="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预答辩：学位申请人须进行学位论文预答辩。预答辩通过者，方可进入学位论文评阅、学位论文答辩等环节。学位（毕业）论文预答辩在正式答辩前3个月进行。</w:t>
      </w:r>
    </w:p>
    <w:p w14:paraId="5C428BD6">
      <w:pPr>
        <w:numPr>
          <w:ilvl w:val="0"/>
          <w:numId w:val="2"/>
        </w:numPr>
        <w:spacing w:line="360" w:lineRule="auto"/>
        <w:ind w:left="0" w:leftChars="0" w:firstLine="480" w:firstLineChars="0"/>
        <w:rPr>
          <w:rFonts w:hint="eastAsia"/>
          <w:color w:val="auto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18123CD9">
      <w:pPr>
        <w:widowControl/>
        <w:numPr>
          <w:ilvl w:val="0"/>
          <w:numId w:val="2"/>
        </w:numPr>
        <w:spacing w:before="105" w:after="105" w:line="270" w:lineRule="atLeast"/>
        <w:ind w:left="0" w:leftChars="0" w:firstLine="480" w:firstLineChars="0"/>
        <w:jc w:val="left"/>
        <w:rPr>
          <w:bCs/>
          <w:color w:val="auto"/>
          <w:kern w:val="0"/>
          <w:sz w:val="24"/>
          <w:highlight w:val="none"/>
        </w:rPr>
      </w:pPr>
      <w:r>
        <w:rPr>
          <w:rFonts w:hint="eastAsia"/>
          <w:color w:val="auto"/>
          <w:sz w:val="24"/>
          <w:highlight w:val="none"/>
        </w:rPr>
        <w:t>答辩：学位（毕业）论文答辩按照《河北大学博士、硕士学位授予工作实施细则》（校政字〔2025〕7号）执行。</w:t>
      </w:r>
    </w:p>
    <w:p w14:paraId="38C57F11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九</w:t>
      </w:r>
      <w:r>
        <w:rPr>
          <w:rFonts w:eastAsia="黑体"/>
          <w:bCs/>
          <w:color w:val="auto"/>
          <w:sz w:val="28"/>
          <w:szCs w:val="28"/>
        </w:rPr>
        <w:t>、毕业条件</w:t>
      </w:r>
    </w:p>
    <w:p w14:paraId="68E6DDD4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  <w:highlight w:val="none"/>
        </w:rPr>
      </w:pPr>
      <w:r>
        <w:rPr>
          <w:rFonts w:eastAsiaTheme="minorEastAsia"/>
          <w:bCs/>
          <w:color w:val="auto"/>
          <w:sz w:val="24"/>
          <w:highlight w:val="none"/>
        </w:rPr>
        <w:t>1. 课程学习。研究生在规定修业年限内完成培养方案规定的课程学习，考核成绩合格，获得规定的学分。</w:t>
      </w:r>
    </w:p>
    <w:p w14:paraId="571BF375">
      <w:pPr>
        <w:spacing w:line="440" w:lineRule="exact"/>
        <w:ind w:firstLine="480" w:firstLineChars="200"/>
        <w:rPr>
          <w:rFonts w:eastAsiaTheme="minorEastAsia"/>
          <w:color w:val="auto"/>
          <w:sz w:val="24"/>
          <w:highlight w:val="none"/>
        </w:rPr>
      </w:pPr>
      <w:r>
        <w:rPr>
          <w:rFonts w:eastAsiaTheme="minorEastAsia"/>
          <w:bCs/>
          <w:color w:val="auto"/>
          <w:sz w:val="24"/>
          <w:highlight w:val="none"/>
        </w:rPr>
        <w:t>2. 学术活动。研究生</w:t>
      </w:r>
      <w:r>
        <w:rPr>
          <w:rFonts w:eastAsiaTheme="minorEastAsia"/>
          <w:color w:val="auto"/>
          <w:sz w:val="24"/>
          <w:highlight w:val="none"/>
        </w:rPr>
        <w:t>在读期间参加不</w:t>
      </w:r>
      <w:r>
        <w:rPr>
          <w:rFonts w:eastAsiaTheme="minorEastAsia"/>
          <w:bCs/>
          <w:color w:val="auto"/>
          <w:sz w:val="24"/>
          <w:highlight w:val="none"/>
        </w:rPr>
        <w:t>少于10次学术活动，并撰写学术报告小结；以主讲人或宣讲人身份，参加在校内外举行的学术报告或学术讲座不少于1次。</w:t>
      </w:r>
    </w:p>
    <w:p w14:paraId="545F92C0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  <w:highlight w:val="none"/>
        </w:rPr>
      </w:pPr>
      <w:r>
        <w:rPr>
          <w:rFonts w:eastAsiaTheme="minorEastAsia"/>
          <w:color w:val="auto"/>
          <w:sz w:val="24"/>
          <w:highlight w:val="none"/>
        </w:rPr>
        <w:t>3. 符合提前毕业条件的研究生，可按照学校相关规定</w:t>
      </w:r>
      <w:r>
        <w:rPr>
          <w:rFonts w:eastAsiaTheme="minorEastAsia"/>
          <w:bCs/>
          <w:color w:val="auto"/>
          <w:sz w:val="24"/>
          <w:highlight w:val="none"/>
        </w:rPr>
        <w:t>申请</w:t>
      </w:r>
      <w:r>
        <w:rPr>
          <w:rFonts w:eastAsiaTheme="minorEastAsia"/>
          <w:color w:val="auto"/>
          <w:sz w:val="24"/>
          <w:highlight w:val="none"/>
        </w:rPr>
        <w:t>提前毕业。</w:t>
      </w:r>
    </w:p>
    <w:p w14:paraId="21C7FFA8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  <w:highlight w:val="none"/>
        </w:rPr>
      </w:pPr>
      <w:r>
        <w:rPr>
          <w:rFonts w:eastAsiaTheme="minorEastAsia"/>
          <w:bCs/>
          <w:color w:val="auto"/>
          <w:sz w:val="24"/>
          <w:highlight w:val="none"/>
        </w:rPr>
        <w:t>4. 论文答辩。学位（毕业）论文经专家评审合格、通过学位（毕业）答辩，符合毕业资格审查后，准予毕业。</w:t>
      </w:r>
    </w:p>
    <w:p w14:paraId="69AAA43C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hint="eastAsia" w:eastAsia="黑体"/>
          <w:bCs/>
          <w:color w:val="auto"/>
          <w:sz w:val="28"/>
          <w:szCs w:val="28"/>
        </w:rPr>
        <w:t>十</w:t>
      </w:r>
      <w:r>
        <w:rPr>
          <w:rFonts w:eastAsia="黑体"/>
          <w:bCs/>
          <w:color w:val="auto"/>
          <w:sz w:val="28"/>
          <w:szCs w:val="28"/>
        </w:rPr>
        <w:t>、创新性成果</w:t>
      </w:r>
    </w:p>
    <w:p w14:paraId="4606E45B">
      <w:pPr>
        <w:spacing w:line="440" w:lineRule="exact"/>
        <w:ind w:firstLine="480" w:firstLineChars="200"/>
        <w:rPr>
          <w:rFonts w:hint="default" w:eastAsiaTheme="minorEastAsia"/>
          <w:i/>
          <w:color w:val="auto"/>
          <w:sz w:val="24"/>
          <w:highlight w:val="yellow"/>
          <w:lang w:val="en-US"/>
        </w:rPr>
      </w:pPr>
      <w:r>
        <w:rPr>
          <w:rFonts w:eastAsiaTheme="minorEastAsia"/>
          <w:bCs/>
          <w:color w:val="auto"/>
          <w:sz w:val="24"/>
          <w:highlight w:val="none"/>
        </w:rPr>
        <w:t>为体现创新性成果的多元化</w:t>
      </w:r>
      <w:r>
        <w:rPr>
          <w:rFonts w:hint="eastAsia" w:eastAsiaTheme="minorEastAsia"/>
          <w:bCs/>
          <w:color w:val="auto"/>
          <w:sz w:val="24"/>
          <w:highlight w:val="none"/>
          <w:lang w:eastAsia="zh-CN"/>
        </w:rPr>
        <w:t>，</w:t>
      </w:r>
      <w:r>
        <w:rPr>
          <w:rFonts w:hint="eastAsia" w:eastAsiaTheme="minorEastAsia"/>
          <w:bCs/>
          <w:color w:val="auto"/>
          <w:sz w:val="24"/>
          <w:highlight w:val="none"/>
          <w:lang w:val="en-US" w:eastAsia="zh-CN"/>
        </w:rPr>
        <w:t>要求数字经济管理专业的硕士研究生完成的成果</w:t>
      </w:r>
      <w:r>
        <w:rPr>
          <w:rFonts w:hint="eastAsia" w:eastAsiaTheme="minorEastAsia"/>
          <w:bCs/>
          <w:color w:val="auto"/>
          <w:sz w:val="24"/>
          <w:highlight w:val="none"/>
          <w:lang w:eastAsia="zh-CN"/>
        </w:rPr>
        <w:t>包括但不限于学术论文、专利、软件著作权、竞赛获奖、实践项目报告、政策咨询报告等。</w:t>
      </w:r>
      <w:r>
        <w:rPr>
          <w:rFonts w:hint="eastAsia" w:eastAsiaTheme="minorEastAsia"/>
          <w:bCs/>
          <w:color w:val="auto"/>
          <w:sz w:val="24"/>
          <w:highlight w:val="none"/>
          <w:lang w:val="en-US" w:eastAsia="zh-CN"/>
        </w:rPr>
        <w:t>鼓励</w:t>
      </w:r>
      <w:r>
        <w:rPr>
          <w:rFonts w:hint="eastAsia" w:eastAsiaTheme="minorEastAsia"/>
          <w:bCs/>
          <w:color w:val="auto"/>
          <w:sz w:val="24"/>
          <w:highlight w:val="none"/>
          <w:lang w:eastAsia="zh-CN"/>
        </w:rPr>
        <w:t>学生至少完成其中一项，并通过导师组审核认定。</w:t>
      </w:r>
      <w:r>
        <w:rPr>
          <w:rFonts w:hint="eastAsia" w:eastAsiaTheme="minorEastAsia"/>
          <w:bCs/>
          <w:color w:val="auto"/>
          <w:sz w:val="24"/>
          <w:highlight w:val="none"/>
          <w:lang w:val="en-US" w:eastAsia="zh-CN"/>
        </w:rPr>
        <w:t xml:space="preserve">  </w:t>
      </w:r>
    </w:p>
    <w:p w14:paraId="1D91B576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十一、学位授予</w:t>
      </w:r>
    </w:p>
    <w:p w14:paraId="75C7E976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研究生通过毕业资格审查，</w:t>
      </w:r>
      <w:r>
        <w:rPr>
          <w:color w:val="auto"/>
          <w:kern w:val="0"/>
          <w:sz w:val="24"/>
        </w:rPr>
        <w:t>满足本学院制定的创新性成果要求，</w:t>
      </w:r>
      <w:r>
        <w:rPr>
          <w:rFonts w:eastAsiaTheme="minorEastAsia"/>
          <w:bCs/>
          <w:color w:val="auto"/>
          <w:sz w:val="24"/>
        </w:rPr>
        <w:t>符合</w:t>
      </w:r>
      <w:r>
        <w:rPr>
          <w:color w:val="auto"/>
          <w:kern w:val="0"/>
          <w:sz w:val="24"/>
        </w:rPr>
        <w:t>《河北大学博士、硕士学位授予工作实施细则》（校政字〔2025〕7号）</w:t>
      </w:r>
      <w:r>
        <w:rPr>
          <w:rFonts w:eastAsiaTheme="minorEastAsia"/>
          <w:bCs/>
          <w:color w:val="auto"/>
          <w:sz w:val="24"/>
        </w:rPr>
        <w:t>的有关规定，达到学校学位授予标准，经学校学位评定委员会审议，授予硕士学位。</w:t>
      </w:r>
    </w:p>
    <w:p w14:paraId="7E7AE037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</w:t>
      </w:r>
      <w:r>
        <w:rPr>
          <w:rFonts w:hint="eastAsia" w:eastAsia="黑体"/>
          <w:bCs/>
          <w:color w:val="auto"/>
          <w:sz w:val="28"/>
          <w:szCs w:val="28"/>
        </w:rPr>
        <w:t>二</w:t>
      </w:r>
      <w:r>
        <w:rPr>
          <w:rFonts w:eastAsia="黑体"/>
          <w:bCs/>
          <w:color w:val="auto"/>
          <w:sz w:val="28"/>
          <w:szCs w:val="28"/>
        </w:rPr>
        <w:t>、学分及课程设置</w:t>
      </w:r>
    </w:p>
    <w:p w14:paraId="6D0894F4">
      <w:pPr>
        <w:spacing w:line="440" w:lineRule="exact"/>
        <w:ind w:firstLine="480" w:firstLineChars="200"/>
        <w:rPr>
          <w:color w:val="auto"/>
          <w:sz w:val="24"/>
        </w:rPr>
      </w:pPr>
      <w:r>
        <w:rPr>
          <w:rFonts w:eastAsiaTheme="minorEastAsia"/>
          <w:color w:val="auto"/>
          <w:sz w:val="24"/>
        </w:rPr>
        <w:t>本专业最低毕业学分为</w:t>
      </w:r>
      <w:r>
        <w:rPr>
          <w:rFonts w:hint="eastAsia" w:eastAsiaTheme="minorEastAsia"/>
          <w:color w:val="auto"/>
          <w:sz w:val="24"/>
          <w:lang w:val="en-US" w:eastAsia="zh-CN"/>
        </w:rPr>
        <w:t>28</w:t>
      </w:r>
      <w:r>
        <w:rPr>
          <w:rFonts w:eastAsiaTheme="minorEastAsia"/>
          <w:color w:val="auto"/>
          <w:sz w:val="24"/>
        </w:rPr>
        <w:t>分，其中学位课</w:t>
      </w:r>
      <w:r>
        <w:rPr>
          <w:rFonts w:hint="eastAsia" w:eastAsiaTheme="minorEastAsia"/>
          <w:color w:val="auto"/>
          <w:sz w:val="24"/>
          <w:lang w:val="en-US" w:eastAsia="zh-CN"/>
        </w:rPr>
        <w:t>21</w:t>
      </w:r>
      <w:r>
        <w:rPr>
          <w:rFonts w:eastAsiaTheme="minorEastAsia"/>
          <w:color w:val="auto"/>
          <w:sz w:val="24"/>
        </w:rPr>
        <w:t>学分，非学位课</w:t>
      </w:r>
      <w:r>
        <w:rPr>
          <w:rFonts w:hint="eastAsia" w:eastAsiaTheme="minorEastAsia"/>
          <w:color w:val="auto"/>
          <w:sz w:val="24"/>
          <w:lang w:val="en-US" w:eastAsia="zh-CN"/>
        </w:rPr>
        <w:t>6</w:t>
      </w:r>
      <w:r>
        <w:rPr>
          <w:rFonts w:eastAsiaTheme="minorEastAsia"/>
          <w:color w:val="auto"/>
          <w:sz w:val="24"/>
        </w:rPr>
        <w:t>学分，</w:t>
      </w:r>
      <w:r>
        <w:rPr>
          <w:rFonts w:eastAsiaTheme="minorEastAsia"/>
          <w:color w:val="auto"/>
          <w:sz w:val="24"/>
          <w:highlight w:val="none"/>
        </w:rPr>
        <w:t>必修环节</w:t>
      </w:r>
      <w:r>
        <w:rPr>
          <w:rFonts w:hint="eastAsia" w:eastAsiaTheme="minorEastAsia"/>
          <w:color w:val="auto"/>
          <w:sz w:val="24"/>
          <w:highlight w:val="none"/>
          <w:lang w:val="en-US" w:eastAsia="zh-CN"/>
        </w:rPr>
        <w:t>1学</w:t>
      </w:r>
      <w:r>
        <w:rPr>
          <w:rFonts w:eastAsiaTheme="minorEastAsia"/>
          <w:color w:val="auto"/>
          <w:sz w:val="24"/>
          <w:highlight w:val="none"/>
        </w:rPr>
        <w:t>分</w:t>
      </w:r>
      <w:r>
        <w:rPr>
          <w:rFonts w:hint="eastAsia" w:eastAsiaTheme="minorEastAsia"/>
          <w:color w:val="auto"/>
          <w:sz w:val="24"/>
          <w:lang w:eastAsia="zh-CN"/>
        </w:rPr>
        <w:t>。</w:t>
      </w:r>
      <w:r>
        <w:rPr>
          <w:rFonts w:eastAsiaTheme="minorEastAsia"/>
          <w:color w:val="auto"/>
          <w:sz w:val="24"/>
        </w:rPr>
        <w:t>课程考试不设补考环节，</w:t>
      </w:r>
      <w:r>
        <w:rPr>
          <w:color w:val="auto"/>
          <w:sz w:val="24"/>
        </w:rPr>
        <w:t>考试成绩低于60分的需重修。</w:t>
      </w:r>
    </w:p>
    <w:p w14:paraId="7277C925">
      <w:pPr>
        <w:spacing w:line="440" w:lineRule="exact"/>
        <w:ind w:firstLine="480" w:firstLineChars="200"/>
        <w:rPr>
          <w:rFonts w:eastAsiaTheme="minorEastAsia"/>
          <w:color w:val="auto"/>
          <w:sz w:val="24"/>
        </w:rPr>
      </w:pPr>
      <w:r>
        <w:rPr>
          <w:color w:val="auto"/>
          <w:sz w:val="24"/>
        </w:rPr>
        <w:t>课程考核方式包括考试和考查，可以采用口试、笔试或写读书报告、论文的形式。无论采取何种考核方式，均应能真实反映学生对所学课程掌握的程度及运用知识的能力。</w:t>
      </w:r>
    </w:p>
    <w:p w14:paraId="0E074697">
      <w:pPr>
        <w:spacing w:line="420" w:lineRule="exact"/>
        <w:rPr>
          <w:rFonts w:eastAsiaTheme="minorEastAsia"/>
          <w:b/>
          <w:bCs/>
          <w:color w:val="auto"/>
          <w:sz w:val="24"/>
        </w:rPr>
      </w:pPr>
      <w:r>
        <w:rPr>
          <w:i/>
          <w:color w:val="auto"/>
          <w:sz w:val="24"/>
        </w:rPr>
        <w:t xml:space="preserve"> </w:t>
      </w:r>
    </w:p>
    <w:p w14:paraId="03546608">
      <w:pPr>
        <w:spacing w:after="156" w:afterLines="50" w:line="440" w:lineRule="exact"/>
        <w:jc w:val="center"/>
        <w:rPr>
          <w:rFonts w:hint="eastAsia" w:eastAsiaTheme="minorEastAsia"/>
          <w:b/>
          <w:bCs/>
          <w:color w:val="auto"/>
          <w:sz w:val="24"/>
          <w:lang w:val="en-US" w:eastAsia="zh-CN"/>
        </w:rPr>
      </w:pPr>
    </w:p>
    <w:p w14:paraId="40E2EE4A">
      <w:pPr>
        <w:spacing w:after="156" w:afterLines="50" w:line="440" w:lineRule="exact"/>
        <w:jc w:val="center"/>
        <w:rPr>
          <w:rFonts w:eastAsiaTheme="minorEastAsia"/>
          <w:b/>
          <w:bCs/>
          <w:color w:val="auto"/>
          <w:sz w:val="24"/>
        </w:rPr>
      </w:pPr>
      <w:r>
        <w:rPr>
          <w:rFonts w:hint="eastAsia" w:eastAsiaTheme="minorEastAsia"/>
          <w:b/>
          <w:bCs/>
          <w:color w:val="auto"/>
          <w:sz w:val="24"/>
          <w:lang w:val="en-US" w:eastAsia="zh-CN"/>
        </w:rPr>
        <w:t>数字经济管理</w:t>
      </w:r>
      <w:r>
        <w:rPr>
          <w:rFonts w:eastAsiaTheme="minorEastAsia"/>
          <w:b/>
          <w:bCs/>
          <w:color w:val="auto"/>
          <w:sz w:val="24"/>
        </w:rPr>
        <w:t>专业学术学位硕士研究生课程及培养环节设置一览表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7921E2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6A8B6B5C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21B4428F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7ED1FDAE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1E2273A0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6DD72008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6D0C5767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b/>
                <w:color w:val="auto"/>
                <w:szCs w:val="21"/>
              </w:rPr>
              <w:t>备注</w:t>
            </w:r>
          </w:p>
        </w:tc>
      </w:tr>
      <w:tr w14:paraId="3FF6F5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4E0652FC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3DB29F8C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公共必修课</w:t>
            </w:r>
          </w:p>
          <w:p w14:paraId="4D43525A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4</w:t>
            </w:r>
            <w:r>
              <w:rPr>
                <w:b/>
                <w:color w:val="auto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20C1F136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0F439C4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74841339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2E9DFC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3A14EC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465CA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16633FD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00D452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81C873D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542FF727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5B2F70F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5978C6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4867DBF5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考查</w:t>
            </w:r>
          </w:p>
        </w:tc>
      </w:tr>
      <w:tr w14:paraId="4BB68E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EE8AF3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4DC40E3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学科基础课</w:t>
            </w:r>
          </w:p>
          <w:p w14:paraId="1E118FCA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6</w:t>
            </w:r>
            <w:r>
              <w:rPr>
                <w:b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3516" w:type="dxa"/>
            <w:vAlign w:val="center"/>
          </w:tcPr>
          <w:p w14:paraId="708818B1">
            <w:pPr>
              <w:rPr>
                <w:color w:val="auto"/>
                <w:sz w:val="18"/>
                <w:szCs w:val="18"/>
                <w:highlight w:val="yellow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16DDCBAB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XS0403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101</w:t>
            </w:r>
          </w:p>
        </w:tc>
        <w:tc>
          <w:tcPr>
            <w:tcW w:w="709" w:type="dxa"/>
            <w:vAlign w:val="center"/>
          </w:tcPr>
          <w:p w14:paraId="4780DCE6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52737922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1045" w:type="dxa"/>
            <w:vAlign w:val="center"/>
          </w:tcPr>
          <w:p w14:paraId="6D1D07DA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</w:tr>
      <w:tr w14:paraId="27E270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62AEE3B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5B7F65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79F16EA">
            <w:pPr>
              <w:rPr>
                <w:rFonts w:hint="eastAsia"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高级运筹学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6F9D74A">
            <w:pPr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</w:rPr>
              <w:t>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2F3B38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244735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  <w:t>1</w:t>
            </w:r>
          </w:p>
        </w:tc>
        <w:tc>
          <w:tcPr>
            <w:tcW w:w="1045" w:type="dxa"/>
            <w:vAlign w:val="center"/>
          </w:tcPr>
          <w:p w14:paraId="70B6364B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</w:tr>
      <w:tr w14:paraId="2D20A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12A3EC1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289897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5DD5501">
            <w:pPr>
              <w:rPr>
                <w:rFonts w:hint="default"/>
                <w:color w:val="auto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管理科学研究方法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2A66CCE">
            <w:pPr>
              <w:jc w:val="center"/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7CCF2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4C639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2</w:t>
            </w:r>
          </w:p>
        </w:tc>
        <w:tc>
          <w:tcPr>
            <w:tcW w:w="1045" w:type="dxa"/>
            <w:vAlign w:val="center"/>
          </w:tcPr>
          <w:p w14:paraId="3450198C">
            <w:pPr>
              <w:jc w:val="center"/>
              <w:rPr>
                <w:rFonts w:hint="eastAsia" w:eastAsia="宋体"/>
                <w:color w:val="auto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考试</w:t>
            </w:r>
          </w:p>
        </w:tc>
      </w:tr>
      <w:tr w14:paraId="0514B7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2638ABB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CF53C86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专业必修课</w:t>
            </w:r>
          </w:p>
          <w:p w14:paraId="5E88C241">
            <w:pPr>
              <w:jc w:val="center"/>
              <w:rPr>
                <w:b/>
                <w:color w:val="auto"/>
                <w:sz w:val="18"/>
                <w:szCs w:val="18"/>
                <w:highlight w:val="none"/>
              </w:rPr>
            </w:pPr>
            <w:r>
              <w:rPr>
                <w:b/>
                <w:color w:val="auto"/>
                <w:sz w:val="18"/>
                <w:szCs w:val="18"/>
                <w:highlight w:val="none"/>
              </w:rPr>
              <w:t>（</w:t>
            </w:r>
            <w:r>
              <w:rPr>
                <w:rFonts w:hint="eastAsia"/>
                <w:b/>
                <w:color w:val="auto"/>
                <w:sz w:val="18"/>
                <w:szCs w:val="18"/>
                <w:highlight w:val="none"/>
                <w:lang w:val="en-US" w:eastAsia="zh-CN"/>
              </w:rPr>
              <w:t>11</w:t>
            </w:r>
            <w:r>
              <w:rPr>
                <w:b/>
                <w:color w:val="auto"/>
                <w:sz w:val="18"/>
                <w:szCs w:val="18"/>
                <w:highlight w:val="none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163F27B">
            <w:pPr>
              <w:adjustRightInd w:val="0"/>
              <w:snapToGrid w:val="0"/>
              <w:rPr>
                <w:color w:val="auto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高级应用统计</w:t>
            </w:r>
          </w:p>
        </w:tc>
        <w:tc>
          <w:tcPr>
            <w:tcW w:w="1081" w:type="dxa"/>
            <w:vAlign w:val="center"/>
          </w:tcPr>
          <w:p w14:paraId="57275473">
            <w:pPr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XS040300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vAlign w:val="center"/>
          </w:tcPr>
          <w:p w14:paraId="78605C25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709" w:type="dxa"/>
            <w:vAlign w:val="center"/>
          </w:tcPr>
          <w:p w14:paraId="36155AD3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1045" w:type="dxa"/>
            <w:vAlign w:val="center"/>
          </w:tcPr>
          <w:p w14:paraId="729D6E2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考试</w:t>
            </w:r>
          </w:p>
        </w:tc>
      </w:tr>
      <w:tr w14:paraId="65DA32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0BC792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CDB520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95CCF16">
            <w:pPr>
              <w:rPr>
                <w:i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计量经济学</w:t>
            </w:r>
          </w:p>
        </w:tc>
        <w:tc>
          <w:tcPr>
            <w:tcW w:w="1081" w:type="dxa"/>
            <w:vAlign w:val="center"/>
          </w:tcPr>
          <w:p w14:paraId="20146B63">
            <w:pPr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09" w:type="dxa"/>
            <w:vAlign w:val="center"/>
          </w:tcPr>
          <w:p w14:paraId="7D134D5E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3B2CD3E1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79E04C1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考试</w:t>
            </w:r>
          </w:p>
        </w:tc>
      </w:tr>
      <w:tr w14:paraId="027C17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51C203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C8A053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B79A816">
            <w:pPr>
              <w:rPr>
                <w:i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决策理论与方法</w:t>
            </w:r>
          </w:p>
        </w:tc>
        <w:tc>
          <w:tcPr>
            <w:tcW w:w="1081" w:type="dxa"/>
            <w:vAlign w:val="center"/>
          </w:tcPr>
          <w:p w14:paraId="03B8431B">
            <w:pPr>
              <w:jc w:val="center"/>
              <w:rPr>
                <w:rFonts w:hint="eastAsia" w:eastAsia="宋体"/>
                <w:i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vAlign w:val="center"/>
          </w:tcPr>
          <w:p w14:paraId="453A13CB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5F2ED58F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5A2DA255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考试</w:t>
            </w:r>
          </w:p>
        </w:tc>
      </w:tr>
      <w:tr w14:paraId="6F75B6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6D5B56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77FAF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49B1C46">
            <w:pPr>
              <w:rPr>
                <w:i/>
                <w:color w:val="auto"/>
                <w:sz w:val="18"/>
                <w:szCs w:val="18"/>
                <w:highlight w:val="none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系统科学与系统工程</w:t>
            </w:r>
          </w:p>
        </w:tc>
        <w:tc>
          <w:tcPr>
            <w:tcW w:w="1081" w:type="dxa"/>
            <w:vAlign w:val="center"/>
          </w:tcPr>
          <w:p w14:paraId="7415A90E">
            <w:pPr>
              <w:jc w:val="center"/>
              <w:rPr>
                <w:rFonts w:hint="eastAsia" w:eastAsia="宋体"/>
                <w:i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XS040300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9" w:type="dxa"/>
            <w:vAlign w:val="center"/>
          </w:tcPr>
          <w:p w14:paraId="2A1A1AAE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85E274E">
            <w:pPr>
              <w:jc w:val="center"/>
              <w:rPr>
                <w:rFonts w:hint="eastAsia" w:eastAsia="宋体"/>
                <w:i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5" w:type="dxa"/>
            <w:vAlign w:val="center"/>
          </w:tcPr>
          <w:p w14:paraId="7A65721C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考试</w:t>
            </w:r>
          </w:p>
        </w:tc>
      </w:tr>
      <w:tr w14:paraId="3AC11F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0A367C3A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3920361B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公共通识课</w:t>
            </w:r>
          </w:p>
          <w:p w14:paraId="1649B532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72719168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7CA265EB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50B78ACF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DBF2DD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08A100E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考查</w:t>
            </w:r>
          </w:p>
        </w:tc>
      </w:tr>
      <w:tr w14:paraId="77179A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533B370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66FEDA2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6EB38B1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7A591E2C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TS0000101</w:t>
            </w:r>
          </w:p>
        </w:tc>
        <w:tc>
          <w:tcPr>
            <w:tcW w:w="709" w:type="dxa"/>
            <w:vAlign w:val="center"/>
          </w:tcPr>
          <w:p w14:paraId="1AEBF603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426379E8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6496652A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考查</w:t>
            </w:r>
          </w:p>
        </w:tc>
      </w:tr>
      <w:tr w14:paraId="526089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F218A3C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A7F120F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  <w:lang w:val="en-US" w:eastAsia="zh-CN"/>
              </w:rPr>
              <w:t>数字公共治理</w:t>
            </w:r>
            <w:r>
              <w:rPr>
                <w:rFonts w:hint="eastAsia"/>
                <w:b/>
                <w:color w:val="auto"/>
                <w:sz w:val="18"/>
                <w:szCs w:val="18"/>
              </w:rPr>
              <w:t>方向</w:t>
            </w:r>
          </w:p>
          <w:p w14:paraId="47A6B2E6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1BCC0D7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物流与供应链管理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EDEDCC4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699B7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4CA5D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4A785B5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本方向研究生至少选修</w:t>
            </w:r>
          </w:p>
          <w:p w14:paraId="101AA1FE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学分</w:t>
            </w:r>
          </w:p>
        </w:tc>
      </w:tr>
      <w:tr w14:paraId="51C27D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BD1DF6C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A4D8AC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BDB56D9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数据挖掘与商务智能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EEE36A7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AC9FC0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3BB80D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4CA4680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113498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4F5ABBE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60EB795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ABE2C77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</w:rPr>
              <w:t>决策支持系统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F6B66C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5E430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6B3E4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4CCDAFD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651052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694FADA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EADEF8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6D04AF9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项目管理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D6CBE5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F47AC1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6C2CD06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4D2BF86B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980C6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</w:tcPr>
          <w:p w14:paraId="04F00DAA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3AC47C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B5448C7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最优化理论与方法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5C1DF1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FDBC62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C9FA5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16C022ED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CB351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</w:tcPr>
          <w:p w14:paraId="34B8165B">
            <w:pPr>
              <w:rPr>
                <w:color w:val="auto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CA9B39E">
            <w:pPr>
              <w:rPr>
                <w:color w:val="auto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7F1C0C0">
            <w:pP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数字经济管理前沿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69F5F03">
            <w:pPr>
              <w:rPr>
                <w:rFonts w:hint="default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C22B4E">
            <w:pPr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63B9CB">
            <w:pPr>
              <w:jc w:val="center"/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B2314E2"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 w14:paraId="266E73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69BFCA2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57D3BBF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智能决策与优化方向选修课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EC4F3AD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特色课程（决策支持系统）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67CE329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408714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7BE04F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19F0FE1F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本方向研究生至少选修</w:t>
            </w:r>
          </w:p>
          <w:p w14:paraId="1395A426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学分</w:t>
            </w:r>
          </w:p>
        </w:tc>
      </w:tr>
      <w:tr w14:paraId="34FD11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6B97C10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6CC1497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897BAF6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数据挖掘与商务智能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E35EE72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AE2BF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4D0AB2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51170F5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4F606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310EEC6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E61CD0E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25D2C76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物流与供应链管理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442BC0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9F6E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F2E2383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13F5AEE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4524C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8123791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B3AAE56">
            <w:pPr>
              <w:adjustRightInd w:val="0"/>
              <w:snapToGrid w:val="0"/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9643CAB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最优化理论与方法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7422CCE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35AF3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95DCD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8A64204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3695E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</w:tcPr>
          <w:p w14:paraId="7478EC0D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</w:tcPr>
          <w:p w14:paraId="779A463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E3AEED9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数字经济管理前沿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CBBD6F6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C0B591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48BD9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7AF9D25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69CC7A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</w:tcPr>
          <w:p w14:paraId="2A5521BD">
            <w:pPr>
              <w:rPr>
                <w:color w:val="auto"/>
              </w:rPr>
            </w:pPr>
          </w:p>
        </w:tc>
        <w:tc>
          <w:tcPr>
            <w:tcW w:w="1226" w:type="dxa"/>
            <w:vMerge w:val="continue"/>
          </w:tcPr>
          <w:p w14:paraId="120E3F51">
            <w:pPr>
              <w:rPr>
                <w:color w:val="auto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B253B7C">
            <w:pPr>
              <w:rPr>
                <w:rFonts w:hint="eastAsia"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生产运作管理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D6F4B08">
            <w:pPr>
              <w:rPr>
                <w:rFonts w:hint="eastAsia" w:eastAsia="宋体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E973DC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F02F08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64A2792C"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 w14:paraId="15FED7F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continue"/>
            <w:vAlign w:val="center"/>
          </w:tcPr>
          <w:p w14:paraId="28A4E4C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3C3C93B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rFonts w:hint="eastAsia"/>
                <w:b/>
                <w:color w:val="auto"/>
                <w:sz w:val="18"/>
                <w:szCs w:val="18"/>
              </w:rPr>
              <w:t>企业数字化转型与治理方向选修课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6623F812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特色课程（数据挖掘与商务智能）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14F0715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F2B82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C85EC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vAlign w:val="center"/>
          </w:tcPr>
          <w:p w14:paraId="33C38E4D">
            <w:pPr>
              <w:adjustRightInd w:val="0"/>
              <w:snapToGrid w:val="0"/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本方向研究生至少选修</w:t>
            </w:r>
          </w:p>
          <w:p w14:paraId="4F02DD99">
            <w:pPr>
              <w:jc w:val="center"/>
              <w:rPr>
                <w:i/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4</w:t>
            </w:r>
            <w:r>
              <w:rPr>
                <w:color w:val="auto"/>
                <w:sz w:val="18"/>
                <w:szCs w:val="18"/>
              </w:rPr>
              <w:t>学分</w:t>
            </w:r>
          </w:p>
        </w:tc>
      </w:tr>
      <w:tr w14:paraId="5D1C96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continue"/>
            <w:vAlign w:val="center"/>
          </w:tcPr>
          <w:p w14:paraId="7455DAD0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BC8BB53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B4E33BF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物流与供应链管理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BDFBB7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22FA9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6E45C7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vAlign w:val="center"/>
          </w:tcPr>
          <w:p w14:paraId="346FA4A7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</w:tr>
      <w:tr w14:paraId="4B92AE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continue"/>
            <w:vAlign w:val="center"/>
          </w:tcPr>
          <w:p w14:paraId="266E0FA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2519FA8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E8C1A77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决策支持系统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C02255B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55FCD0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937615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035CF07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</w:tr>
      <w:tr w14:paraId="19634B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continue"/>
            <w:vAlign w:val="center"/>
          </w:tcPr>
          <w:p w14:paraId="756FE45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B308E29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5BF7671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最优化理论与方法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50FF015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XS040320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7A147EA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44C4D6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7E9B582C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</w:tr>
      <w:tr w14:paraId="203023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  <w:vAlign w:val="center"/>
          </w:tcPr>
          <w:p w14:paraId="1BF1D137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482B20C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91B939E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数字经济管理前沿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F9B840C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5C278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D2EC9F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21DFE2AF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</w:tr>
      <w:tr w14:paraId="23D7DAB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" w:hRule="atLeast"/>
          <w:jc w:val="center"/>
        </w:trPr>
        <w:tc>
          <w:tcPr>
            <w:tcW w:w="571" w:type="dxa"/>
            <w:vMerge w:val="continue"/>
            <w:vAlign w:val="center"/>
          </w:tcPr>
          <w:p w14:paraId="62389F49">
            <w:pPr>
              <w:rPr>
                <w:color w:val="auto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E5B9D78">
            <w:pPr>
              <w:rPr>
                <w:color w:val="auto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551F577">
            <w:pPr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企业数字化转型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452F75"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XS04032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12</w:t>
            </w:r>
            <w:bookmarkStart w:id="1" w:name="_GoBack"/>
            <w:bookmarkEnd w:id="1"/>
          </w:p>
        </w:tc>
        <w:tc>
          <w:tcPr>
            <w:tcW w:w="709" w:type="dxa"/>
            <w:shd w:val="clear" w:color="auto" w:fill="auto"/>
            <w:vAlign w:val="center"/>
          </w:tcPr>
          <w:p w14:paraId="39E62CD4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A51CD7">
            <w:pPr>
              <w:jc w:val="center"/>
              <w:rPr>
                <w:rFonts w:hint="eastAsia"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vAlign w:val="center"/>
          </w:tcPr>
          <w:p w14:paraId="54AD14FC">
            <w:pPr>
              <w:rPr>
                <w:rFonts w:hint="eastAsia"/>
                <w:color w:val="auto"/>
                <w:sz w:val="18"/>
                <w:szCs w:val="18"/>
              </w:rPr>
            </w:pPr>
          </w:p>
        </w:tc>
      </w:tr>
      <w:tr w14:paraId="553695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5409ACE9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必修环节</w:t>
            </w:r>
          </w:p>
          <w:p w14:paraId="756C7D0B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A90243F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2ED9E1EA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23190E47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35B764A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D035D7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37A9104F">
            <w:pPr>
              <w:jc w:val="center"/>
              <w:rPr>
                <w:i/>
                <w:color w:val="auto"/>
                <w:sz w:val="18"/>
                <w:szCs w:val="18"/>
              </w:rPr>
            </w:pPr>
          </w:p>
        </w:tc>
      </w:tr>
      <w:tr w14:paraId="148611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64D8AF6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E046901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74C93B0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highlight w:val="none"/>
              </w:rPr>
              <w:t>学术活动</w:t>
            </w: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与学科竞赛</w:t>
            </w:r>
          </w:p>
        </w:tc>
        <w:tc>
          <w:tcPr>
            <w:tcW w:w="1081" w:type="dxa"/>
            <w:vAlign w:val="center"/>
          </w:tcPr>
          <w:p w14:paraId="0562F39C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7797D06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3A11951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1-6</w:t>
            </w:r>
          </w:p>
        </w:tc>
        <w:tc>
          <w:tcPr>
            <w:tcW w:w="1045" w:type="dxa"/>
            <w:vMerge w:val="continue"/>
            <w:vAlign w:val="center"/>
          </w:tcPr>
          <w:p w14:paraId="297E08F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55E085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37DF47A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5483B46">
            <w:pPr>
              <w:jc w:val="center"/>
              <w:rPr>
                <w:b/>
                <w:color w:val="auto"/>
                <w:sz w:val="18"/>
                <w:szCs w:val="18"/>
              </w:rPr>
            </w:pPr>
            <w:r>
              <w:rPr>
                <w:b/>
                <w:color w:val="auto"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06E72DA2">
            <w:pPr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41EF321A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5F8EA72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79DB429">
            <w:pPr>
              <w:jc w:val="center"/>
              <w:rPr>
                <w:rFonts w:hint="eastAsia"/>
                <w:color w:val="auto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14:paraId="01C75F8D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过程管理</w:t>
            </w:r>
          </w:p>
          <w:p w14:paraId="104E2F34">
            <w:pPr>
              <w:jc w:val="center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无学分</w:t>
            </w:r>
          </w:p>
        </w:tc>
      </w:tr>
      <w:tr w14:paraId="19327E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9E9801E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017DBD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7F1665B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05BB707E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C86496D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E47A1B7">
            <w:pPr>
              <w:jc w:val="center"/>
              <w:rPr>
                <w:rFonts w:hint="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2FA18B42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569575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1949394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058B134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1934FFF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3EAFF0F5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E8DC7DC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5D0D3A4">
            <w:pPr>
              <w:jc w:val="center"/>
              <w:rPr>
                <w:rFonts w:hint="default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4-5</w:t>
            </w:r>
          </w:p>
        </w:tc>
        <w:tc>
          <w:tcPr>
            <w:tcW w:w="1045" w:type="dxa"/>
            <w:vMerge w:val="continue"/>
            <w:vAlign w:val="center"/>
          </w:tcPr>
          <w:p w14:paraId="4FBD41E2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0CE18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D641A46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1828F6F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5A78A74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1059D514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1B4AB1A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0A12E70">
            <w:pPr>
              <w:jc w:val="center"/>
              <w:rPr>
                <w:rFonts w:hint="eastAsia"/>
                <w:color w:val="auto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45" w:type="dxa"/>
            <w:vMerge w:val="continue"/>
            <w:vAlign w:val="center"/>
          </w:tcPr>
          <w:p w14:paraId="420FF9A7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4BDA9D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4817D32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A82A246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9466205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4B171DBF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033942F2">
            <w:pPr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3920C6">
            <w:pPr>
              <w:jc w:val="center"/>
              <w:rPr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  <w:vAlign w:val="center"/>
          </w:tcPr>
          <w:p w14:paraId="19DAC365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  <w:tr w14:paraId="79C2F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180AEDB">
            <w:pPr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F4B4BEE">
            <w:pPr>
              <w:jc w:val="center"/>
              <w:rPr>
                <w:b/>
                <w:color w:val="auto"/>
                <w:sz w:val="18"/>
                <w:szCs w:val="18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2ECDA5C">
            <w:pPr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color w:val="auto"/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60A2C01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76D5B9"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8D9D88A">
            <w:pPr>
              <w:jc w:val="center"/>
              <w:rPr>
                <w:color w:val="auto"/>
                <w:sz w:val="18"/>
                <w:szCs w:val="18"/>
                <w:lang w:val="en-US" w:eastAsia="zh-CN"/>
              </w:rPr>
            </w:pPr>
            <w:r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1045" w:type="dxa"/>
            <w:vMerge w:val="continue"/>
            <w:vAlign w:val="center"/>
          </w:tcPr>
          <w:p w14:paraId="572BE253">
            <w:pPr>
              <w:jc w:val="center"/>
              <w:rPr>
                <w:color w:val="auto"/>
                <w:sz w:val="18"/>
                <w:szCs w:val="18"/>
              </w:rPr>
            </w:pPr>
          </w:p>
        </w:tc>
      </w:tr>
    </w:tbl>
    <w:p w14:paraId="23F4B6DF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</w:p>
    <w:p w14:paraId="770159C7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*公共外语课程按入学时的外国语考试科目修读相关语种。</w:t>
      </w:r>
    </w:p>
    <w:p w14:paraId="0A36A2A7">
      <w:pPr>
        <w:spacing w:line="440" w:lineRule="exact"/>
        <w:ind w:firstLine="560" w:firstLineChars="200"/>
        <w:rPr>
          <w:rFonts w:eastAsia="黑体"/>
          <w:bCs/>
          <w:color w:val="auto"/>
          <w:sz w:val="28"/>
          <w:szCs w:val="28"/>
        </w:rPr>
      </w:pPr>
      <w:r>
        <w:rPr>
          <w:rFonts w:eastAsia="黑体"/>
          <w:bCs/>
          <w:color w:val="auto"/>
          <w:sz w:val="28"/>
          <w:szCs w:val="28"/>
        </w:rPr>
        <w:t>十</w:t>
      </w:r>
      <w:r>
        <w:rPr>
          <w:rFonts w:hint="eastAsia" w:eastAsia="黑体"/>
          <w:bCs/>
          <w:color w:val="auto"/>
          <w:sz w:val="28"/>
          <w:szCs w:val="28"/>
        </w:rPr>
        <w:t>三</w:t>
      </w:r>
      <w:r>
        <w:rPr>
          <w:rFonts w:eastAsia="黑体"/>
          <w:bCs/>
          <w:color w:val="auto"/>
          <w:sz w:val="28"/>
          <w:szCs w:val="28"/>
        </w:rPr>
        <w:t>、其他需要说明事项</w:t>
      </w:r>
    </w:p>
    <w:p w14:paraId="63ED6FEB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1. 非学位课中的方向选修课模块由各培养单位自行设置，并给出具体选修学分要求。</w:t>
      </w:r>
    </w:p>
    <w:p w14:paraId="2AD324EC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  <w:r>
        <w:rPr>
          <w:rFonts w:eastAsiaTheme="minorEastAsia"/>
          <w:bCs/>
          <w:color w:val="auto"/>
          <w:sz w:val="24"/>
        </w:rPr>
        <w:t>2. 毕业总学分：</w:t>
      </w:r>
      <w:r>
        <w:rPr>
          <w:rFonts w:hint="eastAsia" w:eastAsiaTheme="minorEastAsia"/>
          <w:bCs/>
          <w:color w:val="auto"/>
          <w:sz w:val="24"/>
        </w:rPr>
        <w:t>学位课</w:t>
      </w:r>
      <w:r>
        <w:rPr>
          <w:rFonts w:eastAsiaTheme="minorEastAsia"/>
          <w:bCs/>
          <w:color w:val="auto"/>
          <w:sz w:val="24"/>
        </w:rPr>
        <w:t>+</w:t>
      </w:r>
      <w:r>
        <w:rPr>
          <w:rFonts w:hint="eastAsia" w:eastAsiaTheme="minorEastAsia"/>
          <w:bCs/>
          <w:color w:val="auto"/>
          <w:sz w:val="24"/>
        </w:rPr>
        <w:t>非学位课</w:t>
      </w:r>
      <w:r>
        <w:rPr>
          <w:rFonts w:eastAsiaTheme="minorEastAsia"/>
          <w:bCs/>
          <w:color w:val="auto"/>
          <w:sz w:val="24"/>
        </w:rPr>
        <w:t>+必修环节。</w:t>
      </w:r>
    </w:p>
    <w:p w14:paraId="37978218">
      <w:pPr>
        <w:spacing w:line="440" w:lineRule="exact"/>
        <w:ind w:firstLine="480" w:firstLineChars="200"/>
        <w:rPr>
          <w:rFonts w:hint="default" w:eastAsiaTheme="minorEastAsia"/>
          <w:bCs/>
          <w:color w:val="auto"/>
          <w:sz w:val="24"/>
          <w:lang w:val="en-US" w:eastAsia="zh-CN"/>
        </w:rPr>
      </w:pPr>
      <w:r>
        <w:rPr>
          <w:rFonts w:hint="eastAsia" w:eastAsiaTheme="minorEastAsia"/>
          <w:bCs/>
          <w:color w:val="auto"/>
          <w:sz w:val="24"/>
          <w:lang w:val="en-US" w:eastAsia="zh-CN"/>
        </w:rPr>
        <w:t>3. 学科竞赛参照学校制定的学科竞赛目录中高水平竞赛部分，鼓励参加A类以上，或B类与本学科相关竞赛。</w:t>
      </w:r>
    </w:p>
    <w:p w14:paraId="0886C659">
      <w:pPr>
        <w:spacing w:line="440" w:lineRule="exact"/>
        <w:ind w:firstLine="480" w:firstLineChars="200"/>
        <w:rPr>
          <w:rFonts w:eastAsiaTheme="minorEastAsia"/>
          <w:bCs/>
          <w:color w:val="auto"/>
          <w:sz w:val="24"/>
        </w:rPr>
      </w:pPr>
    </w:p>
    <w:p w14:paraId="765C2BFD">
      <w:pPr>
        <w:spacing w:line="440" w:lineRule="exact"/>
        <w:ind w:firstLine="480" w:firstLineChars="200"/>
        <w:rPr>
          <w:rFonts w:eastAsia="黑体"/>
          <w:bCs/>
          <w:color w:val="auto"/>
          <w:sz w:val="24"/>
        </w:rPr>
      </w:pP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7C57A1"/>
    <w:multiLevelType w:val="multilevel"/>
    <w:tmpl w:val="467C57A1"/>
    <w:lvl w:ilvl="0" w:tentative="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7837CA4C"/>
    <w:multiLevelType w:val="singleLevel"/>
    <w:tmpl w:val="7837CA4C"/>
    <w:lvl w:ilvl="0" w:tentative="0">
      <w:start w:val="3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4700DA8"/>
    <w:rsid w:val="08250BD3"/>
    <w:rsid w:val="094B5940"/>
    <w:rsid w:val="099472E7"/>
    <w:rsid w:val="0A71587A"/>
    <w:rsid w:val="0CAC0B8B"/>
    <w:rsid w:val="0D096E92"/>
    <w:rsid w:val="0FA50848"/>
    <w:rsid w:val="12B652F8"/>
    <w:rsid w:val="136B45C6"/>
    <w:rsid w:val="13D24B68"/>
    <w:rsid w:val="13F12469"/>
    <w:rsid w:val="146124BC"/>
    <w:rsid w:val="196F5393"/>
    <w:rsid w:val="19F15949"/>
    <w:rsid w:val="1D956C24"/>
    <w:rsid w:val="1EE869A7"/>
    <w:rsid w:val="1FE96C05"/>
    <w:rsid w:val="22B8779C"/>
    <w:rsid w:val="27693709"/>
    <w:rsid w:val="29E650A4"/>
    <w:rsid w:val="2E2268B8"/>
    <w:rsid w:val="333C5373"/>
    <w:rsid w:val="349B68B5"/>
    <w:rsid w:val="36941E25"/>
    <w:rsid w:val="38A9417A"/>
    <w:rsid w:val="3BDC14FD"/>
    <w:rsid w:val="3C8B6976"/>
    <w:rsid w:val="46845435"/>
    <w:rsid w:val="4711714F"/>
    <w:rsid w:val="47451BE0"/>
    <w:rsid w:val="47BE4F54"/>
    <w:rsid w:val="487F2B71"/>
    <w:rsid w:val="4D814E7A"/>
    <w:rsid w:val="4F3D7AED"/>
    <w:rsid w:val="50762D37"/>
    <w:rsid w:val="50F4065D"/>
    <w:rsid w:val="5385202A"/>
    <w:rsid w:val="59787F6C"/>
    <w:rsid w:val="598E5B28"/>
    <w:rsid w:val="60C05441"/>
    <w:rsid w:val="610248A1"/>
    <w:rsid w:val="64213EFD"/>
    <w:rsid w:val="6842752A"/>
    <w:rsid w:val="685D0CA3"/>
    <w:rsid w:val="68A42935"/>
    <w:rsid w:val="69466A8F"/>
    <w:rsid w:val="69894F6A"/>
    <w:rsid w:val="6B3623CF"/>
    <w:rsid w:val="6D5E04BB"/>
    <w:rsid w:val="6F8F0E00"/>
    <w:rsid w:val="70911AF5"/>
    <w:rsid w:val="70BF3967"/>
    <w:rsid w:val="70ED3F27"/>
    <w:rsid w:val="769766D6"/>
    <w:rsid w:val="77BA72DB"/>
    <w:rsid w:val="7E0D6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6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19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1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0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6">
    <w:name w:val="标题 2 Char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7">
    <w:name w:val="标题 1 Char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8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19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0">
    <w:name w:val="批注主题 Char"/>
    <w:basedOn w:val="19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1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2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4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5">
    <w:name w:val="List Paragraph"/>
    <w:basedOn w:val="1"/>
    <w:qFormat/>
    <w:uiPriority w:val="99"/>
    <w:pPr>
      <w:ind w:firstLine="420" w:firstLineChars="200"/>
    </w:pPr>
  </w:style>
  <w:style w:type="character" w:customStyle="1" w:styleId="26">
    <w:name w:val="标题 4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yanjiushengyuan</Company>
  <Pages>6</Pages>
  <Words>3941</Words>
  <Characters>4232</Characters>
  <Lines>137</Lines>
  <Paragraphs>38</Paragraphs>
  <TotalTime>3</TotalTime>
  <ScaleCrop>false</ScaleCrop>
  <LinksUpToDate>false</LinksUpToDate>
  <CharactersWithSpaces>4250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送送</cp:lastModifiedBy>
  <cp:lastPrinted>2025-03-14T03:17:00Z</cp:lastPrinted>
  <dcterms:modified xsi:type="dcterms:W3CDTF">2025-07-11T10:35:20Z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eyJoZGlkIjoiNDVlZmQyZjg4MzI5NTBhYmIyZWMxYjk4MzMyMTIwYWMiLCJ1c2VySWQiOiI0MzA0MzQzNjkifQ==</vt:lpwstr>
  </property>
  <property fmtid="{D5CDD505-2E9C-101B-9397-08002B2CF9AE}" pid="4" name="ICV">
    <vt:lpwstr>C25CEB64C5B4429C8912456FEC17BB35_12</vt:lpwstr>
  </property>
</Properties>
</file>