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7FACB5">
      <w:pPr>
        <w:ind w:left="321" w:leftChars="153" w:right="227"/>
        <w:jc w:val="center"/>
        <w:rPr>
          <w:rFonts w:eastAsia="黑体"/>
          <w:b/>
          <w:bCs/>
          <w:sz w:val="36"/>
          <w:szCs w:val="36"/>
        </w:rPr>
      </w:pPr>
      <w:r>
        <w:rPr>
          <w:rFonts w:hint="eastAsia" w:eastAsia="黑体"/>
          <w:b/>
          <w:bCs/>
          <w:sz w:val="36"/>
          <w:szCs w:val="36"/>
          <w:u w:val="single"/>
          <w:lang w:val="en-US" w:eastAsia="zh-CN"/>
        </w:rPr>
        <w:t>审计</w:t>
      </w:r>
      <w:r>
        <w:rPr>
          <w:rFonts w:hint="eastAsia" w:eastAsia="黑体"/>
          <w:b/>
          <w:bCs/>
          <w:sz w:val="36"/>
          <w:szCs w:val="36"/>
          <w:lang w:val="en-US" w:eastAsia="zh-CN"/>
        </w:rPr>
        <w:t>全日制专业</w:t>
      </w:r>
      <w:r>
        <w:rPr>
          <w:rFonts w:eastAsia="黑体"/>
          <w:b/>
          <w:bCs/>
          <w:sz w:val="36"/>
          <w:szCs w:val="36"/>
        </w:rPr>
        <w:t>学位</w:t>
      </w:r>
      <w:r>
        <w:rPr>
          <w:rFonts w:hint="eastAsia" w:eastAsia="黑体"/>
          <w:b/>
          <w:bCs/>
          <w:sz w:val="36"/>
          <w:szCs w:val="36"/>
          <w:lang w:val="en-US" w:eastAsia="zh-CN"/>
        </w:rPr>
        <w:t>硕士</w:t>
      </w:r>
      <w:r>
        <w:rPr>
          <w:rFonts w:eastAsia="黑体"/>
          <w:b/>
          <w:bCs/>
          <w:sz w:val="36"/>
          <w:szCs w:val="36"/>
        </w:rPr>
        <w:t>研究生培养方案</w:t>
      </w:r>
    </w:p>
    <w:p w14:paraId="5CD32F0B">
      <w:pPr>
        <w:ind w:left="321" w:leftChars="153" w:right="227"/>
        <w:jc w:val="center"/>
        <w:rPr>
          <w:rFonts w:ascii="宋体" w:hAnsi="宋体" w:cs="宋体"/>
          <w:bCs/>
          <w:color w:val="auto"/>
          <w:sz w:val="24"/>
        </w:rPr>
      </w:pPr>
      <w:r>
        <w:rPr>
          <w:rFonts w:hint="eastAsia" w:ascii="黑体" w:hAnsi="黑体" w:eastAsia="黑体" w:cs="黑体"/>
          <w:b/>
          <w:bCs/>
          <w:sz w:val="36"/>
          <w:szCs w:val="36"/>
        </w:rPr>
        <w:t>（</w:t>
      </w:r>
      <w:r>
        <w:rPr>
          <w:rFonts w:hint="eastAsia" w:ascii="黑体" w:hAnsi="黑体" w:eastAsia="黑体" w:cs="黑体"/>
          <w:b/>
          <w:bCs/>
          <w:sz w:val="36"/>
          <w:szCs w:val="36"/>
          <w:lang w:val="en-US" w:eastAsia="zh-CN"/>
        </w:rPr>
        <w:t>管理</w:t>
      </w:r>
      <w:r>
        <w:rPr>
          <w:rFonts w:hint="eastAsia" w:ascii="黑体" w:hAnsi="黑体" w:eastAsia="黑体" w:cs="黑体"/>
          <w:b/>
          <w:bCs/>
          <w:sz w:val="36"/>
          <w:szCs w:val="36"/>
        </w:rPr>
        <w:t>学院)</w:t>
      </w:r>
    </w:p>
    <w:p w14:paraId="6EB15730">
      <w:pPr>
        <w:spacing w:line="360" w:lineRule="auto"/>
        <w:ind w:firstLine="560"/>
        <w:jc w:val="both"/>
        <w:rPr>
          <w:rFonts w:eastAsia="黑体"/>
          <w:b/>
          <w:bCs w:val="0"/>
          <w:sz w:val="28"/>
          <w:szCs w:val="28"/>
        </w:rPr>
      </w:pPr>
      <w:r>
        <w:rPr>
          <w:rFonts w:eastAsia="黑体"/>
          <w:b/>
          <w:bCs w:val="0"/>
          <w:sz w:val="28"/>
          <w:szCs w:val="28"/>
        </w:rPr>
        <w:t>一、专业名称、代码</w:t>
      </w:r>
    </w:p>
    <w:p w14:paraId="6FDB95F3">
      <w:pPr>
        <w:keepNext w:val="0"/>
        <w:keepLines w:val="0"/>
        <w:pageBreakBefore w:val="0"/>
        <w:widowControl/>
        <w:kinsoku/>
        <w:wordWrap/>
        <w:overflowPunct/>
        <w:topLinePunct w:val="0"/>
        <w:autoSpaceDE/>
        <w:autoSpaceDN/>
        <w:bidi w:val="0"/>
        <w:adjustRightInd/>
        <w:snapToGrid/>
        <w:spacing w:line="360" w:lineRule="auto"/>
        <w:ind w:firstLine="960" w:firstLineChars="400"/>
        <w:jc w:val="both"/>
        <w:textAlignment w:val="auto"/>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val="en-US" w:eastAsia="zh-CN"/>
        </w:rPr>
        <w:t>审计</w:t>
      </w:r>
    </w:p>
    <w:p w14:paraId="49E24574">
      <w:pPr>
        <w:keepNext w:val="0"/>
        <w:keepLines w:val="0"/>
        <w:pageBreakBefore w:val="0"/>
        <w:widowControl/>
        <w:kinsoku/>
        <w:wordWrap/>
        <w:overflowPunct/>
        <w:topLinePunct w:val="0"/>
        <w:autoSpaceDE/>
        <w:autoSpaceDN/>
        <w:bidi w:val="0"/>
        <w:adjustRightInd/>
        <w:snapToGrid/>
        <w:spacing w:line="360" w:lineRule="auto"/>
        <w:ind w:firstLine="960" w:firstLineChars="400"/>
        <w:jc w:val="both"/>
        <w:textAlignment w:val="auto"/>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1257</w:t>
      </w:r>
    </w:p>
    <w:p w14:paraId="3BBC11AC">
      <w:pPr>
        <w:spacing w:line="360" w:lineRule="auto"/>
        <w:ind w:firstLine="560"/>
        <w:jc w:val="both"/>
        <w:rPr>
          <w:rFonts w:eastAsia="黑体"/>
          <w:b/>
          <w:bCs w:val="0"/>
          <w:sz w:val="28"/>
          <w:szCs w:val="28"/>
        </w:rPr>
      </w:pPr>
      <w:r>
        <w:rPr>
          <w:rFonts w:hint="eastAsia" w:eastAsia="黑体"/>
          <w:b/>
          <w:bCs w:val="0"/>
          <w:sz w:val="28"/>
          <w:szCs w:val="28"/>
          <w:lang w:val="en-US" w:eastAsia="zh-CN"/>
        </w:rPr>
        <w:t>二</w:t>
      </w:r>
      <w:r>
        <w:rPr>
          <w:rFonts w:hint="eastAsia" w:eastAsia="黑体"/>
          <w:b/>
          <w:bCs w:val="0"/>
          <w:sz w:val="28"/>
          <w:szCs w:val="28"/>
        </w:rPr>
        <w:t>、</w:t>
      </w:r>
      <w:r>
        <w:rPr>
          <w:rFonts w:hint="eastAsia" w:eastAsia="黑体"/>
          <w:b/>
          <w:bCs w:val="0"/>
          <w:sz w:val="28"/>
          <w:szCs w:val="28"/>
          <w:lang w:val="en-US" w:eastAsia="zh-CN"/>
        </w:rPr>
        <w:t>专业</w:t>
      </w:r>
      <w:r>
        <w:rPr>
          <w:rFonts w:hint="eastAsia" w:eastAsia="黑体"/>
          <w:b/>
          <w:bCs w:val="0"/>
          <w:sz w:val="28"/>
          <w:szCs w:val="28"/>
        </w:rPr>
        <w:t>简介</w:t>
      </w:r>
    </w:p>
    <w:p w14:paraId="1A61C80E">
      <w:pPr>
        <w:adjustRightInd w:val="0"/>
        <w:snapToGrid w:val="0"/>
        <w:spacing w:line="360" w:lineRule="auto"/>
        <w:ind w:firstLine="480" w:firstLineChars="200"/>
        <w:rPr>
          <w:rFonts w:hint="eastAsia" w:ascii="宋体" w:hAnsi="宋体" w:cs="宋体"/>
          <w:bCs/>
          <w:color w:val="auto"/>
          <w:sz w:val="24"/>
        </w:rPr>
      </w:pPr>
      <w:r>
        <w:rPr>
          <w:rFonts w:hint="eastAsia" w:ascii="宋体" w:hAnsi="宋体"/>
          <w:color w:val="auto"/>
          <w:sz w:val="24"/>
          <w:shd w:val="clear" w:color="auto" w:fill="FFFFFF"/>
        </w:rPr>
        <w:t>河北大学</w:t>
      </w:r>
      <w:r>
        <w:rPr>
          <w:rFonts w:hint="eastAsia" w:ascii="宋体" w:hAnsi="宋体" w:cs="宋体"/>
          <w:bCs/>
          <w:color w:val="auto"/>
          <w:sz w:val="24"/>
          <w:lang w:val="en-US" w:eastAsia="zh-CN"/>
        </w:rPr>
        <w:t>审计专业硕士</w:t>
      </w:r>
      <w:r>
        <w:rPr>
          <w:rFonts w:hint="eastAsia" w:ascii="宋体" w:hAnsi="宋体" w:cs="宋体"/>
          <w:iCs/>
          <w:sz w:val="24"/>
          <w:lang w:val="en-US" w:eastAsia="zh-CN"/>
        </w:rPr>
        <w:t>的培养</w:t>
      </w:r>
      <w:r>
        <w:rPr>
          <w:rFonts w:hint="eastAsia" w:ascii="宋体" w:hAnsi="宋体" w:eastAsia="宋体" w:cs="宋体"/>
          <w:iCs/>
          <w:sz w:val="24"/>
        </w:rPr>
        <w:t>以服务地方经济为己任，</w:t>
      </w:r>
      <w:r>
        <w:rPr>
          <w:rFonts w:hint="eastAsia" w:ascii="宋体" w:hAnsi="宋体" w:cs="宋体"/>
          <w:bCs/>
          <w:color w:val="auto"/>
          <w:sz w:val="24"/>
        </w:rPr>
        <w:t>为适应经济社会发展对高层次审计人才需求设立的专业学位，旨在培养具备现代审计理论、实务技能及跨领域知识的高层次应用型人才。</w:t>
      </w:r>
      <w:r>
        <w:rPr>
          <w:rFonts w:hint="eastAsia" w:ascii="宋体" w:hAnsi="宋体"/>
          <w:color w:val="auto"/>
          <w:sz w:val="24"/>
          <w:shd w:val="clear" w:color="auto" w:fill="FFFFFF"/>
        </w:rPr>
        <w:t>审计专业学位硕士的培养紧跟大数据与人工智能时代的发展特点，将数字化技术与审计专业知识相结合，</w:t>
      </w:r>
      <w:r>
        <w:rPr>
          <w:rFonts w:ascii="宋体" w:hAnsi="宋体"/>
          <w:color w:val="auto"/>
          <w:sz w:val="24"/>
          <w:shd w:val="clear" w:color="auto" w:fill="FFFFFF"/>
        </w:rPr>
        <w:t>以审计综合素养、职业判断以及信息系统审计技术与方法为培养重点。</w:t>
      </w:r>
      <w:r>
        <w:rPr>
          <w:rFonts w:hint="eastAsia" w:ascii="宋体" w:hAnsi="宋体"/>
          <w:color w:val="auto"/>
          <w:sz w:val="24"/>
          <w:shd w:val="clear" w:color="auto" w:fill="FFFFFF"/>
        </w:rPr>
        <w:t>河北大学</w:t>
      </w:r>
      <w:r>
        <w:rPr>
          <w:rFonts w:hint="eastAsia" w:ascii="宋体" w:hAnsi="宋体" w:cs="宋体"/>
          <w:bCs/>
          <w:color w:val="auto"/>
          <w:sz w:val="24"/>
          <w:lang w:val="en-US" w:eastAsia="zh-CN"/>
        </w:rPr>
        <w:t>审计专业硕士</w:t>
      </w:r>
      <w:r>
        <w:rPr>
          <w:rFonts w:hint="eastAsia" w:ascii="宋体" w:hAnsi="宋体" w:cs="宋体"/>
          <w:bCs/>
          <w:color w:val="auto"/>
          <w:sz w:val="24"/>
        </w:rPr>
        <w:t>与</w:t>
      </w:r>
      <w:r>
        <w:rPr>
          <w:rFonts w:hint="eastAsia" w:ascii="宋体" w:hAnsi="宋体" w:cs="宋体"/>
          <w:bCs/>
          <w:color w:val="auto"/>
          <w:sz w:val="24"/>
          <w:lang w:val="en-US" w:eastAsia="zh-CN"/>
        </w:rPr>
        <w:t>河北省财政厅、河北省审计厅、保定市审计局、</w:t>
      </w:r>
      <w:r>
        <w:rPr>
          <w:rFonts w:hint="eastAsia" w:ascii="宋体" w:hAnsi="宋体" w:cs="宋体"/>
          <w:bCs/>
          <w:color w:val="auto"/>
          <w:sz w:val="24"/>
        </w:rPr>
        <w:t>河北省注册会计师协会</w:t>
      </w:r>
      <w:r>
        <w:rPr>
          <w:rFonts w:hint="eastAsia" w:ascii="宋体" w:hAnsi="宋体" w:cs="宋体"/>
          <w:bCs/>
          <w:color w:val="auto"/>
          <w:sz w:val="24"/>
          <w:lang w:val="en-US" w:eastAsia="zh-CN"/>
        </w:rPr>
        <w:t>等相关行政事业单位</w:t>
      </w:r>
      <w:r>
        <w:rPr>
          <w:rFonts w:hint="eastAsia" w:ascii="宋体" w:hAnsi="宋体" w:cs="宋体"/>
          <w:bCs/>
          <w:color w:val="auto"/>
          <w:sz w:val="24"/>
        </w:rPr>
        <w:t>联系紧密，与</w:t>
      </w:r>
      <w:r>
        <w:rPr>
          <w:rFonts w:hint="eastAsia" w:ascii="宋体" w:hAnsi="宋体" w:cs="宋体"/>
          <w:bCs/>
          <w:color w:val="auto"/>
          <w:sz w:val="24"/>
          <w:lang w:val="en-US" w:eastAsia="zh-CN"/>
        </w:rPr>
        <w:t>河北省内多家大中型国有企业和</w:t>
      </w:r>
      <w:r>
        <w:rPr>
          <w:rFonts w:hint="eastAsia" w:ascii="宋体" w:hAnsi="宋体" w:cs="宋体"/>
          <w:bCs/>
          <w:color w:val="auto"/>
          <w:sz w:val="24"/>
        </w:rPr>
        <w:t>多家本土会计师事务所有长期合作，联合成立实践教育基地</w:t>
      </w:r>
      <w:r>
        <w:rPr>
          <w:rFonts w:hint="eastAsia" w:ascii="宋体" w:hAnsi="宋体" w:cs="宋体"/>
          <w:bCs/>
          <w:color w:val="auto"/>
          <w:sz w:val="24"/>
          <w:lang w:eastAsia="zh-CN"/>
        </w:rPr>
        <w:t>。</w:t>
      </w:r>
      <w:r>
        <w:rPr>
          <w:rFonts w:hint="eastAsia" w:ascii="宋体" w:hAnsi="宋体" w:cs="宋体"/>
          <w:bCs/>
          <w:color w:val="auto"/>
          <w:sz w:val="24"/>
        </w:rPr>
        <w:t>以</w:t>
      </w:r>
      <w:r>
        <w:rPr>
          <w:rFonts w:hint="eastAsia" w:ascii="宋体" w:hAnsi="宋体" w:cs="宋体"/>
          <w:bCs/>
          <w:color w:val="auto"/>
          <w:sz w:val="24"/>
          <w:lang w:val="en-US" w:eastAsia="zh-CN"/>
        </w:rPr>
        <w:t>市场</w:t>
      </w:r>
      <w:r>
        <w:rPr>
          <w:rFonts w:hint="eastAsia" w:ascii="宋体" w:hAnsi="宋体" w:cs="宋体"/>
          <w:bCs/>
          <w:color w:val="auto"/>
          <w:sz w:val="24"/>
        </w:rPr>
        <w:t>需求为导向，注重实践应用，全方位培养创新型、应用型人</w:t>
      </w:r>
      <w:r>
        <w:rPr>
          <w:rFonts w:hint="eastAsia" w:ascii="宋体" w:hAnsi="宋体" w:cs="宋体"/>
          <w:bCs/>
          <w:color w:val="auto"/>
          <w:sz w:val="24"/>
          <w:lang w:val="en-US" w:eastAsia="zh-CN"/>
        </w:rPr>
        <w:t>高端审计</w:t>
      </w:r>
      <w:r>
        <w:rPr>
          <w:rFonts w:hint="eastAsia" w:ascii="宋体" w:hAnsi="宋体" w:cs="宋体"/>
          <w:bCs/>
          <w:color w:val="auto"/>
          <w:sz w:val="24"/>
        </w:rPr>
        <w:t>才</w:t>
      </w:r>
      <w:r>
        <w:rPr>
          <w:rFonts w:hint="eastAsia" w:ascii="宋体" w:hAnsi="宋体" w:cs="宋体"/>
          <w:bCs/>
          <w:color w:val="auto"/>
          <w:sz w:val="24"/>
          <w:lang w:eastAsia="zh-CN"/>
        </w:rPr>
        <w:t>。</w:t>
      </w:r>
      <w:r>
        <w:rPr>
          <w:rFonts w:hint="eastAsia" w:ascii="宋体" w:hAnsi="宋体"/>
          <w:color w:val="auto"/>
          <w:sz w:val="24"/>
          <w:shd w:val="clear" w:color="auto" w:fill="FFFFFF"/>
        </w:rPr>
        <w:t>河北大学</w:t>
      </w:r>
      <w:r>
        <w:rPr>
          <w:rFonts w:hint="eastAsia" w:ascii="宋体" w:hAnsi="宋体" w:cs="宋体"/>
          <w:bCs/>
          <w:color w:val="auto"/>
          <w:sz w:val="24"/>
          <w:lang w:val="en-US" w:eastAsia="zh-CN"/>
        </w:rPr>
        <w:t>审计专业硕士教育严格教学管理，注重教学创新，通过优化的教学体系、务实的教学实践，为学生提供职业发展的动力源泉，搭建提升自我价值的广阔平台</w:t>
      </w:r>
      <w:r>
        <w:rPr>
          <w:rFonts w:hint="eastAsia" w:ascii="宋体" w:hAnsi="宋体" w:cs="宋体"/>
          <w:bCs/>
          <w:color w:val="auto"/>
          <w:sz w:val="24"/>
          <w:lang w:eastAsia="zh-CN"/>
        </w:rPr>
        <w:t>。</w:t>
      </w:r>
    </w:p>
    <w:p w14:paraId="56984569">
      <w:pPr>
        <w:adjustRightInd w:val="0"/>
        <w:snapToGrid w:val="0"/>
        <w:spacing w:line="360" w:lineRule="auto"/>
        <w:ind w:firstLine="562" w:firstLineChars="200"/>
        <w:rPr>
          <w:rFonts w:hint="eastAsia" w:ascii="黑体" w:hAnsi="黑体" w:eastAsia="黑体" w:cs="黑体"/>
          <w:b/>
          <w:color w:val="auto"/>
          <w:sz w:val="28"/>
          <w:szCs w:val="28"/>
        </w:rPr>
      </w:pPr>
      <w:r>
        <w:rPr>
          <w:rFonts w:hint="eastAsia" w:ascii="黑体" w:hAnsi="黑体" w:eastAsia="黑体" w:cs="黑体"/>
          <w:b/>
          <w:color w:val="auto"/>
          <w:sz w:val="28"/>
          <w:szCs w:val="28"/>
          <w:lang w:val="en-US" w:eastAsia="zh-CN"/>
        </w:rPr>
        <w:t>三</w:t>
      </w:r>
      <w:r>
        <w:rPr>
          <w:rFonts w:hint="eastAsia" w:ascii="黑体" w:hAnsi="黑体" w:eastAsia="黑体" w:cs="黑体"/>
          <w:b/>
          <w:color w:val="auto"/>
          <w:sz w:val="28"/>
          <w:szCs w:val="28"/>
        </w:rPr>
        <w:t>、研究方向</w:t>
      </w:r>
    </w:p>
    <w:p w14:paraId="2443D6AD">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rPr>
      </w:pPr>
      <w:r>
        <w:rPr>
          <w:rFonts w:hint="eastAsia" w:ascii="宋体" w:hAnsi="宋体" w:cs="宋体"/>
          <w:color w:val="auto"/>
          <w:sz w:val="24"/>
        </w:rPr>
        <w:t>主要研究方向包括</w:t>
      </w:r>
      <w:r>
        <w:rPr>
          <w:rFonts w:hint="eastAsia" w:ascii="宋体" w:hAnsi="宋体" w:cs="宋体"/>
          <w:color w:val="auto"/>
          <w:sz w:val="24"/>
          <w:lang w:val="en-US" w:eastAsia="zh-CN"/>
        </w:rPr>
        <w:t>四</w:t>
      </w:r>
      <w:r>
        <w:rPr>
          <w:rFonts w:hint="eastAsia" w:ascii="宋体" w:hAnsi="宋体" w:cs="宋体"/>
          <w:color w:val="auto"/>
          <w:sz w:val="24"/>
        </w:rPr>
        <w:t>个方面，分别是国家治理与</w:t>
      </w:r>
      <w:r>
        <w:rPr>
          <w:rFonts w:hint="eastAsia" w:ascii="宋体" w:hAnsi="宋体" w:cs="宋体"/>
          <w:color w:val="auto"/>
          <w:sz w:val="24"/>
          <w:lang w:val="en-US" w:eastAsia="zh-CN"/>
        </w:rPr>
        <w:t>国家</w:t>
      </w:r>
      <w:r>
        <w:rPr>
          <w:rFonts w:hint="eastAsia" w:ascii="宋体" w:hAnsi="宋体" w:cs="宋体"/>
          <w:color w:val="auto"/>
          <w:sz w:val="24"/>
        </w:rPr>
        <w:t>审计、企业风险</w:t>
      </w:r>
      <w:r>
        <w:rPr>
          <w:rFonts w:hint="eastAsia" w:ascii="宋体" w:hAnsi="宋体" w:cs="宋体"/>
          <w:color w:val="auto"/>
          <w:sz w:val="24"/>
          <w:lang w:val="en-US" w:eastAsia="zh-CN"/>
        </w:rPr>
        <w:t>管理</w:t>
      </w:r>
      <w:r>
        <w:rPr>
          <w:rFonts w:hint="eastAsia" w:ascii="宋体" w:hAnsi="宋体" w:cs="宋体"/>
          <w:color w:val="auto"/>
          <w:sz w:val="24"/>
        </w:rPr>
        <w:t>与内部审计、资本市场</w:t>
      </w:r>
      <w:r>
        <w:rPr>
          <w:rFonts w:hint="eastAsia" w:ascii="宋体" w:hAnsi="宋体" w:cs="宋体"/>
          <w:color w:val="auto"/>
          <w:sz w:val="24"/>
          <w:lang w:val="en-US" w:eastAsia="zh-CN"/>
        </w:rPr>
        <w:t>运营</w:t>
      </w:r>
      <w:r>
        <w:rPr>
          <w:rFonts w:hint="eastAsia" w:ascii="宋体" w:hAnsi="宋体" w:cs="宋体"/>
          <w:color w:val="auto"/>
          <w:sz w:val="24"/>
        </w:rPr>
        <w:t>与注册会计师审计</w:t>
      </w:r>
      <w:r>
        <w:rPr>
          <w:rFonts w:hint="eastAsia" w:ascii="宋体" w:hAnsi="宋体" w:cs="宋体"/>
          <w:color w:val="auto"/>
          <w:sz w:val="24"/>
          <w:lang w:eastAsia="zh-CN"/>
        </w:rPr>
        <w:t>、</w:t>
      </w:r>
      <w:r>
        <w:rPr>
          <w:rFonts w:hint="eastAsia" w:ascii="宋体" w:hAnsi="宋体" w:cs="宋体"/>
          <w:color w:val="auto"/>
          <w:sz w:val="24"/>
          <w:lang w:val="en-US" w:eastAsia="zh-CN"/>
        </w:rPr>
        <w:t>数据分析与大数据审计</w:t>
      </w:r>
      <w:r>
        <w:rPr>
          <w:rFonts w:hint="eastAsia" w:ascii="宋体" w:hAnsi="宋体" w:cs="宋体"/>
          <w:color w:val="auto"/>
          <w:sz w:val="24"/>
        </w:rPr>
        <w:t>。</w:t>
      </w:r>
    </w:p>
    <w:p w14:paraId="2623DDD3">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rPr>
      </w:pPr>
      <w:r>
        <w:rPr>
          <w:rFonts w:hint="eastAsia" w:ascii="宋体" w:hAnsi="宋体" w:cs="宋体"/>
          <w:color w:val="auto"/>
          <w:sz w:val="24"/>
        </w:rPr>
        <w:t>（一）国家治理与</w:t>
      </w:r>
      <w:r>
        <w:rPr>
          <w:rFonts w:hint="eastAsia" w:ascii="宋体" w:hAnsi="宋体" w:cs="宋体"/>
          <w:color w:val="auto"/>
          <w:sz w:val="24"/>
          <w:lang w:val="en-US" w:eastAsia="zh-CN"/>
        </w:rPr>
        <w:t>国家</w:t>
      </w:r>
      <w:r>
        <w:rPr>
          <w:rFonts w:hint="eastAsia" w:ascii="宋体" w:hAnsi="宋体" w:cs="宋体"/>
          <w:color w:val="auto"/>
          <w:sz w:val="24"/>
        </w:rPr>
        <w:t>审计</w:t>
      </w:r>
    </w:p>
    <w:p w14:paraId="4A06A57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rPr>
      </w:pPr>
      <w:r>
        <w:rPr>
          <w:rFonts w:hint="eastAsia" w:ascii="宋体" w:hAnsi="宋体" w:cs="宋体"/>
          <w:color w:val="auto"/>
          <w:sz w:val="24"/>
          <w:lang w:val="en-US" w:eastAsia="zh-CN"/>
        </w:rPr>
        <w:t>国家</w:t>
      </w:r>
      <w:r>
        <w:rPr>
          <w:rFonts w:hint="eastAsia" w:ascii="宋体" w:hAnsi="宋体" w:cs="宋体"/>
          <w:color w:val="auto"/>
          <w:sz w:val="24"/>
        </w:rPr>
        <w:t>审计是国家治理的重要组成部分，国家治理的需求决定了</w:t>
      </w:r>
      <w:r>
        <w:rPr>
          <w:rFonts w:hint="eastAsia" w:ascii="宋体" w:hAnsi="宋体" w:cs="宋体"/>
          <w:color w:val="auto"/>
          <w:sz w:val="24"/>
          <w:lang w:val="en-US" w:eastAsia="zh-CN"/>
        </w:rPr>
        <w:t>国家</w:t>
      </w:r>
      <w:r>
        <w:rPr>
          <w:rFonts w:hint="eastAsia" w:ascii="宋体" w:hAnsi="宋体" w:cs="宋体"/>
          <w:color w:val="auto"/>
          <w:sz w:val="24"/>
        </w:rPr>
        <w:t>审计的产生，国家治理的目标决定了</w:t>
      </w:r>
      <w:r>
        <w:rPr>
          <w:rFonts w:hint="eastAsia" w:ascii="宋体" w:hAnsi="宋体" w:cs="宋体"/>
          <w:color w:val="auto"/>
          <w:sz w:val="24"/>
          <w:lang w:val="en-US" w:eastAsia="zh-CN"/>
        </w:rPr>
        <w:t>国家</w:t>
      </w:r>
      <w:r>
        <w:rPr>
          <w:rFonts w:hint="eastAsia" w:ascii="宋体" w:hAnsi="宋体" w:cs="宋体"/>
          <w:color w:val="auto"/>
          <w:sz w:val="24"/>
        </w:rPr>
        <w:t>审计的方向</w:t>
      </w:r>
      <w:r>
        <w:rPr>
          <w:rFonts w:hint="eastAsia" w:ascii="宋体" w:hAnsi="宋体" w:cs="宋体"/>
          <w:color w:val="auto"/>
          <w:sz w:val="24"/>
          <w:lang w:eastAsia="zh-CN"/>
        </w:rPr>
        <w:t>，</w:t>
      </w:r>
      <w:r>
        <w:rPr>
          <w:rFonts w:hint="eastAsia" w:ascii="宋体" w:hAnsi="宋体" w:cs="宋体"/>
          <w:color w:val="auto"/>
          <w:sz w:val="24"/>
          <w:lang w:val="en-US" w:eastAsia="zh-CN"/>
        </w:rPr>
        <w:t>国家</w:t>
      </w:r>
      <w:r>
        <w:rPr>
          <w:rFonts w:hint="eastAsia" w:ascii="宋体" w:hAnsi="宋体" w:cs="宋体"/>
          <w:color w:val="auto"/>
          <w:sz w:val="24"/>
        </w:rPr>
        <w:t>审计对完善国家治理具有重要作用。本方向系统研究国家治理框架下</w:t>
      </w:r>
      <w:r>
        <w:rPr>
          <w:rFonts w:hint="eastAsia" w:ascii="宋体" w:hAnsi="宋体" w:cs="宋体"/>
          <w:color w:val="auto"/>
          <w:sz w:val="24"/>
          <w:lang w:val="en-US" w:eastAsia="zh-CN"/>
        </w:rPr>
        <w:t>国家</w:t>
      </w:r>
      <w:r>
        <w:rPr>
          <w:rFonts w:hint="eastAsia" w:ascii="宋体" w:hAnsi="宋体" w:cs="宋体"/>
          <w:color w:val="auto"/>
          <w:sz w:val="24"/>
        </w:rPr>
        <w:t>审计的理论体系的构建和以服务国家治理为导向的</w:t>
      </w:r>
      <w:r>
        <w:rPr>
          <w:rFonts w:hint="eastAsia" w:ascii="宋体" w:hAnsi="宋体" w:cs="宋体"/>
          <w:color w:val="auto"/>
          <w:sz w:val="24"/>
          <w:lang w:val="en-US" w:eastAsia="zh-CN"/>
        </w:rPr>
        <w:t>国家</w:t>
      </w:r>
      <w:r>
        <w:rPr>
          <w:rFonts w:hint="eastAsia" w:ascii="宋体" w:hAnsi="宋体" w:cs="宋体"/>
          <w:color w:val="auto"/>
          <w:sz w:val="24"/>
        </w:rPr>
        <w:t>审计业务和审计管理作用路径及其机理</w:t>
      </w:r>
      <w:r>
        <w:rPr>
          <w:rFonts w:hint="eastAsia" w:ascii="宋体" w:hAnsi="宋体" w:cs="宋体"/>
          <w:color w:val="auto"/>
          <w:sz w:val="24"/>
          <w:lang w:eastAsia="zh-CN"/>
        </w:rPr>
        <w:t>，研究审计全覆盖的量化与质量标准，探索责任履行审计与权力运行审计的协同关系，构建权力监控导向的审计机制，</w:t>
      </w:r>
      <w:r>
        <w:rPr>
          <w:rFonts w:hint="eastAsia" w:ascii="宋体" w:hAnsi="宋体" w:cs="宋体"/>
          <w:color w:val="auto"/>
          <w:sz w:val="24"/>
          <w:lang w:val="en-US" w:eastAsia="zh-CN"/>
        </w:rPr>
        <w:t>涵盖</w:t>
      </w:r>
      <w:r>
        <w:rPr>
          <w:rFonts w:hint="eastAsia" w:ascii="宋体" w:hAnsi="宋体" w:cs="宋体"/>
          <w:bCs/>
          <w:color w:val="auto"/>
          <w:sz w:val="24"/>
          <w:lang w:val="en-US" w:eastAsia="zh-CN"/>
        </w:rPr>
        <w:t>国家</w:t>
      </w:r>
      <w:r>
        <w:rPr>
          <w:rFonts w:hint="eastAsia" w:ascii="宋体" w:hAnsi="宋体" w:cs="宋体"/>
          <w:bCs/>
          <w:color w:val="auto"/>
          <w:sz w:val="24"/>
        </w:rPr>
        <w:t>审计、非营利组织审计、经济责任审计及绩效审计的理论</w:t>
      </w:r>
      <w:r>
        <w:rPr>
          <w:rFonts w:hint="eastAsia" w:ascii="宋体" w:hAnsi="宋体" w:cs="宋体"/>
          <w:bCs/>
          <w:color w:val="auto"/>
          <w:sz w:val="24"/>
          <w:lang w:val="en-US" w:eastAsia="zh-CN"/>
        </w:rPr>
        <w:t>与方法</w:t>
      </w:r>
      <w:r>
        <w:rPr>
          <w:rFonts w:hint="eastAsia" w:ascii="宋体" w:hAnsi="宋体" w:cs="宋体"/>
          <w:color w:val="auto"/>
          <w:sz w:val="24"/>
        </w:rPr>
        <w:t>。</w:t>
      </w:r>
    </w:p>
    <w:p w14:paraId="7961087E">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rPr>
      </w:pPr>
      <w:r>
        <w:rPr>
          <w:rFonts w:hint="eastAsia" w:ascii="宋体" w:hAnsi="宋体" w:cs="宋体"/>
          <w:color w:val="auto"/>
          <w:sz w:val="24"/>
        </w:rPr>
        <w:t>（二）企业风险</w:t>
      </w:r>
      <w:r>
        <w:rPr>
          <w:rFonts w:hint="eastAsia" w:ascii="宋体" w:hAnsi="宋体" w:cs="宋体"/>
          <w:color w:val="auto"/>
          <w:sz w:val="24"/>
          <w:lang w:val="en-US" w:eastAsia="zh-CN"/>
        </w:rPr>
        <w:t>管理</w:t>
      </w:r>
      <w:r>
        <w:rPr>
          <w:rFonts w:hint="eastAsia" w:ascii="宋体" w:hAnsi="宋体" w:cs="宋体"/>
          <w:color w:val="auto"/>
          <w:sz w:val="24"/>
        </w:rPr>
        <w:t>与内部审计</w:t>
      </w:r>
    </w:p>
    <w:p w14:paraId="757F8339">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rPr>
      </w:pPr>
      <w:r>
        <w:rPr>
          <w:rFonts w:hint="eastAsia" w:ascii="宋体" w:hAnsi="宋体" w:cs="宋体"/>
          <w:color w:val="auto"/>
          <w:sz w:val="24"/>
        </w:rPr>
        <w:t>内部审计是公司治理的重要组成部分，是企业加强风险管理的重要手段。以风险控制为导向的内部审计，通过对公司治理和风险管理等活动有效性的再确认与咨询，控制风险和增加公司价值。本方向研究公司治理体系下内部审计理论体系的构建和内部审计方法的应用</w:t>
      </w:r>
      <w:r>
        <w:rPr>
          <w:rFonts w:hint="eastAsia" w:ascii="宋体" w:hAnsi="宋体" w:cs="宋体"/>
          <w:color w:val="auto"/>
          <w:sz w:val="24"/>
          <w:lang w:eastAsia="zh-CN"/>
        </w:rPr>
        <w:t>，研究内部审计在组织治理中的作用机制，包括风险防控、合规监督及价值增值功能的实现路径，探索内部审计“对内”与“对外”问题导向的协同机制，强化自身建设与监督效能的平衡，</w:t>
      </w:r>
      <w:r>
        <w:rPr>
          <w:rFonts w:hint="eastAsia" w:ascii="宋体" w:hAnsi="宋体" w:cs="宋体"/>
          <w:color w:val="auto"/>
          <w:sz w:val="24"/>
          <w:lang w:val="en-US" w:eastAsia="zh-CN"/>
        </w:rPr>
        <w:t>涵盖</w:t>
      </w:r>
      <w:r>
        <w:rPr>
          <w:rFonts w:hint="eastAsia" w:ascii="宋体" w:hAnsi="宋体" w:cs="宋体"/>
          <w:bCs/>
          <w:color w:val="auto"/>
          <w:sz w:val="24"/>
        </w:rPr>
        <w:t>企业风险管理、内部控制设计、舞弊审计及组织治理与内部审计方法‌。</w:t>
      </w:r>
    </w:p>
    <w:p w14:paraId="715C0C43">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color w:val="auto"/>
          <w:sz w:val="24"/>
        </w:rPr>
      </w:pPr>
      <w:r>
        <w:rPr>
          <w:rFonts w:hint="eastAsia" w:ascii="宋体" w:hAnsi="宋体" w:cs="宋体"/>
          <w:color w:val="auto"/>
          <w:sz w:val="24"/>
        </w:rPr>
        <w:t>（三）资本市场</w:t>
      </w:r>
      <w:r>
        <w:rPr>
          <w:rFonts w:hint="eastAsia" w:ascii="宋体" w:hAnsi="宋体" w:cs="宋体"/>
          <w:color w:val="auto"/>
          <w:sz w:val="24"/>
          <w:lang w:val="en-US" w:eastAsia="zh-CN"/>
        </w:rPr>
        <w:t>运营</w:t>
      </w:r>
      <w:r>
        <w:rPr>
          <w:rFonts w:hint="eastAsia" w:ascii="宋体" w:hAnsi="宋体" w:cs="宋体"/>
          <w:color w:val="auto"/>
          <w:sz w:val="24"/>
        </w:rPr>
        <w:t>与注册会计师审计</w:t>
      </w:r>
    </w:p>
    <w:p w14:paraId="27A62755">
      <w:pPr>
        <w:keepNext w:val="0"/>
        <w:keepLines w:val="0"/>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val="0"/>
          <w:bCs/>
          <w:color w:val="auto"/>
          <w:sz w:val="24"/>
        </w:rPr>
      </w:pPr>
      <w:r>
        <w:rPr>
          <w:rFonts w:hint="eastAsia" w:ascii="宋体" w:hAnsi="宋体" w:cs="宋体"/>
          <w:color w:val="auto"/>
          <w:sz w:val="24"/>
        </w:rPr>
        <w:t>注册会计师审计是控制证券市场风险、提高市场运行效率的重要一环，承担着维护公众利益的社会责任。通过对注册会计师审计的理论、方法和行为等进行研究，采取科学有效的方法降低和控制审计风险，监督企业的信息披露和社会责任的履行，从而有利于维护市场经济秩序和促进企业</w:t>
      </w:r>
      <w:r>
        <w:rPr>
          <w:rFonts w:hint="eastAsia" w:ascii="宋体" w:hAnsi="宋体" w:cs="宋体"/>
          <w:color w:val="auto"/>
          <w:sz w:val="24"/>
          <w:lang w:val="en-US" w:eastAsia="zh-CN"/>
        </w:rPr>
        <w:t>各项</w:t>
      </w:r>
      <w:r>
        <w:rPr>
          <w:rFonts w:hint="eastAsia" w:ascii="宋体" w:hAnsi="宋体" w:cs="宋体"/>
          <w:color w:val="auto"/>
          <w:sz w:val="24"/>
        </w:rPr>
        <w:t>制度的完善等。本方向研究注册会计师审计理论体系的构建和审计方法的创新和应用</w:t>
      </w:r>
      <w:r>
        <w:rPr>
          <w:rFonts w:hint="eastAsia" w:ascii="宋体" w:hAnsi="宋体" w:cs="宋体"/>
          <w:color w:val="auto"/>
          <w:sz w:val="24"/>
          <w:lang w:eastAsia="zh-CN"/>
        </w:rPr>
        <w:t>，</w:t>
      </w:r>
      <w:r>
        <w:rPr>
          <w:rFonts w:hint="eastAsia" w:ascii="宋体" w:hAnsi="宋体" w:cs="宋体"/>
          <w:bCs/>
          <w:color w:val="auto"/>
          <w:sz w:val="24"/>
          <w:lang w:val="en-US" w:eastAsia="zh-CN"/>
        </w:rPr>
        <w:t>涵盖</w:t>
      </w:r>
      <w:r>
        <w:rPr>
          <w:rFonts w:hint="eastAsia" w:ascii="宋体" w:hAnsi="宋体" w:cs="宋体"/>
          <w:bCs/>
          <w:color w:val="auto"/>
          <w:sz w:val="24"/>
        </w:rPr>
        <w:t>财务报表审计技</w:t>
      </w:r>
      <w:r>
        <w:rPr>
          <w:rFonts w:hint="eastAsia" w:ascii="宋体" w:hAnsi="宋体" w:eastAsia="宋体" w:cs="宋体"/>
          <w:b w:val="0"/>
          <w:bCs/>
          <w:color w:val="auto"/>
          <w:sz w:val="24"/>
        </w:rPr>
        <w:t>术、企业内部控制</w:t>
      </w:r>
      <w:r>
        <w:rPr>
          <w:rFonts w:hint="eastAsia" w:ascii="宋体" w:hAnsi="宋体" w:cs="宋体"/>
          <w:b w:val="0"/>
          <w:bCs/>
          <w:color w:val="auto"/>
          <w:sz w:val="24"/>
          <w:lang w:val="en-US" w:eastAsia="zh-CN"/>
        </w:rPr>
        <w:t>审计</w:t>
      </w:r>
      <w:r>
        <w:rPr>
          <w:rFonts w:hint="eastAsia" w:ascii="宋体" w:hAnsi="宋体" w:eastAsia="宋体" w:cs="宋体"/>
          <w:b w:val="0"/>
          <w:bCs/>
          <w:color w:val="auto"/>
          <w:sz w:val="24"/>
          <w:lang w:eastAsia="zh-CN"/>
        </w:rPr>
        <w:t>、</w:t>
      </w:r>
      <w:r>
        <w:rPr>
          <w:rFonts w:hint="eastAsia" w:ascii="宋体" w:hAnsi="宋体" w:eastAsia="宋体" w:cs="宋体"/>
          <w:b w:val="0"/>
          <w:bCs/>
          <w:color w:val="auto"/>
          <w:sz w:val="24"/>
        </w:rPr>
        <w:t>注册会计师行业前沿理论与应用实践。</w:t>
      </w:r>
    </w:p>
    <w:p w14:paraId="13812FBA">
      <w:pPr>
        <w:keepNext w:val="0"/>
        <w:keepLines w:val="0"/>
        <w:pageBreakBefore w:val="0"/>
        <w:widowControl/>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iCs/>
          <w:sz w:val="24"/>
          <w:lang w:val="en-US" w:eastAsia="zh-CN"/>
        </w:rPr>
      </w:pPr>
      <w:r>
        <w:rPr>
          <w:rFonts w:hint="eastAsia" w:ascii="宋体" w:hAnsi="宋体" w:eastAsia="宋体" w:cs="宋体"/>
          <w:b w:val="0"/>
          <w:bCs/>
          <w:iCs/>
          <w:sz w:val="24"/>
          <w:lang w:val="en-US" w:eastAsia="zh-CN"/>
        </w:rPr>
        <w:t>（四）数据分析与大数据审计</w:t>
      </w:r>
    </w:p>
    <w:p w14:paraId="538BD5DA">
      <w:pPr>
        <w:keepNext w:val="0"/>
        <w:keepLines w:val="0"/>
        <w:pageBreakBefore w:val="0"/>
        <w:widowControl/>
        <w:kinsoku/>
        <w:wordWrap/>
        <w:overflowPunct/>
        <w:topLinePunct w:val="0"/>
        <w:autoSpaceDE/>
        <w:autoSpaceDN/>
        <w:bidi w:val="0"/>
        <w:spacing w:line="360" w:lineRule="auto"/>
        <w:ind w:firstLine="480" w:firstLineChars="200"/>
        <w:jc w:val="both"/>
        <w:textAlignment w:val="auto"/>
        <w:rPr>
          <w:rFonts w:hint="eastAsia" w:ascii="宋体" w:hAnsi="宋体" w:eastAsia="宋体" w:cs="宋体"/>
          <w:b w:val="0"/>
          <w:bCs/>
          <w:iCs/>
          <w:sz w:val="24"/>
          <w:lang w:val="en-US" w:eastAsia="zh-CN"/>
        </w:rPr>
      </w:pPr>
      <w:r>
        <w:rPr>
          <w:rFonts w:hint="eastAsia" w:ascii="宋体" w:hAnsi="宋体" w:eastAsia="宋体" w:cs="宋体"/>
          <w:b w:val="0"/>
          <w:bCs/>
          <w:iCs/>
          <w:sz w:val="24"/>
          <w:lang w:val="en-US" w:eastAsia="zh-CN"/>
        </w:rPr>
        <w:t>大数据审计聚焦于利用大数据技术提升审计效率、扩展审计范围</w:t>
      </w:r>
      <w:r>
        <w:rPr>
          <w:rFonts w:hint="eastAsia" w:ascii="宋体" w:hAnsi="宋体" w:cs="宋体"/>
          <w:b w:val="0"/>
          <w:bCs/>
          <w:iCs/>
          <w:sz w:val="24"/>
          <w:lang w:val="en-US" w:eastAsia="zh-CN"/>
        </w:rPr>
        <w:t>，</w:t>
      </w:r>
      <w:r>
        <w:rPr>
          <w:rFonts w:hint="eastAsia" w:ascii="宋体" w:hAnsi="宋体" w:eastAsia="宋体" w:cs="宋体"/>
          <w:b w:val="0"/>
          <w:bCs/>
          <w:iCs/>
          <w:sz w:val="24"/>
          <w:lang w:val="en-US" w:eastAsia="zh-CN"/>
        </w:rPr>
        <w:t>强化风险识别能力，以‌电子数据为直接审计对象‌，通过数据挖掘、多维分析等技术构建审计模型，实现从数据采集到风险识别的全流程数字化审计‌。运用SQL语句与数据挖掘技术，建立风险标签与问题画像框架，推动审计模式从人工核验向智能研判转型。突破传统账套审计，直接处理底层数据库原始数据，结合机器学习、区块链等技术提升审计效率与精度。‌本方向</w:t>
      </w:r>
      <w:r>
        <w:rPr>
          <w:rFonts w:hint="eastAsia" w:ascii="宋体" w:hAnsi="宋体" w:eastAsia="宋体" w:cs="宋体"/>
          <w:b w:val="0"/>
          <w:bCs/>
          <w:sz w:val="24"/>
          <w:szCs w:val="24"/>
        </w:rPr>
        <w:t>融合‌</w:t>
      </w:r>
      <w:r>
        <w:rPr>
          <w:rStyle w:val="6"/>
          <w:rFonts w:hint="eastAsia" w:ascii="宋体" w:hAnsi="宋体" w:eastAsia="宋体" w:cs="宋体"/>
          <w:b w:val="0"/>
          <w:bCs/>
          <w:sz w:val="24"/>
          <w:szCs w:val="24"/>
        </w:rPr>
        <w:t>大数据技术</w:t>
      </w:r>
      <w:r>
        <w:rPr>
          <w:rFonts w:hint="eastAsia" w:ascii="宋体" w:hAnsi="宋体" w:eastAsia="宋体" w:cs="宋体"/>
          <w:b w:val="0"/>
          <w:bCs/>
          <w:sz w:val="24"/>
          <w:szCs w:val="24"/>
        </w:rPr>
        <w:t>‌（如数据挖掘、机器学习）与‌</w:t>
      </w:r>
      <w:r>
        <w:rPr>
          <w:rStyle w:val="6"/>
          <w:rFonts w:hint="eastAsia" w:ascii="宋体" w:hAnsi="宋体" w:eastAsia="宋体" w:cs="宋体"/>
          <w:b w:val="0"/>
          <w:bCs/>
          <w:sz w:val="24"/>
          <w:szCs w:val="24"/>
        </w:rPr>
        <w:t>审计学</w:t>
      </w:r>
      <w:r>
        <w:rPr>
          <w:rStyle w:val="6"/>
          <w:rFonts w:hint="eastAsia" w:ascii="宋体" w:hAnsi="宋体" w:cs="宋体"/>
          <w:b w:val="0"/>
          <w:bCs/>
          <w:sz w:val="24"/>
          <w:szCs w:val="24"/>
          <w:lang w:val="en-US" w:eastAsia="zh-CN"/>
        </w:rPr>
        <w:t>理论</w:t>
      </w:r>
      <w:r>
        <w:rPr>
          <w:rFonts w:hint="eastAsia" w:ascii="宋体" w:hAnsi="宋体" w:eastAsia="宋体" w:cs="宋体"/>
          <w:b w:val="0"/>
          <w:bCs/>
          <w:sz w:val="24"/>
          <w:szCs w:val="24"/>
        </w:rPr>
        <w:t>‌，培养具备数据采集、分析与审计实务能力的复合型</w:t>
      </w:r>
      <w:r>
        <w:rPr>
          <w:rFonts w:hint="eastAsia" w:ascii="宋体" w:hAnsi="宋体" w:eastAsia="宋体" w:cs="宋体"/>
          <w:b w:val="0"/>
          <w:bCs/>
          <w:sz w:val="24"/>
          <w:szCs w:val="24"/>
          <w:lang w:val="en-US" w:eastAsia="zh-CN"/>
        </w:rPr>
        <w:t>人才</w:t>
      </w:r>
      <w:r>
        <w:rPr>
          <w:rFonts w:hint="eastAsia" w:ascii="宋体" w:hAnsi="宋体" w:cs="宋体"/>
          <w:b w:val="0"/>
          <w:bCs/>
          <w:sz w:val="24"/>
          <w:szCs w:val="24"/>
          <w:lang w:val="en-US" w:eastAsia="zh-CN"/>
        </w:rPr>
        <w:t>。</w:t>
      </w:r>
    </w:p>
    <w:p w14:paraId="33192542">
      <w:pPr>
        <w:keepNext w:val="0"/>
        <w:keepLines w:val="0"/>
        <w:pageBreakBefore w:val="0"/>
        <w:kinsoku/>
        <w:wordWrap/>
        <w:overflowPunct/>
        <w:topLinePunct w:val="0"/>
        <w:autoSpaceDE/>
        <w:autoSpaceDN/>
        <w:bidi w:val="0"/>
        <w:adjustRightInd w:val="0"/>
        <w:snapToGrid w:val="0"/>
        <w:spacing w:before="157" w:beforeLines="50" w:line="360" w:lineRule="auto"/>
        <w:ind w:firstLine="562" w:firstLineChars="200"/>
        <w:textAlignment w:val="auto"/>
        <w:rPr>
          <w:rFonts w:ascii="宋体" w:hAnsi="宋体"/>
          <w:color w:val="auto"/>
          <w:sz w:val="24"/>
        </w:rPr>
      </w:pPr>
      <w:bookmarkStart w:id="0" w:name="_Hlk72068456"/>
      <w:r>
        <w:rPr>
          <w:rFonts w:hint="eastAsia" w:ascii="黑体" w:hAnsi="黑体" w:eastAsia="黑体" w:cs="黑体"/>
          <w:b/>
          <w:color w:val="auto"/>
          <w:sz w:val="28"/>
          <w:szCs w:val="28"/>
        </w:rPr>
        <w:t>四、</w:t>
      </w:r>
      <w:bookmarkEnd w:id="0"/>
      <w:r>
        <w:rPr>
          <w:rFonts w:hint="eastAsia" w:ascii="黑体" w:hAnsi="黑体" w:eastAsia="黑体" w:cs="黑体"/>
          <w:b/>
          <w:color w:val="auto"/>
          <w:sz w:val="28"/>
          <w:szCs w:val="28"/>
        </w:rPr>
        <w:t>学制及学习年限</w:t>
      </w:r>
      <w:r>
        <w:rPr>
          <w:rFonts w:hint="eastAsia" w:ascii="黑体" w:hAnsi="黑体" w:eastAsia="黑体" w:cs="黑体"/>
          <w:b/>
          <w:color w:val="auto"/>
          <w:sz w:val="28"/>
          <w:szCs w:val="28"/>
        </w:rPr>
        <w:br w:type="textWrapping"/>
      </w:r>
      <w:r>
        <w:rPr>
          <w:rFonts w:hint="eastAsia" w:ascii="宋体" w:hAnsi="宋体"/>
          <w:color w:val="auto"/>
          <w:sz w:val="28"/>
          <w:szCs w:val="28"/>
        </w:rPr>
        <w:t xml:space="preserve">  </w:t>
      </w:r>
      <w:r>
        <w:rPr>
          <w:rFonts w:ascii="宋体" w:hAnsi="宋体"/>
          <w:color w:val="auto"/>
          <w:sz w:val="28"/>
          <w:szCs w:val="28"/>
        </w:rPr>
        <w:t xml:space="preserve"> </w:t>
      </w:r>
      <w:r>
        <w:rPr>
          <w:rFonts w:hint="eastAsia" w:ascii="宋体" w:hAnsi="宋体"/>
          <w:color w:val="auto"/>
          <w:sz w:val="24"/>
        </w:rPr>
        <w:t>本专业学位类别研究生</w:t>
      </w:r>
      <w:r>
        <w:rPr>
          <w:rFonts w:ascii="宋体" w:hAnsi="宋体"/>
          <w:color w:val="auto"/>
          <w:sz w:val="24"/>
        </w:rPr>
        <w:t>学制</w:t>
      </w:r>
      <w:r>
        <w:rPr>
          <w:rFonts w:hint="eastAsia" w:ascii="宋体" w:hAnsi="宋体"/>
          <w:color w:val="auto"/>
          <w:sz w:val="24"/>
        </w:rPr>
        <w:t>为</w:t>
      </w:r>
      <w:r>
        <w:rPr>
          <w:rFonts w:hint="eastAsia" w:ascii="宋体" w:hAnsi="宋体"/>
          <w:color w:val="auto"/>
          <w:sz w:val="24"/>
          <w:lang w:val="en-US" w:eastAsia="zh-CN"/>
        </w:rPr>
        <w:t>2</w:t>
      </w:r>
      <w:r>
        <w:rPr>
          <w:rFonts w:ascii="宋体" w:hAnsi="宋体"/>
          <w:color w:val="auto"/>
          <w:sz w:val="24"/>
        </w:rPr>
        <w:t>年</w:t>
      </w:r>
      <w:r>
        <w:rPr>
          <w:rFonts w:hint="eastAsia" w:ascii="宋体" w:hAnsi="宋体"/>
          <w:color w:val="auto"/>
          <w:sz w:val="24"/>
        </w:rPr>
        <w:t>，在校最长学习年限（含休学）不超过6年</w:t>
      </w:r>
      <w:r>
        <w:rPr>
          <w:rFonts w:ascii="宋体" w:hAnsi="宋体"/>
          <w:color w:val="auto"/>
          <w:sz w:val="24"/>
        </w:rPr>
        <w:t>。</w:t>
      </w:r>
    </w:p>
    <w:p w14:paraId="390C69AA">
      <w:pPr>
        <w:adjustRightInd w:val="0"/>
        <w:snapToGrid w:val="0"/>
        <w:spacing w:line="360" w:lineRule="auto"/>
        <w:ind w:firstLine="562" w:firstLineChars="200"/>
        <w:rPr>
          <w:rFonts w:hint="eastAsia" w:ascii="黑体" w:hAnsi="黑体" w:eastAsia="黑体" w:cs="黑体"/>
          <w:b/>
          <w:color w:val="auto"/>
          <w:sz w:val="28"/>
          <w:szCs w:val="28"/>
        </w:rPr>
      </w:pPr>
      <w:r>
        <w:rPr>
          <w:rFonts w:hint="eastAsia" w:ascii="黑体" w:hAnsi="黑体" w:eastAsia="黑体" w:cs="黑体"/>
          <w:b/>
          <w:color w:val="auto"/>
          <w:sz w:val="28"/>
          <w:szCs w:val="28"/>
          <w:lang w:val="en-US" w:eastAsia="zh-CN"/>
        </w:rPr>
        <w:t>五</w:t>
      </w:r>
      <w:r>
        <w:rPr>
          <w:rFonts w:hint="eastAsia" w:ascii="黑体" w:hAnsi="黑体" w:eastAsia="黑体" w:cs="黑体"/>
          <w:b/>
          <w:color w:val="auto"/>
          <w:sz w:val="28"/>
          <w:szCs w:val="28"/>
        </w:rPr>
        <w:t>、培养目标</w:t>
      </w:r>
    </w:p>
    <w:p w14:paraId="7D9890A5">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1.树立正确的中国特色社会主义核心价值观，具有坚定的理想信念，高尚的道德情操，优良的学术作风，高度的社会责任感。坚持诚实守信，勤勉尽责，谨慎从业，坚持独立、客观、公正的原则。</w:t>
      </w:r>
    </w:p>
    <w:p w14:paraId="5E878DB9">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2.培养具有良好的</w:t>
      </w:r>
      <w:r>
        <w:rPr>
          <w:rFonts w:hint="eastAsia" w:ascii="宋体" w:hAnsi="宋体" w:cs="宋体"/>
          <w:color w:val="auto"/>
          <w:sz w:val="24"/>
          <w:lang w:val="en-US" w:eastAsia="zh-CN"/>
        </w:rPr>
        <w:t>现代审计理论知识</w:t>
      </w:r>
      <w:r>
        <w:rPr>
          <w:rFonts w:hint="eastAsia" w:ascii="宋体" w:hAnsi="宋体" w:cs="宋体"/>
          <w:color w:val="auto"/>
          <w:sz w:val="24"/>
        </w:rPr>
        <w:t>、扎实的审计专业技能、突出的审计实践能力和优秀的综合素质的高层次专业技能型人才。</w:t>
      </w:r>
      <w:r>
        <w:rPr>
          <w:rFonts w:ascii="宋体" w:hAnsi="宋体" w:cs="宋体"/>
          <w:color w:val="auto"/>
          <w:sz w:val="24"/>
        </w:rPr>
        <w:t xml:space="preserve"> </w:t>
      </w:r>
    </w:p>
    <w:p w14:paraId="0A7A611F">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3.至少掌握一门外国语，能熟练阅读本专业的外文资料，具有-定的写译能力和基本的听说能力,具有撰写学术论文和进行国际学术交流的能力。</w:t>
      </w:r>
    </w:p>
    <w:p w14:paraId="77EC664B">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4.具有良好的团队意识和团队合作精神。</w:t>
      </w:r>
    </w:p>
    <w:p w14:paraId="59343E8A">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5.具有健康的身体和良好的心理素质。</w:t>
      </w:r>
    </w:p>
    <w:p w14:paraId="6E9C0C80">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6.培养德智体美劳全面发展的社会主义事业接班人。</w:t>
      </w:r>
    </w:p>
    <w:p w14:paraId="2413765D">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7.具有良好职业道德</w:t>
      </w:r>
      <w:r>
        <w:rPr>
          <w:rFonts w:hint="eastAsia" w:ascii="宋体" w:hAnsi="宋体" w:cs="宋体"/>
          <w:color w:val="auto"/>
          <w:sz w:val="24"/>
          <w:lang w:val="en-US" w:eastAsia="zh-CN"/>
        </w:rPr>
        <w:t>与操守</w:t>
      </w:r>
      <w:r>
        <w:rPr>
          <w:rFonts w:hint="eastAsia" w:ascii="宋体" w:hAnsi="宋体" w:cs="宋体"/>
          <w:color w:val="auto"/>
          <w:sz w:val="24"/>
        </w:rPr>
        <w:t>。</w:t>
      </w:r>
    </w:p>
    <w:p w14:paraId="40DA0FE6">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8.具有</w:t>
      </w:r>
      <w:r>
        <w:rPr>
          <w:rFonts w:hint="eastAsia" w:ascii="宋体" w:hAnsi="宋体" w:cs="宋体"/>
          <w:color w:val="auto"/>
          <w:sz w:val="24"/>
          <w:lang w:val="en-US" w:eastAsia="zh-CN"/>
        </w:rPr>
        <w:t>从事审计工作的良好的综合素质</w:t>
      </w:r>
      <w:r>
        <w:rPr>
          <w:rFonts w:hint="eastAsia" w:ascii="宋体" w:hAnsi="宋体" w:cs="宋体"/>
          <w:color w:val="auto"/>
          <w:sz w:val="24"/>
        </w:rPr>
        <w:t>，能够熟练运用现代会计、财务、审计及相关领域的专业知识分析并解决实际问题。</w:t>
      </w:r>
    </w:p>
    <w:p w14:paraId="1DF8144B">
      <w:pPr>
        <w:adjustRightInd w:val="0"/>
        <w:snapToGrid w:val="0"/>
        <w:spacing w:line="360" w:lineRule="auto"/>
        <w:ind w:firstLine="480" w:firstLineChars="200"/>
        <w:rPr>
          <w:rFonts w:hint="eastAsia" w:ascii="宋体" w:hAnsi="宋体" w:cs="宋体"/>
          <w:color w:val="auto"/>
          <w:sz w:val="24"/>
        </w:rPr>
      </w:pPr>
      <w:r>
        <w:rPr>
          <w:rFonts w:hint="eastAsia" w:ascii="宋体" w:hAnsi="宋体" w:cs="宋体"/>
          <w:color w:val="auto"/>
          <w:sz w:val="24"/>
        </w:rPr>
        <w:t>9.具有从事高层次</w:t>
      </w:r>
      <w:r>
        <w:rPr>
          <w:rFonts w:hint="eastAsia" w:ascii="宋体" w:hAnsi="宋体" w:cs="宋体"/>
          <w:color w:val="auto"/>
          <w:sz w:val="24"/>
          <w:lang w:val="en-US" w:eastAsia="zh-CN"/>
        </w:rPr>
        <w:t>审计</w:t>
      </w:r>
      <w:r>
        <w:rPr>
          <w:rFonts w:hint="eastAsia" w:ascii="宋体" w:hAnsi="宋体" w:cs="宋体"/>
          <w:color w:val="auto"/>
          <w:sz w:val="24"/>
        </w:rPr>
        <w:t>工作所必备的国际视野、</w:t>
      </w:r>
      <w:r>
        <w:rPr>
          <w:rFonts w:hint="eastAsia" w:ascii="宋体" w:hAnsi="宋体" w:cs="宋体"/>
          <w:color w:val="auto"/>
          <w:sz w:val="24"/>
          <w:lang w:val="en-US" w:eastAsia="zh-CN"/>
        </w:rPr>
        <w:t>领导力与执行力、综合管理能力</w:t>
      </w:r>
      <w:r>
        <w:rPr>
          <w:rFonts w:hint="eastAsia" w:ascii="宋体" w:hAnsi="宋体" w:cs="宋体"/>
          <w:color w:val="auto"/>
          <w:sz w:val="24"/>
        </w:rPr>
        <w:t>。</w:t>
      </w:r>
    </w:p>
    <w:p w14:paraId="2C3C5941">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eastAsia="黑体"/>
          <w:b/>
          <w:bCs/>
          <w:sz w:val="28"/>
          <w:szCs w:val="28"/>
        </w:rPr>
      </w:pPr>
      <w:r>
        <w:rPr>
          <w:rFonts w:hint="eastAsia" w:ascii="宋体" w:hAnsi="宋体" w:cs="宋体"/>
          <w:color w:val="auto"/>
          <w:sz w:val="24"/>
        </w:rPr>
        <w:t>10.</w:t>
      </w:r>
      <w:r>
        <w:rPr>
          <w:rFonts w:hint="eastAsia" w:ascii="宋体" w:hAnsi="宋体" w:cs="宋体"/>
          <w:color w:val="auto"/>
          <w:sz w:val="24"/>
          <w:lang w:eastAsia="zh-CN"/>
        </w:rPr>
        <w:t>熟练运用数据分析工具（如Python、SQL）、审计软件及新兴技术（区块链、AI）解决实际问题‌，</w:t>
      </w:r>
      <w:r>
        <w:rPr>
          <w:rFonts w:hint="eastAsia" w:ascii="宋体" w:hAnsi="宋体" w:cs="宋体"/>
          <w:color w:val="auto"/>
          <w:sz w:val="24"/>
        </w:rPr>
        <w:t>具备良好数据处理能力和信息系统数据审查能力</w:t>
      </w:r>
      <w:r>
        <w:rPr>
          <w:rFonts w:hint="eastAsia" w:ascii="宋体" w:hAnsi="宋体" w:cs="宋体"/>
          <w:color w:val="auto"/>
          <w:sz w:val="24"/>
          <w:lang w:eastAsia="zh-CN"/>
        </w:rPr>
        <w:t>。</w:t>
      </w:r>
      <w:r>
        <w:rPr>
          <w:rFonts w:ascii="宋体" w:hAnsi="宋体"/>
          <w:color w:val="auto"/>
          <w:sz w:val="24"/>
        </w:rPr>
        <w:br w:type="textWrapping"/>
      </w:r>
      <w:r>
        <w:rPr>
          <w:rFonts w:hint="eastAsia" w:ascii="宋体" w:hAnsi="宋体"/>
          <w:color w:val="auto"/>
          <w:sz w:val="24"/>
          <w:lang w:val="en-US" w:eastAsia="zh-CN"/>
        </w:rPr>
        <w:t xml:space="preserve">    </w:t>
      </w:r>
      <w:r>
        <w:rPr>
          <w:rFonts w:eastAsia="黑体"/>
          <w:b/>
          <w:bCs/>
          <w:sz w:val="28"/>
          <w:szCs w:val="28"/>
        </w:rPr>
        <w:t>六、培养方式</w:t>
      </w:r>
    </w:p>
    <w:p w14:paraId="098ABBC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eastAsia="宋体" w:cs="Times New Roman"/>
          <w:sz w:val="24"/>
        </w:rPr>
      </w:pPr>
      <w:r>
        <w:rPr>
          <w:rFonts w:hint="eastAsia" w:ascii="宋体" w:hAnsi="宋体" w:cs="宋体"/>
          <w:color w:val="auto"/>
          <w:sz w:val="24"/>
        </w:rPr>
        <w:t>1.</w:t>
      </w:r>
      <w:r>
        <w:rPr>
          <w:rFonts w:hint="default" w:ascii="Times New Roman" w:hAnsi="Times New Roman" w:eastAsia="宋体" w:cs="Times New Roman"/>
          <w:sz w:val="24"/>
        </w:rPr>
        <w:t>思政</w:t>
      </w:r>
      <w:r>
        <w:rPr>
          <w:rFonts w:hint="eastAsia" w:cs="Times New Roman"/>
          <w:sz w:val="24"/>
          <w:lang w:eastAsia="zh-CN"/>
        </w:rPr>
        <w:t>学习</w:t>
      </w:r>
      <w:r>
        <w:rPr>
          <w:rFonts w:hint="default" w:ascii="Times New Roman" w:hAnsi="Times New Roman" w:eastAsia="宋体" w:cs="Times New Roman"/>
          <w:sz w:val="24"/>
        </w:rPr>
        <w:t>和专业学习相结合</w:t>
      </w:r>
    </w:p>
    <w:p w14:paraId="44DD0A9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rPr>
        <w:t>要求学生必须参加思想政治学习活动，树立正确的人生观和价值观。坚持思政贯穿研究生学习生涯始终。</w:t>
      </w:r>
    </w:p>
    <w:p w14:paraId="5027835B">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Times New Roman" w:hAnsi="Times New Roman" w:eastAsia="宋体" w:cs="Times New Roman"/>
          <w:sz w:val="24"/>
          <w:lang w:eastAsia="zh-CN"/>
        </w:rPr>
      </w:pPr>
      <w:r>
        <w:rPr>
          <w:rFonts w:hint="eastAsia" w:ascii="宋体" w:hAnsi="宋体" w:cs="宋体"/>
          <w:color w:val="auto"/>
          <w:sz w:val="24"/>
          <w:lang w:val="en-US" w:eastAsia="zh-CN"/>
        </w:rPr>
        <w:t>2</w:t>
      </w:r>
      <w:r>
        <w:rPr>
          <w:rFonts w:hint="eastAsia" w:ascii="宋体" w:hAnsi="宋体" w:cs="宋体"/>
          <w:color w:val="auto"/>
          <w:sz w:val="24"/>
        </w:rPr>
        <w:t>.</w:t>
      </w:r>
      <w:r>
        <w:rPr>
          <w:rFonts w:hint="default" w:ascii="Times New Roman" w:hAnsi="Times New Roman" w:eastAsia="宋体" w:cs="Times New Roman"/>
          <w:sz w:val="24"/>
        </w:rPr>
        <w:t>实践</w:t>
      </w:r>
      <w:r>
        <w:rPr>
          <w:rFonts w:hint="eastAsia" w:cs="Times New Roman"/>
          <w:sz w:val="24"/>
          <w:lang w:eastAsia="zh-CN"/>
        </w:rPr>
        <w:t>学习与课堂学习相结合</w:t>
      </w:r>
    </w:p>
    <w:p w14:paraId="6B59329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rPr>
        <w:t>注重理论联系实际，强调培养学生分析和解决实际问题的能力，重视采用案例教学</w:t>
      </w:r>
      <w:r>
        <w:rPr>
          <w:rFonts w:hint="eastAsia" w:ascii="Times New Roman" w:hAnsi="Times New Roman" w:cs="Times New Roman"/>
          <w:sz w:val="24"/>
          <w:lang w:val="en-US" w:eastAsia="zh-CN"/>
        </w:rPr>
        <w:t>与情景模拟相结合。通过真实审计案例分析与探究，强化学生理论应用能力，通过情景模拟教学，模拟</w:t>
      </w:r>
      <w:r>
        <w:rPr>
          <w:rFonts w:hint="eastAsia" w:cs="Times New Roman"/>
          <w:sz w:val="24"/>
          <w:lang w:val="en-US" w:eastAsia="zh-CN"/>
        </w:rPr>
        <w:t>现实</w:t>
      </w:r>
      <w:r>
        <w:rPr>
          <w:rFonts w:hint="eastAsia" w:ascii="Times New Roman" w:hAnsi="Times New Roman" w:cs="Times New Roman"/>
          <w:sz w:val="24"/>
          <w:lang w:val="en-US" w:eastAsia="zh-CN"/>
        </w:rPr>
        <w:t>审计谈判、跨境资本流动监管等场景，提升学生复杂环境下的职业判断力。</w:t>
      </w:r>
      <w:r>
        <w:rPr>
          <w:rFonts w:hint="default" w:ascii="Times New Roman" w:hAnsi="Times New Roman" w:eastAsia="宋体" w:cs="Times New Roman"/>
          <w:sz w:val="24"/>
        </w:rPr>
        <w:t>加强实践环节的实习指导，建立</w:t>
      </w:r>
      <w:r>
        <w:rPr>
          <w:rFonts w:hint="eastAsia" w:ascii="Times New Roman" w:hAnsi="Times New Roman" w:cs="Times New Roman"/>
          <w:sz w:val="24"/>
          <w:lang w:val="en-US" w:eastAsia="zh-CN"/>
        </w:rPr>
        <w:t>审计实践基地，</w:t>
      </w:r>
      <w:r>
        <w:rPr>
          <w:rFonts w:hint="default" w:ascii="Times New Roman" w:hAnsi="Times New Roman" w:eastAsia="宋体" w:cs="Times New Roman"/>
          <w:sz w:val="24"/>
        </w:rPr>
        <w:t>培养实践应用能力。学生在学期间必须保证不少于6个月的实习实践，可采用集中实践与分段实践相结合的方式；提交实践计划，撰写实践总结报告，完成后获得相应的学分。</w:t>
      </w:r>
    </w:p>
    <w:p w14:paraId="5CC0CAA6">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Times New Roman" w:hAnsi="Times New Roman" w:eastAsia="宋体" w:cs="Times New Roman"/>
          <w:sz w:val="24"/>
        </w:rPr>
      </w:pPr>
      <w:r>
        <w:rPr>
          <w:rFonts w:hint="eastAsia" w:ascii="Times New Roman" w:hAnsi="Times New Roman" w:cs="Times New Roman"/>
          <w:bCs/>
          <w:color w:val="auto"/>
          <w:sz w:val="24"/>
        </w:rPr>
        <w:t>具有三年以上审计相关专业工作经验的学员，可以通过提交专业实务工作总结等方式，获得相应实践课学分。</w:t>
      </w:r>
    </w:p>
    <w:p w14:paraId="5890F7D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eastAsia" w:cs="Times New Roman"/>
          <w:sz w:val="24"/>
          <w:lang w:val="en-US" w:eastAsia="zh-CN"/>
        </w:rPr>
        <w:t>3</w:t>
      </w:r>
      <w:r>
        <w:rPr>
          <w:rFonts w:asciiTheme="minorEastAsia" w:hAnsiTheme="minorEastAsia" w:eastAsiaTheme="minorEastAsia"/>
          <w:iCs/>
          <w:sz w:val="24"/>
        </w:rPr>
        <w:t>.</w:t>
      </w:r>
      <w:r>
        <w:rPr>
          <w:rFonts w:hint="default" w:ascii="Times New Roman" w:hAnsi="Times New Roman" w:eastAsia="宋体" w:cs="Times New Roman"/>
          <w:sz w:val="24"/>
        </w:rPr>
        <w:t>学分制</w:t>
      </w:r>
    </w:p>
    <w:p w14:paraId="5C5DF58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highlight w:val="none"/>
        </w:rPr>
        <w:t>实行学分制，总学分不低于</w:t>
      </w:r>
      <w:r>
        <w:rPr>
          <w:rFonts w:hint="eastAsia" w:cs="Times New Roman"/>
          <w:sz w:val="24"/>
          <w:highlight w:val="none"/>
          <w:lang w:val="en-US" w:eastAsia="zh-CN"/>
        </w:rPr>
        <w:t>30</w:t>
      </w:r>
      <w:r>
        <w:rPr>
          <w:rFonts w:hint="default" w:ascii="Times New Roman" w:hAnsi="Times New Roman" w:eastAsia="宋体" w:cs="Times New Roman"/>
          <w:sz w:val="24"/>
          <w:highlight w:val="none"/>
        </w:rPr>
        <w:t>学分。学分采取综合评定学生学习成绩的方式，具体依据包括考试、作业、案例分析、课堂讨论、撰写专题报告等。鼓励教师采用案例教学方法，并逐步增加案例教学的比</w:t>
      </w:r>
      <w:r>
        <w:rPr>
          <w:rFonts w:hint="default" w:ascii="Times New Roman" w:hAnsi="Times New Roman" w:eastAsia="宋体" w:cs="Times New Roman"/>
          <w:sz w:val="24"/>
        </w:rPr>
        <w:t>例，注重理论联系实际，强调培养学生分析和解决实际问题的能力。</w:t>
      </w:r>
    </w:p>
    <w:p w14:paraId="593A273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lang w:val="en-US" w:eastAsia="zh-CN"/>
        </w:rPr>
        <w:t>4</w:t>
      </w:r>
      <w:r>
        <w:rPr>
          <w:rFonts w:asciiTheme="minorEastAsia" w:hAnsiTheme="minorEastAsia" w:eastAsiaTheme="minorEastAsia"/>
          <w:iCs/>
          <w:sz w:val="24"/>
        </w:rPr>
        <w:t>.</w:t>
      </w:r>
      <w:r>
        <w:rPr>
          <w:rFonts w:hint="default" w:ascii="Times New Roman" w:hAnsi="Times New Roman" w:eastAsia="宋体" w:cs="Times New Roman"/>
          <w:sz w:val="24"/>
        </w:rPr>
        <w:t>导师组和双导师制</w:t>
      </w:r>
    </w:p>
    <w:p w14:paraId="39319FF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宋体" w:cs="Times New Roman"/>
          <w:sz w:val="24"/>
          <w:lang w:eastAsia="zh-CN"/>
        </w:rPr>
      </w:pPr>
      <w:r>
        <w:rPr>
          <w:rFonts w:hint="default" w:ascii="Times New Roman" w:hAnsi="Times New Roman" w:eastAsia="宋体" w:cs="Times New Roman"/>
          <w:sz w:val="24"/>
        </w:rPr>
        <w:t>成立校内导师组，加强教学管理和专业指导工作。实行双导师制，实现社会导师和校内导师联合培养制，聘请企事业单位、会计师事务所、政府部门等有关专家共同承担指导工作。开辟第二课堂，聘请有实践经验的专家开设讲座或承担部分课程。</w:t>
      </w:r>
    </w:p>
    <w:p w14:paraId="2D4E4CA1">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hint="eastAsia" w:ascii="黑体" w:hAnsi="黑体" w:eastAsia="黑体" w:cs="黑体"/>
          <w:b/>
          <w:color w:val="auto"/>
          <w:sz w:val="28"/>
          <w:szCs w:val="28"/>
        </w:rPr>
      </w:pPr>
      <w:r>
        <w:rPr>
          <w:rFonts w:hint="eastAsia" w:ascii="黑体" w:hAnsi="黑体" w:eastAsia="黑体" w:cs="黑体"/>
          <w:b/>
          <w:color w:val="auto"/>
          <w:sz w:val="28"/>
          <w:szCs w:val="28"/>
          <w:lang w:val="en-US" w:eastAsia="zh-CN"/>
        </w:rPr>
        <w:t>七</w:t>
      </w:r>
      <w:r>
        <w:rPr>
          <w:rFonts w:hint="eastAsia" w:ascii="黑体" w:hAnsi="黑体" w:eastAsia="黑体" w:cs="黑体"/>
          <w:b/>
          <w:color w:val="auto"/>
          <w:sz w:val="28"/>
          <w:szCs w:val="28"/>
        </w:rPr>
        <w:t>、中期筛选</w:t>
      </w:r>
    </w:p>
    <w:p w14:paraId="07CE89B3">
      <w:pPr>
        <w:keepNext w:val="0"/>
        <w:keepLines w:val="0"/>
        <w:pageBreakBefore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color w:val="auto"/>
          <w:sz w:val="24"/>
          <w:szCs w:val="24"/>
          <w:lang w:eastAsia="zh-CN"/>
        </w:rPr>
      </w:pPr>
      <w:r>
        <w:rPr>
          <w:rFonts w:hint="eastAsia" w:ascii="宋体" w:hAnsi="宋体" w:eastAsia="宋体" w:cs="宋体"/>
          <w:bCs/>
          <w:sz w:val="24"/>
          <w:szCs w:val="24"/>
          <w:lang w:val="en-US" w:eastAsia="zh-CN"/>
        </w:rPr>
        <w:t>在</w:t>
      </w:r>
      <w:r>
        <w:rPr>
          <w:rFonts w:hint="eastAsia" w:ascii="宋体" w:hAnsi="宋体" w:eastAsia="宋体" w:cs="宋体"/>
          <w:bCs/>
          <w:sz w:val="24"/>
          <w:szCs w:val="24"/>
        </w:rPr>
        <w:t>完成培养方案规定的课程学习、考核成绩合格、获得规定的学分后，按照《河北大学研究生中期筛选管理办法》（校政字〔2021〕15号）的相关规定，组织开展中期筛选工作</w:t>
      </w:r>
      <w:r>
        <w:rPr>
          <w:rFonts w:hint="eastAsia" w:ascii="宋体" w:hAnsi="宋体" w:cs="宋体"/>
          <w:bCs/>
          <w:sz w:val="24"/>
          <w:szCs w:val="24"/>
          <w:lang w:eastAsia="zh-CN"/>
        </w:rPr>
        <w:t>。</w:t>
      </w:r>
    </w:p>
    <w:p w14:paraId="272E89C9">
      <w:pPr>
        <w:keepNext w:val="0"/>
        <w:keepLines w:val="0"/>
        <w:pageBreakBefore w:val="0"/>
        <w:kinsoku/>
        <w:wordWrap/>
        <w:overflowPunct/>
        <w:topLinePunct w:val="0"/>
        <w:autoSpaceDE/>
        <w:autoSpaceDN/>
        <w:bidi w:val="0"/>
        <w:adjustRightInd w:val="0"/>
        <w:snapToGrid w:val="0"/>
        <w:spacing w:line="360" w:lineRule="auto"/>
        <w:ind w:firstLine="562" w:firstLineChars="200"/>
        <w:jc w:val="both"/>
        <w:textAlignment w:val="auto"/>
        <w:rPr>
          <w:rFonts w:eastAsia="黑体"/>
          <w:b/>
          <w:bCs w:val="0"/>
          <w:sz w:val="28"/>
          <w:szCs w:val="28"/>
        </w:rPr>
      </w:pPr>
      <w:r>
        <w:rPr>
          <w:rFonts w:hint="eastAsia" w:eastAsia="黑体"/>
          <w:b/>
          <w:bCs w:val="0"/>
          <w:sz w:val="28"/>
          <w:szCs w:val="28"/>
        </w:rPr>
        <w:t>八</w:t>
      </w:r>
      <w:r>
        <w:rPr>
          <w:rFonts w:eastAsia="黑体"/>
          <w:b/>
          <w:bCs w:val="0"/>
          <w:sz w:val="28"/>
          <w:szCs w:val="28"/>
        </w:rPr>
        <w:t>、学位（毕业）论文</w:t>
      </w:r>
    </w:p>
    <w:p w14:paraId="476B1041">
      <w:pPr>
        <w:keepNext w:val="0"/>
        <w:keepLines w:val="0"/>
        <w:pageBreakBefore w:val="0"/>
        <w:widowControl/>
        <w:kinsoku/>
        <w:wordWrap/>
        <w:overflowPunct/>
        <w:topLinePunct w:val="0"/>
        <w:autoSpaceDE/>
        <w:autoSpaceDN/>
        <w:bidi w:val="0"/>
        <w:adjustRightInd w:val="0"/>
        <w:snapToGrid w:val="0"/>
        <w:spacing w:line="360" w:lineRule="auto"/>
        <w:ind w:firstLine="480"/>
        <w:jc w:val="both"/>
        <w:textAlignment w:val="auto"/>
        <w:rPr>
          <w:rFonts w:hint="eastAsia" w:ascii="宋体" w:hAnsi="宋体" w:eastAsia="宋体" w:cs="宋体"/>
          <w:bCs/>
          <w:sz w:val="24"/>
          <w:szCs w:val="24"/>
          <w:lang w:eastAsia="zh-CN"/>
        </w:rPr>
      </w:pPr>
      <w:r>
        <w:rPr>
          <w:rFonts w:hint="eastAsia" w:ascii="宋体" w:hAnsi="宋体" w:eastAsia="宋体" w:cs="宋体"/>
          <w:bCs/>
          <w:color w:val="222222"/>
          <w:kern w:val="0"/>
          <w:sz w:val="24"/>
          <w:szCs w:val="24"/>
        </w:rPr>
        <w:t>1</w:t>
      </w:r>
      <w:r>
        <w:rPr>
          <w:rFonts w:hint="eastAsia" w:ascii="宋体" w:hAnsi="宋体" w:eastAsia="宋体" w:cs="宋体"/>
          <w:iCs/>
          <w:sz w:val="24"/>
          <w:szCs w:val="24"/>
        </w:rPr>
        <w:t>.</w:t>
      </w:r>
      <w:r>
        <w:rPr>
          <w:rFonts w:hint="eastAsia" w:ascii="宋体" w:hAnsi="宋体" w:eastAsia="宋体" w:cs="宋体"/>
          <w:bCs/>
          <w:color w:val="222222"/>
          <w:kern w:val="0"/>
          <w:sz w:val="24"/>
          <w:szCs w:val="24"/>
        </w:rPr>
        <w:t>总体要求</w:t>
      </w:r>
      <w:r>
        <w:rPr>
          <w:rFonts w:hint="eastAsia" w:ascii="宋体" w:hAnsi="宋体" w:eastAsia="宋体" w:cs="宋体"/>
          <w:bCs/>
          <w:color w:val="222222"/>
          <w:kern w:val="0"/>
          <w:sz w:val="24"/>
          <w:szCs w:val="24"/>
          <w:lang w:eastAsia="zh-CN"/>
        </w:rPr>
        <w:t>。</w:t>
      </w:r>
      <w:r>
        <w:rPr>
          <w:rFonts w:hint="eastAsia" w:ascii="宋体" w:hAnsi="宋体" w:eastAsia="宋体" w:cs="宋体"/>
          <w:color w:val="000000" w:themeColor="text1"/>
          <w:kern w:val="0"/>
          <w:sz w:val="24"/>
          <w:szCs w:val="24"/>
          <w14:textFill>
            <w14:solidFill>
              <w14:schemeClr w14:val="tx1"/>
            </w14:solidFill>
          </w14:textFill>
        </w:rPr>
        <w:t>按照《河北大学关于开展2025版研究生培养方案修订工作的指导意见》（校政字</w:t>
      </w:r>
      <w:r>
        <w:rPr>
          <w:rFonts w:hint="eastAsia" w:ascii="宋体" w:hAnsi="宋体" w:eastAsia="宋体" w:cs="宋体"/>
          <w:bCs/>
          <w:sz w:val="24"/>
          <w:szCs w:val="24"/>
        </w:rPr>
        <w:t>〔2025〕</w:t>
      </w:r>
      <w:r>
        <w:rPr>
          <w:rFonts w:hint="eastAsia" w:ascii="宋体" w:hAnsi="宋体" w:eastAsia="宋体" w:cs="宋体"/>
          <w:bCs/>
          <w:sz w:val="24"/>
          <w:szCs w:val="24"/>
          <w:lang w:val="en-US" w:eastAsia="zh-CN"/>
        </w:rPr>
        <w:t>9</w:t>
      </w:r>
      <w:r>
        <w:rPr>
          <w:rFonts w:hint="eastAsia" w:ascii="宋体" w:hAnsi="宋体" w:eastAsia="宋体" w:cs="宋体"/>
          <w:bCs/>
          <w:sz w:val="24"/>
          <w:szCs w:val="24"/>
        </w:rPr>
        <w:t>号</w:t>
      </w:r>
      <w:r>
        <w:rPr>
          <w:rFonts w:hint="eastAsia" w:ascii="宋体" w:hAnsi="宋体" w:eastAsia="宋体" w:cs="宋体"/>
          <w:color w:val="000000" w:themeColor="text1"/>
          <w:kern w:val="0"/>
          <w:sz w:val="24"/>
          <w:szCs w:val="24"/>
          <w14:textFill>
            <w14:solidFill>
              <w14:schemeClr w14:val="tx1"/>
            </w14:solidFill>
          </w14:textFill>
        </w:rPr>
        <w:t>）规定，</w:t>
      </w:r>
      <w:r>
        <w:rPr>
          <w:rFonts w:hint="eastAsia" w:ascii="宋体" w:hAnsi="宋体"/>
          <w:color w:val="auto"/>
          <w:sz w:val="24"/>
        </w:rPr>
        <w:t>审计专业学位</w:t>
      </w:r>
      <w:r>
        <w:rPr>
          <w:rFonts w:hint="eastAsia" w:ascii="宋体" w:hAnsi="宋体" w:eastAsia="宋体" w:cs="宋体"/>
          <w:color w:val="000000" w:themeColor="text1"/>
          <w:kern w:val="0"/>
          <w:sz w:val="24"/>
          <w:szCs w:val="24"/>
          <w14:textFill>
            <w14:solidFill>
              <w14:schemeClr w14:val="tx1"/>
            </w14:solidFill>
          </w14:textFill>
        </w:rPr>
        <w:t>硕士研究生论文开题与答辩时间间隔原则上不少于12个月。</w:t>
      </w:r>
      <w:r>
        <w:rPr>
          <w:rFonts w:hint="eastAsia" w:ascii="宋体" w:hAnsi="宋体" w:eastAsia="宋体" w:cs="宋体"/>
          <w:bCs/>
          <w:sz w:val="24"/>
          <w:szCs w:val="24"/>
        </w:rPr>
        <w:t>学位（毕业）论文应当表明作者具有独立从事学术研究工作的能力，鼓励硕士研究生参与科学研究，取得创新性成果</w:t>
      </w:r>
      <w:r>
        <w:rPr>
          <w:rFonts w:hint="eastAsia" w:ascii="宋体" w:hAnsi="宋体" w:eastAsia="宋体" w:cs="宋体"/>
          <w:bCs/>
          <w:sz w:val="24"/>
          <w:szCs w:val="24"/>
          <w:lang w:eastAsia="zh-CN"/>
        </w:rPr>
        <w:t>。</w:t>
      </w:r>
    </w:p>
    <w:p w14:paraId="65F582C6">
      <w:pPr>
        <w:keepNext w:val="0"/>
        <w:keepLines w:val="0"/>
        <w:pageBreakBefore w:val="0"/>
        <w:widowControl/>
        <w:kinsoku/>
        <w:wordWrap/>
        <w:overflowPunct/>
        <w:topLinePunct w:val="0"/>
        <w:autoSpaceDE/>
        <w:autoSpaceDN/>
        <w:bidi w:val="0"/>
        <w:spacing w:line="360" w:lineRule="auto"/>
        <w:ind w:firstLine="480"/>
        <w:jc w:val="both"/>
        <w:textAlignment w:val="auto"/>
        <w:rPr>
          <w:rFonts w:hint="eastAsia" w:ascii="宋体" w:hAnsi="宋体" w:eastAsia="宋体" w:cs="宋体"/>
          <w:bCs/>
          <w:sz w:val="24"/>
          <w:szCs w:val="24"/>
        </w:rPr>
      </w:pPr>
      <w:r>
        <w:rPr>
          <w:rFonts w:hint="eastAsia" w:ascii="宋体" w:hAnsi="宋体" w:eastAsia="宋体" w:cs="宋体"/>
          <w:bCs/>
          <w:sz w:val="24"/>
          <w:szCs w:val="24"/>
        </w:rPr>
        <w:t>2</w:t>
      </w:r>
      <w:r>
        <w:rPr>
          <w:rFonts w:hint="eastAsia" w:ascii="宋体" w:hAnsi="宋体" w:eastAsia="宋体" w:cs="宋体"/>
          <w:iCs/>
          <w:sz w:val="24"/>
          <w:szCs w:val="24"/>
        </w:rPr>
        <w:t>.</w:t>
      </w:r>
      <w:r>
        <w:rPr>
          <w:rFonts w:hint="eastAsia" w:ascii="宋体" w:hAnsi="宋体" w:eastAsia="宋体" w:cs="宋体"/>
          <w:bCs/>
          <w:sz w:val="24"/>
          <w:szCs w:val="24"/>
        </w:rPr>
        <w:t>开题</w:t>
      </w:r>
      <w:r>
        <w:rPr>
          <w:rFonts w:hint="eastAsia" w:ascii="宋体" w:hAnsi="宋体" w:eastAsia="宋体" w:cs="宋体"/>
          <w:bCs/>
          <w:sz w:val="24"/>
          <w:szCs w:val="24"/>
          <w:lang w:eastAsia="zh-CN"/>
        </w:rPr>
        <w:t>。</w:t>
      </w:r>
      <w:r>
        <w:rPr>
          <w:rFonts w:hint="eastAsia" w:ascii="宋体" w:hAnsi="宋体" w:eastAsia="宋体" w:cs="宋体"/>
          <w:bCs/>
          <w:sz w:val="24"/>
          <w:szCs w:val="24"/>
        </w:rPr>
        <w:t>开题是</w:t>
      </w:r>
      <w:r>
        <w:rPr>
          <w:rFonts w:hint="eastAsia" w:ascii="宋体" w:hAnsi="宋体" w:cs="宋体"/>
          <w:bCs/>
          <w:sz w:val="24"/>
          <w:szCs w:val="24"/>
          <w:lang w:val="en-US" w:eastAsia="zh-CN"/>
        </w:rPr>
        <w:t>审计专业硕士</w:t>
      </w:r>
      <w:r>
        <w:rPr>
          <w:rFonts w:hint="eastAsia" w:ascii="宋体" w:hAnsi="宋体" w:eastAsia="宋体" w:cs="宋体"/>
          <w:bCs/>
          <w:sz w:val="24"/>
          <w:szCs w:val="24"/>
        </w:rPr>
        <w:t>研究生培养过程中开展学位（毕业）论文工作的首要环节，要求</w:t>
      </w:r>
      <w:r>
        <w:rPr>
          <w:rFonts w:hint="eastAsia" w:ascii="宋体" w:hAnsi="宋体" w:cs="宋体"/>
          <w:bCs/>
          <w:sz w:val="24"/>
          <w:szCs w:val="24"/>
          <w:lang w:val="en-US" w:eastAsia="zh-CN"/>
        </w:rPr>
        <w:t>审计专业硕士</w:t>
      </w:r>
      <w:r>
        <w:rPr>
          <w:rFonts w:hint="eastAsia" w:ascii="宋体" w:hAnsi="宋体" w:eastAsia="宋体" w:cs="宋体"/>
          <w:bCs/>
          <w:sz w:val="24"/>
          <w:szCs w:val="24"/>
        </w:rPr>
        <w:t>研究生充分阅读国内外相关文献，撰写开题报告。开题报告应包含文献综述、论文选题依据、研究方案、预期目标与成果、工作计划等关键问题。</w:t>
      </w:r>
    </w:p>
    <w:p w14:paraId="3AE6670D">
      <w:pPr>
        <w:keepNext w:val="0"/>
        <w:keepLines w:val="0"/>
        <w:pageBreakBefore w:val="0"/>
        <w:widowControl/>
        <w:kinsoku/>
        <w:wordWrap/>
        <w:overflowPunct/>
        <w:topLinePunct w:val="0"/>
        <w:autoSpaceDE/>
        <w:autoSpaceDN/>
        <w:bidi w:val="0"/>
        <w:spacing w:line="360" w:lineRule="auto"/>
        <w:ind w:firstLine="480"/>
        <w:jc w:val="both"/>
        <w:textAlignment w:val="auto"/>
        <w:rPr>
          <w:rFonts w:hint="eastAsia" w:ascii="宋体" w:hAnsi="宋体" w:eastAsia="宋体" w:cs="宋体"/>
          <w:bCs/>
          <w:sz w:val="24"/>
          <w:szCs w:val="24"/>
        </w:rPr>
      </w:pPr>
      <w:r>
        <w:rPr>
          <w:rFonts w:hint="eastAsia" w:ascii="宋体" w:hAnsi="宋体" w:eastAsia="宋体" w:cs="宋体"/>
          <w:bCs/>
          <w:sz w:val="24"/>
          <w:szCs w:val="24"/>
        </w:rPr>
        <w:t>原则上在入学后第</w:t>
      </w:r>
      <w:r>
        <w:rPr>
          <w:rFonts w:hint="eastAsia" w:ascii="宋体" w:hAnsi="宋体" w:cs="宋体"/>
          <w:bCs/>
          <w:sz w:val="24"/>
          <w:szCs w:val="24"/>
          <w:lang w:val="en-US" w:eastAsia="zh-CN"/>
        </w:rPr>
        <w:t>2</w:t>
      </w:r>
      <w:r>
        <w:rPr>
          <w:rFonts w:hint="eastAsia" w:ascii="宋体" w:hAnsi="宋体" w:eastAsia="宋体" w:cs="宋体"/>
          <w:bCs/>
          <w:sz w:val="24"/>
          <w:szCs w:val="24"/>
        </w:rPr>
        <w:t>学期（最迟不超过第</w:t>
      </w:r>
      <w:r>
        <w:rPr>
          <w:rFonts w:hint="eastAsia" w:ascii="宋体" w:hAnsi="宋体" w:cs="宋体"/>
          <w:bCs/>
          <w:sz w:val="24"/>
          <w:szCs w:val="24"/>
          <w:lang w:val="en-US" w:eastAsia="zh-CN"/>
        </w:rPr>
        <w:t>3</w:t>
      </w:r>
      <w:r>
        <w:rPr>
          <w:rFonts w:hint="eastAsia" w:ascii="宋体" w:hAnsi="宋体" w:eastAsia="宋体" w:cs="宋体"/>
          <w:bCs/>
          <w:sz w:val="24"/>
          <w:szCs w:val="24"/>
        </w:rPr>
        <w:t>学期）完成开题。开题由3-5名具有高级专业技术职务人员参加，以学术报告的方式进行。</w:t>
      </w:r>
    </w:p>
    <w:p w14:paraId="58F81BC6">
      <w:pPr>
        <w:widowControl/>
        <w:spacing w:line="360" w:lineRule="auto"/>
        <w:ind w:firstLine="480"/>
        <w:jc w:val="both"/>
        <w:rPr>
          <w:rFonts w:hint="eastAsia" w:ascii="宋体" w:hAnsi="宋体" w:eastAsia="宋体" w:cs="宋体"/>
          <w:bCs/>
          <w:sz w:val="24"/>
          <w:szCs w:val="24"/>
        </w:rPr>
      </w:pPr>
      <w:r>
        <w:rPr>
          <w:rFonts w:hint="eastAsia" w:ascii="宋体" w:hAnsi="宋体" w:eastAsia="宋体" w:cs="宋体"/>
          <w:bCs/>
          <w:sz w:val="24"/>
          <w:szCs w:val="24"/>
        </w:rPr>
        <w:t>3</w:t>
      </w:r>
      <w:r>
        <w:rPr>
          <w:rFonts w:hint="eastAsia" w:ascii="宋体" w:hAnsi="宋体" w:eastAsia="宋体" w:cs="宋体"/>
          <w:iCs/>
          <w:sz w:val="24"/>
          <w:szCs w:val="24"/>
        </w:rPr>
        <w:t>.</w:t>
      </w:r>
      <w:r>
        <w:rPr>
          <w:rFonts w:hint="eastAsia" w:ascii="宋体" w:hAnsi="宋体" w:eastAsia="宋体" w:cs="宋体"/>
          <w:bCs/>
          <w:sz w:val="24"/>
          <w:szCs w:val="24"/>
        </w:rPr>
        <w:t>中期进展报告</w:t>
      </w:r>
      <w:r>
        <w:rPr>
          <w:rFonts w:hint="eastAsia" w:ascii="宋体" w:hAnsi="宋体" w:eastAsia="宋体" w:cs="宋体"/>
          <w:bCs/>
          <w:sz w:val="24"/>
          <w:szCs w:val="24"/>
          <w:lang w:eastAsia="zh-CN"/>
        </w:rPr>
        <w:t>。</w:t>
      </w:r>
      <w:r>
        <w:rPr>
          <w:rFonts w:hint="eastAsia" w:ascii="宋体" w:hAnsi="宋体" w:eastAsia="宋体" w:cs="宋体"/>
          <w:bCs/>
          <w:sz w:val="24"/>
          <w:szCs w:val="24"/>
        </w:rPr>
        <w:t>中期进展报告是检查</w:t>
      </w:r>
      <w:r>
        <w:rPr>
          <w:rFonts w:hint="eastAsia" w:ascii="宋体" w:hAnsi="宋体" w:cs="宋体"/>
          <w:bCs/>
          <w:sz w:val="24"/>
          <w:szCs w:val="24"/>
          <w:lang w:val="en-US" w:eastAsia="zh-CN"/>
        </w:rPr>
        <w:t>审计专业硕士</w:t>
      </w:r>
      <w:r>
        <w:rPr>
          <w:rFonts w:hint="eastAsia" w:ascii="宋体" w:hAnsi="宋体" w:eastAsia="宋体" w:cs="宋体"/>
          <w:bCs/>
          <w:sz w:val="24"/>
          <w:szCs w:val="24"/>
        </w:rPr>
        <w:t>研究生个人综合能力及学位论文进展、指导研究生把握学位（毕业）论文方向、提高学位（毕业）论文质量的必要环节。中期进展报告原则上应在入学后第</w:t>
      </w:r>
      <w:r>
        <w:rPr>
          <w:rFonts w:hint="eastAsia" w:ascii="宋体" w:hAnsi="宋体" w:cs="宋体"/>
          <w:bCs/>
          <w:sz w:val="24"/>
          <w:szCs w:val="24"/>
          <w:lang w:val="en-US" w:eastAsia="zh-CN"/>
        </w:rPr>
        <w:t>3</w:t>
      </w:r>
      <w:r>
        <w:rPr>
          <w:rFonts w:hint="eastAsia" w:ascii="宋体" w:hAnsi="宋体" w:eastAsia="宋体" w:cs="宋体"/>
          <w:bCs/>
          <w:sz w:val="24"/>
          <w:szCs w:val="24"/>
        </w:rPr>
        <w:t>学期进行；各导师组自行制定中期考核办法并组织考核。</w:t>
      </w:r>
    </w:p>
    <w:p w14:paraId="3F829693">
      <w:pPr>
        <w:widowControl/>
        <w:spacing w:line="360" w:lineRule="auto"/>
        <w:ind w:firstLine="480"/>
        <w:jc w:val="both"/>
        <w:rPr>
          <w:rFonts w:hint="eastAsia" w:ascii="宋体" w:hAnsi="宋体" w:eastAsia="宋体" w:cs="宋体"/>
          <w:bCs/>
          <w:sz w:val="24"/>
          <w:szCs w:val="24"/>
        </w:rPr>
      </w:pPr>
      <w:r>
        <w:rPr>
          <w:rFonts w:hint="eastAsia" w:ascii="宋体" w:hAnsi="宋体" w:eastAsia="宋体" w:cs="宋体"/>
          <w:bCs/>
          <w:sz w:val="24"/>
          <w:szCs w:val="24"/>
        </w:rPr>
        <w:t>4</w:t>
      </w:r>
      <w:r>
        <w:rPr>
          <w:rFonts w:hint="eastAsia" w:ascii="宋体" w:hAnsi="宋体" w:eastAsia="宋体" w:cs="宋体"/>
          <w:iCs/>
          <w:sz w:val="24"/>
          <w:szCs w:val="24"/>
        </w:rPr>
        <w:t>.</w:t>
      </w:r>
      <w:r>
        <w:rPr>
          <w:rFonts w:hint="eastAsia" w:ascii="宋体" w:hAnsi="宋体" w:eastAsia="宋体" w:cs="宋体"/>
          <w:bCs/>
          <w:sz w:val="24"/>
          <w:szCs w:val="24"/>
        </w:rPr>
        <w:t>学位申请</w:t>
      </w:r>
      <w:r>
        <w:rPr>
          <w:rFonts w:hint="eastAsia" w:ascii="宋体" w:hAnsi="宋体" w:eastAsia="宋体" w:cs="宋体"/>
          <w:bCs/>
          <w:sz w:val="24"/>
          <w:szCs w:val="24"/>
          <w:lang w:eastAsia="zh-CN"/>
        </w:rPr>
        <w:t>。</w:t>
      </w:r>
      <w:r>
        <w:rPr>
          <w:rFonts w:hint="eastAsia" w:ascii="宋体" w:hAnsi="宋体" w:eastAsia="宋体" w:cs="宋体"/>
          <w:bCs/>
          <w:sz w:val="24"/>
          <w:szCs w:val="24"/>
        </w:rPr>
        <w:t>达到学位授予条件的申请人，经导师同意后，应于答辩前三个月，向所属学位评定分委员会提出学位申请，提交学位申请材料。</w:t>
      </w:r>
    </w:p>
    <w:p w14:paraId="113A370E">
      <w:pPr>
        <w:widowControl/>
        <w:spacing w:line="360" w:lineRule="auto"/>
        <w:ind w:firstLine="480"/>
        <w:jc w:val="both"/>
        <w:rPr>
          <w:rFonts w:hint="eastAsia" w:ascii="宋体" w:hAnsi="宋体" w:eastAsia="宋体" w:cs="宋体"/>
          <w:bCs/>
          <w:sz w:val="24"/>
          <w:szCs w:val="24"/>
        </w:rPr>
      </w:pPr>
      <w:r>
        <w:rPr>
          <w:rFonts w:hint="eastAsia" w:ascii="宋体" w:hAnsi="宋体" w:eastAsia="宋体" w:cs="宋体"/>
          <w:bCs/>
          <w:sz w:val="24"/>
          <w:szCs w:val="24"/>
        </w:rPr>
        <w:t>5</w:t>
      </w:r>
      <w:r>
        <w:rPr>
          <w:rFonts w:hint="eastAsia" w:ascii="宋体" w:hAnsi="宋体" w:eastAsia="宋体" w:cs="宋体"/>
          <w:iCs/>
          <w:sz w:val="24"/>
          <w:szCs w:val="24"/>
        </w:rPr>
        <w:t>.</w:t>
      </w:r>
      <w:r>
        <w:rPr>
          <w:rFonts w:hint="eastAsia" w:ascii="宋体" w:hAnsi="宋体" w:eastAsia="宋体" w:cs="宋体"/>
          <w:bCs/>
          <w:sz w:val="24"/>
          <w:szCs w:val="24"/>
        </w:rPr>
        <w:t>预答辩</w:t>
      </w:r>
      <w:r>
        <w:rPr>
          <w:rFonts w:hint="eastAsia" w:ascii="宋体" w:hAnsi="宋体" w:eastAsia="宋体" w:cs="宋体"/>
          <w:bCs/>
          <w:sz w:val="24"/>
          <w:szCs w:val="24"/>
          <w:lang w:eastAsia="zh-CN"/>
        </w:rPr>
        <w:t>。</w:t>
      </w:r>
      <w:r>
        <w:rPr>
          <w:rFonts w:hint="eastAsia" w:ascii="宋体" w:hAnsi="宋体" w:eastAsia="宋体" w:cs="宋体"/>
          <w:bCs/>
          <w:sz w:val="24"/>
          <w:szCs w:val="24"/>
        </w:rPr>
        <w:t>学位申请人须进行学位论文预答辩。预答辩通过者，方可进入学位论文评阅、学位论文答辩等环节。学位（毕业）论文预答辩在正式答辩前3个月进行。</w:t>
      </w:r>
    </w:p>
    <w:p w14:paraId="6B704FCB">
      <w:pPr>
        <w:widowControl/>
        <w:spacing w:line="360" w:lineRule="auto"/>
        <w:ind w:firstLine="480"/>
        <w:jc w:val="both"/>
        <w:rPr>
          <w:rFonts w:hint="eastAsia" w:ascii="宋体" w:hAnsi="宋体" w:eastAsia="宋体" w:cs="宋体"/>
          <w:bCs/>
          <w:sz w:val="24"/>
          <w:szCs w:val="24"/>
        </w:rPr>
      </w:pPr>
      <w:r>
        <w:rPr>
          <w:rFonts w:hint="eastAsia" w:ascii="宋体" w:hAnsi="宋体" w:eastAsia="宋体" w:cs="宋体"/>
          <w:bCs/>
          <w:sz w:val="24"/>
          <w:szCs w:val="24"/>
        </w:rPr>
        <w:t>6</w:t>
      </w:r>
      <w:r>
        <w:rPr>
          <w:rFonts w:hint="eastAsia" w:ascii="宋体" w:hAnsi="宋体" w:eastAsia="宋体" w:cs="宋体"/>
          <w:iCs/>
          <w:sz w:val="24"/>
          <w:szCs w:val="24"/>
        </w:rPr>
        <w:t>.</w:t>
      </w:r>
      <w:r>
        <w:rPr>
          <w:rFonts w:hint="eastAsia" w:ascii="宋体" w:hAnsi="宋体" w:eastAsia="宋体" w:cs="宋体"/>
          <w:bCs/>
          <w:sz w:val="24"/>
          <w:szCs w:val="24"/>
        </w:rPr>
        <w:t>论文评阅</w:t>
      </w:r>
      <w:r>
        <w:rPr>
          <w:rFonts w:hint="eastAsia" w:ascii="宋体" w:hAnsi="宋体" w:eastAsia="宋体" w:cs="宋体"/>
          <w:bCs/>
          <w:sz w:val="24"/>
          <w:szCs w:val="24"/>
          <w:lang w:eastAsia="zh-CN"/>
        </w:rPr>
        <w:t>。</w:t>
      </w:r>
      <w:r>
        <w:rPr>
          <w:rFonts w:hint="eastAsia" w:ascii="宋体" w:hAnsi="宋体" w:eastAsia="宋体" w:cs="宋体"/>
          <w:bCs/>
          <w:sz w:val="24"/>
          <w:szCs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71204FD1">
      <w:pPr>
        <w:keepNext w:val="0"/>
        <w:keepLines w:val="0"/>
        <w:pageBreakBefore w:val="0"/>
        <w:widowControl/>
        <w:kinsoku/>
        <w:wordWrap/>
        <w:overflowPunct/>
        <w:topLinePunct w:val="0"/>
        <w:autoSpaceDE/>
        <w:autoSpaceDN/>
        <w:bidi w:val="0"/>
        <w:adjustRightInd/>
        <w:snapToGrid/>
        <w:spacing w:line="360" w:lineRule="auto"/>
        <w:ind w:firstLine="480"/>
        <w:jc w:val="both"/>
        <w:textAlignment w:val="auto"/>
        <w:rPr>
          <w:rFonts w:hint="eastAsia" w:ascii="宋体" w:hAnsi="宋体" w:eastAsia="宋体" w:cs="宋体"/>
          <w:bCs/>
          <w:sz w:val="24"/>
          <w:szCs w:val="24"/>
        </w:rPr>
      </w:pPr>
      <w:r>
        <w:rPr>
          <w:rFonts w:hint="eastAsia" w:ascii="宋体" w:hAnsi="宋体" w:eastAsia="宋体" w:cs="宋体"/>
          <w:b w:val="0"/>
          <w:bCs w:val="0"/>
          <w:color w:val="222222"/>
          <w:kern w:val="0"/>
          <w:sz w:val="24"/>
          <w:szCs w:val="24"/>
        </w:rPr>
        <w:t>7</w:t>
      </w:r>
      <w:r>
        <w:rPr>
          <w:rFonts w:hint="eastAsia" w:ascii="宋体" w:hAnsi="宋体" w:eastAsia="宋体" w:cs="宋体"/>
          <w:b w:val="0"/>
          <w:bCs w:val="0"/>
          <w:iCs/>
          <w:sz w:val="24"/>
          <w:szCs w:val="24"/>
        </w:rPr>
        <w:t>.</w:t>
      </w:r>
      <w:r>
        <w:rPr>
          <w:rFonts w:hint="eastAsia" w:ascii="宋体" w:hAnsi="宋体" w:eastAsia="宋体" w:cs="宋体"/>
          <w:b w:val="0"/>
          <w:bCs w:val="0"/>
          <w:color w:val="222222"/>
          <w:kern w:val="0"/>
          <w:sz w:val="24"/>
          <w:szCs w:val="24"/>
        </w:rPr>
        <w:t>答辩</w:t>
      </w:r>
      <w:r>
        <w:rPr>
          <w:rFonts w:hint="eastAsia" w:ascii="宋体" w:hAnsi="宋体" w:eastAsia="宋体" w:cs="宋体"/>
          <w:b w:val="0"/>
          <w:bCs w:val="0"/>
          <w:color w:val="222222"/>
          <w:kern w:val="0"/>
          <w:sz w:val="24"/>
          <w:szCs w:val="24"/>
          <w:lang w:eastAsia="zh-CN"/>
        </w:rPr>
        <w:t>。</w:t>
      </w:r>
      <w:r>
        <w:rPr>
          <w:rFonts w:hint="eastAsia" w:ascii="宋体" w:hAnsi="宋体" w:eastAsia="宋体" w:cs="宋体"/>
          <w:bCs/>
          <w:color w:val="222222"/>
          <w:kern w:val="0"/>
          <w:sz w:val="24"/>
          <w:szCs w:val="24"/>
        </w:rPr>
        <w:t>学位（毕业）论文答辩按照</w:t>
      </w:r>
      <w:r>
        <w:rPr>
          <w:rFonts w:hint="eastAsia" w:ascii="宋体" w:hAnsi="宋体" w:eastAsia="宋体" w:cs="宋体"/>
          <w:color w:val="222222"/>
          <w:kern w:val="0"/>
          <w:sz w:val="24"/>
          <w:szCs w:val="24"/>
        </w:rPr>
        <w:t>《河北大学博士、硕士学位授予工作实施细则》（校政字〔2025〕7号）执行。</w:t>
      </w:r>
    </w:p>
    <w:p w14:paraId="39A171F8">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黑体" w:hAnsi="黑体" w:eastAsia="黑体" w:cs="黑体"/>
          <w:b/>
          <w:bCs/>
          <w:color w:val="auto"/>
          <w:sz w:val="28"/>
          <w:szCs w:val="28"/>
        </w:rPr>
      </w:pPr>
      <w:r>
        <w:rPr>
          <w:rFonts w:hint="eastAsia" w:ascii="黑体" w:hAnsi="黑体" w:eastAsia="黑体" w:cs="黑体"/>
          <w:b/>
          <w:bCs/>
          <w:color w:val="auto"/>
          <w:sz w:val="28"/>
          <w:szCs w:val="28"/>
          <w:lang w:val="en-US" w:eastAsia="zh-CN"/>
        </w:rPr>
        <w:t>九</w:t>
      </w:r>
      <w:r>
        <w:rPr>
          <w:rFonts w:hint="eastAsia" w:ascii="黑体" w:hAnsi="黑体" w:eastAsia="黑体" w:cs="黑体"/>
          <w:b/>
          <w:bCs/>
          <w:color w:val="auto"/>
          <w:sz w:val="28"/>
          <w:szCs w:val="28"/>
        </w:rPr>
        <w:t>、毕业条件</w:t>
      </w:r>
    </w:p>
    <w:p w14:paraId="4956300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rPr>
      </w:pPr>
      <w:r>
        <w:rPr>
          <w:rFonts w:ascii="宋体" w:hAnsi="宋体"/>
          <w:color w:val="auto"/>
          <w:sz w:val="24"/>
        </w:rPr>
        <w:t>1.</w:t>
      </w:r>
      <w:r>
        <w:rPr>
          <w:rFonts w:hint="eastAsia" w:ascii="宋体" w:hAnsi="宋体"/>
          <w:color w:val="auto"/>
          <w:sz w:val="24"/>
        </w:rPr>
        <w:t xml:space="preserve"> </w:t>
      </w:r>
      <w:r>
        <w:rPr>
          <w:rFonts w:ascii="宋体" w:hAnsi="宋体"/>
          <w:color w:val="auto"/>
          <w:sz w:val="24"/>
        </w:rPr>
        <w:t>课程学习。研究生在规定修业年限内完成培养方案规定的课程学习，考核成绩合格，获得规定的学分。</w:t>
      </w:r>
    </w:p>
    <w:p w14:paraId="699242F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rPr>
      </w:pPr>
      <w:r>
        <w:rPr>
          <w:rFonts w:hint="eastAsia" w:ascii="宋体" w:hAnsi="宋体"/>
          <w:color w:val="auto"/>
          <w:sz w:val="24"/>
        </w:rPr>
        <w:t>2.学术/实践活动。研究生在读期间至少需要完成两类活动中的一类：</w:t>
      </w:r>
    </w:p>
    <w:p w14:paraId="0A4456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olor w:val="auto"/>
          <w:sz w:val="24"/>
        </w:rPr>
      </w:pPr>
      <w:r>
        <w:rPr>
          <w:rFonts w:hint="eastAsia" w:ascii="宋体" w:hAnsi="宋体"/>
          <w:color w:val="auto"/>
          <w:sz w:val="24"/>
        </w:rPr>
        <w:t>（1）学术活动：研究生在读期间参加不少于</w:t>
      </w:r>
      <w:r>
        <w:rPr>
          <w:rFonts w:hint="eastAsia" w:ascii="宋体" w:hAnsi="宋体"/>
          <w:color w:val="auto"/>
          <w:sz w:val="24"/>
          <w:lang w:val="en-US" w:eastAsia="zh-CN"/>
        </w:rPr>
        <w:t>6</w:t>
      </w:r>
      <w:r>
        <w:rPr>
          <w:rFonts w:hint="eastAsia" w:ascii="宋体" w:hAnsi="宋体"/>
          <w:color w:val="auto"/>
          <w:sz w:val="24"/>
        </w:rPr>
        <w:t>次学术活动，并撰写学术报告小结；以主讲人或宣讲人身份，参加在校内外举行的学术报告或学术讲座不少于1次。</w:t>
      </w:r>
    </w:p>
    <w:p w14:paraId="73DD5703">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olor w:val="auto"/>
          <w:sz w:val="24"/>
        </w:rPr>
      </w:pPr>
      <w:r>
        <w:rPr>
          <w:rFonts w:hint="eastAsia" w:ascii="宋体" w:hAnsi="宋体"/>
          <w:color w:val="auto"/>
          <w:sz w:val="24"/>
        </w:rPr>
        <w:t>（2）实践活动：参与本专业相关的社会实践，由相关单位出具相关实践证明材料；或组织开展与本专业相关的调查、考察等活动，并提交相关报告。</w:t>
      </w:r>
    </w:p>
    <w:p w14:paraId="3CA6B95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olor w:val="auto"/>
          <w:sz w:val="24"/>
        </w:rPr>
      </w:pPr>
      <w:r>
        <w:rPr>
          <w:rFonts w:hint="eastAsia" w:ascii="宋体" w:hAnsi="宋体"/>
          <w:color w:val="auto"/>
          <w:sz w:val="24"/>
        </w:rPr>
        <w:t>3.符合提前毕业条件的研究生，可按照学校相关规定申请提前毕业。</w:t>
      </w:r>
    </w:p>
    <w:p w14:paraId="7406CEF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olor w:val="auto"/>
          <w:sz w:val="24"/>
        </w:rPr>
      </w:pPr>
      <w:r>
        <w:rPr>
          <w:rFonts w:hint="eastAsia" w:ascii="宋体" w:hAnsi="宋体"/>
          <w:color w:val="auto"/>
          <w:sz w:val="24"/>
        </w:rPr>
        <w:t>4.论文答辩。学位（毕业）论文经专家评审合格、通过学位（毕业）答辩，符合毕业资格审查后，准予毕业。</w:t>
      </w:r>
    </w:p>
    <w:p w14:paraId="1FBD3F16">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jc w:val="both"/>
        <w:textAlignment w:val="auto"/>
        <w:rPr>
          <w:rFonts w:eastAsia="黑体"/>
          <w:b/>
          <w:bCs w:val="0"/>
          <w:sz w:val="28"/>
          <w:szCs w:val="28"/>
        </w:rPr>
      </w:pPr>
      <w:r>
        <w:rPr>
          <w:rFonts w:hint="eastAsia" w:eastAsia="黑体"/>
          <w:b/>
          <w:bCs w:val="0"/>
          <w:sz w:val="28"/>
          <w:szCs w:val="28"/>
        </w:rPr>
        <w:t>十</w:t>
      </w:r>
      <w:r>
        <w:rPr>
          <w:rFonts w:eastAsia="黑体"/>
          <w:b/>
          <w:bCs w:val="0"/>
          <w:sz w:val="28"/>
          <w:szCs w:val="28"/>
        </w:rPr>
        <w:t>、创新性成果</w:t>
      </w:r>
    </w:p>
    <w:p w14:paraId="794A01F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bCs/>
          <w:kern w:val="0"/>
          <w:sz w:val="24"/>
        </w:rPr>
      </w:pPr>
      <w:r>
        <w:rPr>
          <w:rFonts w:hint="eastAsia"/>
          <w:bCs/>
          <w:kern w:val="0"/>
          <w:sz w:val="24"/>
        </w:rPr>
        <w:t>为体现创新性成果的多元化，要求</w:t>
      </w:r>
      <w:r>
        <w:rPr>
          <w:rFonts w:hint="eastAsia"/>
          <w:bCs/>
          <w:kern w:val="0"/>
          <w:sz w:val="24"/>
          <w:lang w:val="en-US" w:eastAsia="zh-CN"/>
        </w:rPr>
        <w:t>审计</w:t>
      </w:r>
      <w:r>
        <w:rPr>
          <w:rFonts w:hint="eastAsia"/>
          <w:bCs/>
          <w:kern w:val="0"/>
          <w:sz w:val="24"/>
        </w:rPr>
        <w:t>专业的硕士研究生至少完成以下成果中的一项：</w:t>
      </w:r>
    </w:p>
    <w:p w14:paraId="5B1A5C0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bCs/>
          <w:kern w:val="0"/>
          <w:sz w:val="24"/>
        </w:rPr>
      </w:pPr>
      <w:r>
        <w:rPr>
          <w:rFonts w:hint="eastAsia"/>
          <w:bCs/>
          <w:kern w:val="0"/>
          <w:sz w:val="24"/>
        </w:rPr>
        <w:t>1</w:t>
      </w:r>
      <w:r>
        <w:rPr>
          <w:rFonts w:asciiTheme="minorEastAsia" w:hAnsiTheme="minorEastAsia" w:eastAsiaTheme="minorEastAsia"/>
          <w:b w:val="0"/>
          <w:bCs w:val="0"/>
          <w:iCs/>
          <w:sz w:val="24"/>
        </w:rPr>
        <w:t>.</w:t>
      </w:r>
      <w:r>
        <w:rPr>
          <w:rFonts w:hint="eastAsia"/>
          <w:bCs/>
          <w:kern w:val="0"/>
          <w:sz w:val="24"/>
        </w:rPr>
        <w:t>在核心期刊发表论文1篇及以上，或在省级期刊发表论文2篇及以上；或在全国性学术会议或省级学会、学术组织的学术会议上</w:t>
      </w:r>
      <w:r>
        <w:rPr>
          <w:rFonts w:hint="eastAsia"/>
          <w:bCs/>
          <w:kern w:val="0"/>
          <w:sz w:val="24"/>
          <w:lang w:eastAsia="zh-CN"/>
        </w:rPr>
        <w:t>（</w:t>
      </w:r>
      <w:r>
        <w:rPr>
          <w:rFonts w:hint="eastAsia"/>
          <w:bCs/>
          <w:kern w:val="0"/>
          <w:sz w:val="24"/>
        </w:rPr>
        <w:t>含征文活动</w:t>
      </w:r>
      <w:r>
        <w:rPr>
          <w:rFonts w:hint="eastAsia"/>
          <w:bCs/>
          <w:kern w:val="0"/>
          <w:sz w:val="24"/>
          <w:lang w:eastAsia="zh-CN"/>
        </w:rPr>
        <w:t>）</w:t>
      </w:r>
      <w:r>
        <w:rPr>
          <w:rFonts w:hint="eastAsia"/>
          <w:bCs/>
          <w:kern w:val="0"/>
          <w:sz w:val="24"/>
        </w:rPr>
        <w:t>入选论文。以上论文要求研究生为第一作者；或导师第一作者，研究生第二、第三作者；</w:t>
      </w:r>
    </w:p>
    <w:p w14:paraId="6C31A92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eastAsiaTheme="minorEastAsia"/>
          <w:bCs/>
          <w:kern w:val="0"/>
          <w:sz w:val="24"/>
          <w:lang w:val="en-US" w:eastAsia="zh-CN"/>
        </w:rPr>
      </w:pPr>
      <w:r>
        <w:rPr>
          <w:rFonts w:hint="eastAsia"/>
          <w:bCs/>
          <w:kern w:val="0"/>
          <w:sz w:val="24"/>
        </w:rPr>
        <w:t>2</w:t>
      </w:r>
      <w:r>
        <w:rPr>
          <w:rFonts w:asciiTheme="minorEastAsia" w:hAnsiTheme="minorEastAsia" w:eastAsiaTheme="minorEastAsia"/>
          <w:b w:val="0"/>
          <w:bCs w:val="0"/>
          <w:iCs/>
          <w:sz w:val="24"/>
        </w:rPr>
        <w:t>.</w:t>
      </w:r>
      <w:r>
        <w:rPr>
          <w:rFonts w:hint="eastAsia"/>
          <w:bCs/>
          <w:kern w:val="0"/>
          <w:sz w:val="24"/>
        </w:rPr>
        <w:t>参加著作或教材编写前五名或字数2万字以上；</w:t>
      </w:r>
    </w:p>
    <w:p w14:paraId="017DABC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bCs/>
          <w:kern w:val="0"/>
          <w:sz w:val="24"/>
        </w:rPr>
      </w:pPr>
      <w:r>
        <w:rPr>
          <w:rFonts w:hint="eastAsia" w:eastAsiaTheme="minorEastAsia"/>
          <w:bCs/>
          <w:kern w:val="0"/>
          <w:sz w:val="24"/>
          <w:lang w:val="en-US" w:eastAsia="zh-CN"/>
        </w:rPr>
        <w:t>3</w:t>
      </w:r>
      <w:r>
        <w:rPr>
          <w:rFonts w:asciiTheme="minorEastAsia" w:hAnsiTheme="minorEastAsia" w:eastAsiaTheme="minorEastAsia"/>
          <w:b w:val="0"/>
          <w:bCs w:val="0"/>
          <w:iCs/>
          <w:sz w:val="24"/>
        </w:rPr>
        <w:t>.</w:t>
      </w:r>
      <w:r>
        <w:rPr>
          <w:rFonts w:hint="eastAsia"/>
          <w:bCs/>
          <w:kern w:val="0"/>
          <w:sz w:val="24"/>
        </w:rPr>
        <w:t>主持或参与厅级科研</w:t>
      </w:r>
      <w:r>
        <w:rPr>
          <w:rFonts w:hint="eastAsia"/>
          <w:bCs/>
          <w:kern w:val="0"/>
          <w:sz w:val="24"/>
          <w:lang w:eastAsia="zh-CN"/>
        </w:rPr>
        <w:t>、</w:t>
      </w:r>
      <w:r>
        <w:rPr>
          <w:rFonts w:hint="eastAsia"/>
          <w:bCs/>
          <w:kern w:val="0"/>
          <w:sz w:val="24"/>
        </w:rPr>
        <w:t>教学研究项目1项并结项，排名前三名；或参与省级、教育部项目立项，排名前五名；或参与国家级项目立项，排名前七名；</w:t>
      </w:r>
    </w:p>
    <w:p w14:paraId="794AC5B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Cs/>
          <w:kern w:val="0"/>
          <w:sz w:val="24"/>
        </w:rPr>
      </w:pPr>
      <w:r>
        <w:rPr>
          <w:rFonts w:hint="eastAsia"/>
          <w:bCs/>
          <w:kern w:val="0"/>
          <w:sz w:val="24"/>
          <w:lang w:val="en-US" w:eastAsia="zh-CN"/>
        </w:rPr>
        <w:t>4.</w:t>
      </w:r>
      <w:r>
        <w:rPr>
          <w:rFonts w:hint="eastAsia"/>
          <w:bCs/>
          <w:kern w:val="0"/>
          <w:sz w:val="24"/>
        </w:rPr>
        <w:t>完</w:t>
      </w:r>
      <w:r>
        <w:rPr>
          <w:rFonts w:hint="eastAsia" w:ascii="宋体" w:hAnsi="宋体" w:eastAsia="宋体" w:cs="宋体"/>
          <w:bCs/>
          <w:kern w:val="0"/>
          <w:sz w:val="24"/>
        </w:rPr>
        <w:t>成校级及以上研究生创新资助项目并结项</w:t>
      </w:r>
      <w:r>
        <w:rPr>
          <w:rFonts w:hint="eastAsia" w:ascii="宋体" w:hAnsi="宋体" w:eastAsia="宋体" w:cs="宋体"/>
          <w:bCs/>
          <w:kern w:val="0"/>
          <w:sz w:val="24"/>
          <w:lang w:eastAsia="zh-CN"/>
        </w:rPr>
        <w:t>（</w:t>
      </w:r>
      <w:r>
        <w:rPr>
          <w:rFonts w:hint="eastAsia" w:ascii="宋体" w:hAnsi="宋体" w:eastAsia="宋体" w:cs="宋体"/>
          <w:bCs/>
          <w:kern w:val="0"/>
          <w:sz w:val="24"/>
        </w:rPr>
        <w:t>国家级前三名、省级前两名、校级第一名</w:t>
      </w:r>
      <w:r>
        <w:rPr>
          <w:rFonts w:hint="eastAsia" w:ascii="宋体" w:hAnsi="宋体" w:eastAsia="宋体" w:cs="宋体"/>
          <w:bCs/>
          <w:kern w:val="0"/>
          <w:sz w:val="24"/>
          <w:lang w:eastAsia="zh-CN"/>
        </w:rPr>
        <w:t>）</w:t>
      </w:r>
      <w:r>
        <w:rPr>
          <w:rFonts w:hint="eastAsia" w:ascii="宋体" w:hAnsi="宋体" w:eastAsia="宋体" w:cs="宋体"/>
          <w:bCs/>
          <w:kern w:val="0"/>
          <w:sz w:val="24"/>
        </w:rPr>
        <w:t>；</w:t>
      </w:r>
    </w:p>
    <w:p w14:paraId="6C1A6E5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bCs/>
          <w:kern w:val="0"/>
          <w:sz w:val="24"/>
        </w:rPr>
      </w:pPr>
      <w:r>
        <w:rPr>
          <w:rFonts w:hint="eastAsia" w:ascii="宋体" w:hAnsi="宋体" w:cs="宋体"/>
          <w:b w:val="0"/>
          <w:bCs w:val="0"/>
          <w:iCs/>
          <w:sz w:val="24"/>
          <w:lang w:val="en-US" w:eastAsia="zh-CN"/>
        </w:rPr>
        <w:t>5</w:t>
      </w:r>
      <w:r>
        <w:rPr>
          <w:rFonts w:hint="eastAsia" w:ascii="宋体" w:hAnsi="宋体" w:eastAsia="宋体" w:cs="宋体"/>
          <w:b w:val="0"/>
          <w:bCs w:val="0"/>
          <w:iCs/>
          <w:sz w:val="24"/>
        </w:rPr>
        <w:t>.</w:t>
      </w:r>
      <w:r>
        <w:rPr>
          <w:rFonts w:hint="eastAsia" w:ascii="宋体" w:hAnsi="宋体" w:eastAsia="宋体" w:cs="宋体"/>
          <w:b w:val="0"/>
          <w:bCs w:val="0"/>
          <w:iCs/>
          <w:sz w:val="24"/>
          <w:lang w:val="en-US" w:eastAsia="zh-CN"/>
        </w:rPr>
        <w:t>参加</w:t>
      </w:r>
      <w:r>
        <w:rPr>
          <w:rFonts w:hint="eastAsia" w:ascii="宋体" w:hAnsi="宋体" w:cs="宋体"/>
          <w:b w:val="0"/>
          <w:bCs w:val="0"/>
          <w:iCs/>
          <w:sz w:val="24"/>
          <w:lang w:val="en-US" w:eastAsia="zh-CN"/>
        </w:rPr>
        <w:t>导师组认可的各类</w:t>
      </w:r>
      <w:r>
        <w:rPr>
          <w:rFonts w:hint="eastAsia" w:ascii="宋体" w:hAnsi="宋体" w:eastAsia="宋体" w:cs="宋体"/>
          <w:b w:val="0"/>
          <w:bCs w:val="0"/>
          <w:iCs/>
          <w:sz w:val="24"/>
          <w:lang w:val="en-US" w:eastAsia="zh-CN"/>
        </w:rPr>
        <w:t>案例比赛</w:t>
      </w:r>
      <w:r>
        <w:rPr>
          <w:rFonts w:hint="eastAsia" w:ascii="宋体" w:hAnsi="宋体" w:eastAsia="宋体" w:cs="宋体"/>
          <w:bCs/>
          <w:kern w:val="0"/>
          <w:sz w:val="24"/>
        </w:rPr>
        <w:t>进入</w:t>
      </w:r>
      <w:r>
        <w:rPr>
          <w:rFonts w:hint="eastAsia" w:ascii="宋体" w:hAnsi="宋体" w:cs="宋体"/>
          <w:bCs/>
          <w:kern w:val="0"/>
          <w:sz w:val="24"/>
          <w:lang w:val="en-US" w:eastAsia="zh-CN"/>
        </w:rPr>
        <w:t>复赛或</w:t>
      </w:r>
      <w:r>
        <w:rPr>
          <w:rFonts w:hint="eastAsia" w:ascii="宋体" w:hAnsi="宋体" w:eastAsia="宋体" w:cs="宋体"/>
          <w:bCs/>
          <w:kern w:val="0"/>
          <w:sz w:val="24"/>
        </w:rPr>
        <w:t>决赛前五名；</w:t>
      </w:r>
    </w:p>
    <w:p w14:paraId="1BF2424A">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eastAsia="宋体"/>
          <w:bCs/>
          <w:kern w:val="0"/>
          <w:sz w:val="24"/>
          <w:lang w:eastAsia="zh-CN"/>
        </w:rPr>
      </w:pPr>
      <w:r>
        <w:rPr>
          <w:rFonts w:hint="eastAsia" w:ascii="宋体" w:hAnsi="宋体" w:cs="宋体"/>
          <w:b w:val="0"/>
          <w:bCs w:val="0"/>
          <w:iCs/>
          <w:sz w:val="24"/>
          <w:lang w:val="en-US" w:eastAsia="zh-CN"/>
        </w:rPr>
        <w:t>6</w:t>
      </w:r>
      <w:r>
        <w:rPr>
          <w:rFonts w:hint="eastAsia" w:ascii="宋体" w:hAnsi="宋体" w:eastAsia="宋体" w:cs="宋体"/>
          <w:b w:val="0"/>
          <w:bCs w:val="0"/>
          <w:iCs/>
          <w:sz w:val="24"/>
        </w:rPr>
        <w:t>.</w:t>
      </w:r>
      <w:r>
        <w:rPr>
          <w:rFonts w:hint="eastAsia" w:ascii="宋体" w:hAnsi="宋体" w:eastAsia="宋体" w:cs="宋体"/>
          <w:bCs/>
          <w:kern w:val="0"/>
          <w:sz w:val="24"/>
        </w:rPr>
        <w:t>作为项目主</w:t>
      </w:r>
      <w:r>
        <w:rPr>
          <w:rFonts w:hint="eastAsia"/>
          <w:bCs/>
          <w:kern w:val="0"/>
          <w:sz w:val="24"/>
        </w:rPr>
        <w:t>要成员在学校认可的互联网+、挑战杯、调研河北等高水平大赛中获得校级三等奖及以上奖励，以获奖证书或者结题文件为准</w:t>
      </w:r>
      <w:r>
        <w:rPr>
          <w:rFonts w:hint="eastAsia"/>
          <w:bCs/>
          <w:kern w:val="0"/>
          <w:sz w:val="24"/>
          <w:lang w:eastAsia="zh-CN"/>
        </w:rPr>
        <w:t>；</w:t>
      </w:r>
    </w:p>
    <w:p w14:paraId="226E998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eastAsia="宋体"/>
          <w:bCs/>
          <w:kern w:val="0"/>
          <w:sz w:val="24"/>
          <w:lang w:eastAsia="zh-CN"/>
        </w:rPr>
      </w:pPr>
      <w:r>
        <w:rPr>
          <w:rFonts w:hint="eastAsia" w:eastAsiaTheme="minorEastAsia"/>
          <w:bCs/>
          <w:kern w:val="0"/>
          <w:sz w:val="24"/>
          <w:lang w:val="en-US" w:eastAsia="zh-CN"/>
        </w:rPr>
        <w:t>7</w:t>
      </w:r>
      <w:r>
        <w:rPr>
          <w:rFonts w:asciiTheme="minorEastAsia" w:hAnsiTheme="minorEastAsia" w:eastAsiaTheme="minorEastAsia"/>
          <w:b w:val="0"/>
          <w:bCs w:val="0"/>
          <w:iCs/>
          <w:sz w:val="24"/>
        </w:rPr>
        <w:t>.</w:t>
      </w:r>
      <w:r>
        <w:rPr>
          <w:rFonts w:hint="eastAsia"/>
          <w:bCs/>
          <w:kern w:val="0"/>
          <w:sz w:val="24"/>
        </w:rPr>
        <w:t>通过CPA考试专业阶段两科及以上</w:t>
      </w:r>
      <w:r>
        <w:rPr>
          <w:rFonts w:hint="eastAsia"/>
          <w:bCs/>
          <w:kern w:val="0"/>
          <w:sz w:val="24"/>
          <w:lang w:eastAsia="zh-CN"/>
        </w:rPr>
        <w:t>；</w:t>
      </w:r>
    </w:p>
    <w:p w14:paraId="3561BBA2">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ascii="宋体" w:hAnsi="宋体" w:cs="宋体"/>
          <w:bCs/>
          <w:color w:val="auto"/>
          <w:sz w:val="24"/>
        </w:rPr>
      </w:pPr>
      <w:r>
        <w:rPr>
          <w:rFonts w:hint="eastAsia" w:eastAsiaTheme="minorEastAsia"/>
          <w:bCs/>
          <w:kern w:val="0"/>
          <w:sz w:val="24"/>
          <w:lang w:val="en-US" w:eastAsia="zh-CN"/>
        </w:rPr>
        <w:t>8</w:t>
      </w:r>
      <w:r>
        <w:rPr>
          <w:rFonts w:asciiTheme="minorEastAsia" w:hAnsiTheme="minorEastAsia" w:eastAsiaTheme="minorEastAsia"/>
          <w:b w:val="0"/>
          <w:bCs w:val="0"/>
          <w:iCs/>
          <w:sz w:val="24"/>
        </w:rPr>
        <w:t>.</w:t>
      </w:r>
      <w:r>
        <w:rPr>
          <w:rFonts w:hint="eastAsia"/>
          <w:bCs/>
          <w:kern w:val="0"/>
          <w:sz w:val="24"/>
        </w:rPr>
        <w:t>参与本学科案例库建设取得相关成果，或调研和撰写等相关任务经导师书面认可。</w:t>
      </w:r>
      <w:r>
        <w:rPr>
          <w:rFonts w:hint="eastAsia" w:ascii="宋体" w:hAnsi="宋体"/>
          <w:color w:val="auto"/>
          <w:sz w:val="28"/>
          <w:szCs w:val="28"/>
        </w:rPr>
        <w:t xml:space="preserve"> </w:t>
      </w:r>
      <w:r>
        <w:rPr>
          <w:rFonts w:hint="eastAsia"/>
          <w:b/>
          <w:bCs/>
          <w:color w:val="auto"/>
          <w:sz w:val="28"/>
          <w:szCs w:val="28"/>
        </w:rPr>
        <w:t xml:space="preserve"> </w:t>
      </w:r>
    </w:p>
    <w:p w14:paraId="7184E448">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rFonts w:eastAsia="黑体"/>
          <w:b/>
          <w:bCs w:val="0"/>
          <w:sz w:val="28"/>
          <w:szCs w:val="28"/>
        </w:rPr>
      </w:pPr>
      <w:r>
        <w:rPr>
          <w:rFonts w:eastAsia="黑体"/>
          <w:b/>
          <w:bCs w:val="0"/>
          <w:sz w:val="28"/>
          <w:szCs w:val="28"/>
        </w:rPr>
        <w:t>十一、学位授予</w:t>
      </w:r>
    </w:p>
    <w:p w14:paraId="4A6CF358">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
          <w:bCs/>
          <w:color w:val="auto"/>
          <w:sz w:val="24"/>
          <w:szCs w:val="24"/>
        </w:rPr>
      </w:pPr>
      <w:r>
        <w:rPr>
          <w:rFonts w:hint="eastAsia" w:ascii="宋体" w:hAnsi="宋体" w:eastAsia="宋体" w:cs="宋体"/>
          <w:bCs/>
          <w:color w:val="000000" w:themeColor="text1"/>
          <w:sz w:val="24"/>
          <w:szCs w:val="24"/>
          <w14:textFill>
            <w14:solidFill>
              <w14:schemeClr w14:val="tx1"/>
            </w14:solidFill>
          </w14:textFill>
        </w:rPr>
        <w:t>研究生通过毕业资格审查，</w:t>
      </w:r>
      <w:r>
        <w:rPr>
          <w:rFonts w:hint="eastAsia" w:ascii="宋体" w:hAnsi="宋体" w:eastAsia="宋体" w:cs="宋体"/>
          <w:color w:val="222222"/>
          <w:kern w:val="0"/>
          <w:sz w:val="24"/>
          <w:szCs w:val="24"/>
        </w:rPr>
        <w:t>满足</w:t>
      </w:r>
      <w:r>
        <w:rPr>
          <w:rFonts w:hint="eastAsia" w:ascii="宋体" w:hAnsi="宋体" w:cs="宋体"/>
          <w:color w:val="222222"/>
          <w:kern w:val="0"/>
          <w:sz w:val="24"/>
          <w:szCs w:val="24"/>
          <w:lang w:val="en-US" w:eastAsia="zh-CN"/>
        </w:rPr>
        <w:t>管理学院会计系</w:t>
      </w:r>
      <w:r>
        <w:rPr>
          <w:rFonts w:hint="eastAsia" w:ascii="宋体" w:hAnsi="宋体" w:eastAsia="宋体" w:cs="宋体"/>
          <w:color w:val="222222"/>
          <w:kern w:val="0"/>
          <w:sz w:val="24"/>
          <w:szCs w:val="24"/>
        </w:rPr>
        <w:t>制定的创新性成果要求，</w:t>
      </w:r>
      <w:r>
        <w:rPr>
          <w:rFonts w:hint="eastAsia" w:ascii="宋体" w:hAnsi="宋体" w:eastAsia="宋体" w:cs="宋体"/>
          <w:bCs/>
          <w:sz w:val="24"/>
          <w:szCs w:val="24"/>
        </w:rPr>
        <w:t>符合</w:t>
      </w:r>
      <w:r>
        <w:rPr>
          <w:rFonts w:hint="eastAsia" w:ascii="宋体" w:hAnsi="宋体" w:eastAsia="宋体" w:cs="宋体"/>
          <w:color w:val="222222"/>
          <w:kern w:val="0"/>
          <w:sz w:val="24"/>
          <w:szCs w:val="24"/>
        </w:rPr>
        <w:t>《河北大学博士、硕士学位授予工作实施细则》（校政字〔2025〕7号）</w:t>
      </w:r>
      <w:r>
        <w:rPr>
          <w:rFonts w:hint="eastAsia" w:ascii="宋体" w:hAnsi="宋体" w:eastAsia="宋体" w:cs="宋体"/>
          <w:bCs/>
          <w:sz w:val="24"/>
          <w:szCs w:val="24"/>
        </w:rPr>
        <w:t>的有关规定，达到学校学位授予标准，经学校学位评定委员会审议，授予硕士学位。</w:t>
      </w:r>
    </w:p>
    <w:p w14:paraId="5DC9D068">
      <w:pPr>
        <w:keepNext w:val="0"/>
        <w:keepLines w:val="0"/>
        <w:pageBreakBefore w:val="0"/>
        <w:widowControl w:val="0"/>
        <w:kinsoku/>
        <w:wordWrap/>
        <w:overflowPunct/>
        <w:topLinePunct w:val="0"/>
        <w:autoSpaceDE/>
        <w:autoSpaceDN/>
        <w:bidi w:val="0"/>
        <w:adjustRightInd w:val="0"/>
        <w:snapToGrid w:val="0"/>
        <w:spacing w:line="360" w:lineRule="auto"/>
        <w:ind w:firstLine="562" w:firstLineChars="200"/>
        <w:textAlignment w:val="auto"/>
        <w:rPr>
          <w:b/>
          <w:bCs/>
          <w:color w:val="auto"/>
          <w:sz w:val="28"/>
          <w:szCs w:val="28"/>
        </w:rPr>
      </w:pPr>
      <w:r>
        <w:rPr>
          <w:rFonts w:hint="eastAsia" w:ascii="黑体" w:hAnsi="黑体" w:eastAsia="黑体" w:cs="黑体"/>
          <w:b/>
          <w:bCs/>
          <w:color w:val="auto"/>
          <w:sz w:val="28"/>
          <w:szCs w:val="28"/>
        </w:rPr>
        <w:t>十</w:t>
      </w:r>
      <w:r>
        <w:rPr>
          <w:rFonts w:hint="eastAsia" w:ascii="黑体" w:hAnsi="黑体" w:eastAsia="黑体" w:cs="黑体"/>
          <w:b/>
          <w:bCs/>
          <w:color w:val="auto"/>
          <w:sz w:val="28"/>
          <w:szCs w:val="28"/>
          <w:lang w:val="en-US" w:eastAsia="zh-CN"/>
        </w:rPr>
        <w:t>二</w:t>
      </w:r>
      <w:r>
        <w:rPr>
          <w:rFonts w:hint="eastAsia" w:ascii="黑体" w:hAnsi="黑体" w:eastAsia="黑体" w:cs="黑体"/>
          <w:b/>
          <w:bCs/>
          <w:color w:val="auto"/>
          <w:sz w:val="28"/>
          <w:szCs w:val="28"/>
        </w:rPr>
        <w:t>、学分及课程设置</w:t>
      </w:r>
    </w:p>
    <w:p w14:paraId="36B4BA0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jc w:val="both"/>
        <w:textAlignment w:val="auto"/>
        <w:rPr>
          <w:rFonts w:hint="eastAsia" w:ascii="宋体" w:hAnsi="宋体" w:eastAsia="宋体" w:cs="宋体"/>
          <w:color w:val="auto"/>
          <w:sz w:val="24"/>
        </w:rPr>
      </w:pPr>
      <w:r>
        <w:rPr>
          <w:rFonts w:hint="eastAsia" w:ascii="宋体" w:hAnsi="宋体" w:eastAsia="宋体" w:cs="宋体"/>
          <w:sz w:val="24"/>
        </w:rPr>
        <w:t>本学位类别最低修读</w:t>
      </w:r>
      <w:r>
        <w:rPr>
          <w:rFonts w:hint="eastAsia" w:ascii="宋体" w:hAnsi="宋体" w:eastAsia="宋体" w:cs="宋体"/>
          <w:color w:val="auto"/>
          <w:sz w:val="24"/>
        </w:rPr>
        <w:t>学分为</w:t>
      </w:r>
      <w:r>
        <w:rPr>
          <w:rFonts w:hint="eastAsia" w:ascii="宋体" w:hAnsi="宋体" w:cs="宋体"/>
          <w:color w:val="auto"/>
          <w:sz w:val="24"/>
          <w:lang w:val="en-US" w:eastAsia="zh-CN"/>
        </w:rPr>
        <w:t>30</w:t>
      </w:r>
      <w:r>
        <w:rPr>
          <w:rFonts w:hint="eastAsia" w:ascii="宋体" w:hAnsi="宋体" w:eastAsia="宋体" w:cs="宋体"/>
          <w:color w:val="auto"/>
          <w:sz w:val="24"/>
        </w:rPr>
        <w:t>分，其中学位课</w:t>
      </w:r>
      <w:r>
        <w:rPr>
          <w:rFonts w:hint="eastAsia" w:ascii="宋体" w:hAnsi="宋体" w:cs="宋体"/>
          <w:color w:val="auto"/>
          <w:sz w:val="24"/>
          <w:lang w:val="en-US" w:eastAsia="zh-CN"/>
        </w:rPr>
        <w:t>15</w:t>
      </w:r>
      <w:r>
        <w:rPr>
          <w:rFonts w:hint="eastAsia" w:ascii="宋体" w:hAnsi="宋体" w:eastAsia="宋体" w:cs="宋体"/>
          <w:color w:val="auto"/>
          <w:sz w:val="24"/>
        </w:rPr>
        <w:t>学分，非学位课</w:t>
      </w:r>
      <w:r>
        <w:rPr>
          <w:rFonts w:hint="eastAsia" w:ascii="宋体" w:hAnsi="宋体" w:cs="宋体"/>
          <w:color w:val="auto"/>
          <w:sz w:val="24"/>
          <w:lang w:val="en-US" w:eastAsia="zh-CN"/>
        </w:rPr>
        <w:t>8</w:t>
      </w:r>
      <w:r>
        <w:rPr>
          <w:rFonts w:hint="eastAsia" w:ascii="宋体" w:hAnsi="宋体" w:eastAsia="宋体" w:cs="宋体"/>
          <w:color w:val="auto"/>
          <w:sz w:val="24"/>
        </w:rPr>
        <w:t>学分，</w:t>
      </w:r>
      <w:r>
        <w:rPr>
          <w:rFonts w:hint="eastAsia" w:ascii="宋体" w:hAnsi="宋体" w:eastAsia="宋体" w:cs="宋体"/>
          <w:color w:val="auto"/>
          <w:sz w:val="24"/>
          <w:lang w:val="en-US" w:eastAsia="zh-CN"/>
        </w:rPr>
        <w:t>必修</w:t>
      </w:r>
      <w:r>
        <w:rPr>
          <w:rFonts w:hint="eastAsia" w:ascii="宋体" w:hAnsi="宋体" w:eastAsia="宋体" w:cs="宋体"/>
          <w:color w:val="auto"/>
          <w:sz w:val="24"/>
        </w:rPr>
        <w:t>环节7学分。</w:t>
      </w:r>
    </w:p>
    <w:p w14:paraId="7B43AE8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color w:val="auto"/>
          <w:sz w:val="24"/>
        </w:rPr>
      </w:pPr>
      <w:r>
        <w:rPr>
          <w:rFonts w:hint="eastAsia" w:ascii="宋体" w:hAnsi="宋体" w:cs="宋体"/>
          <w:color w:val="auto"/>
          <w:sz w:val="24"/>
        </w:rPr>
        <w:t>研究生课程考试不设补考环节，</w:t>
      </w:r>
      <w:r>
        <w:rPr>
          <w:rFonts w:ascii="宋体" w:hAnsi="宋体" w:cs="宋体"/>
          <w:color w:val="auto"/>
          <w:sz w:val="24"/>
        </w:rPr>
        <w:t>考试成绩</w:t>
      </w:r>
      <w:r>
        <w:rPr>
          <w:rFonts w:hint="eastAsia" w:ascii="宋体" w:hAnsi="宋体" w:cs="宋体"/>
          <w:color w:val="auto"/>
          <w:sz w:val="24"/>
        </w:rPr>
        <w:t>低于60分的需重修。</w:t>
      </w:r>
    </w:p>
    <w:p w14:paraId="75B1D57F">
      <w:pPr>
        <w:adjustRightInd w:val="0"/>
        <w:snapToGrid w:val="0"/>
        <w:spacing w:line="360" w:lineRule="auto"/>
        <w:ind w:firstLine="480" w:firstLineChars="200"/>
        <w:rPr>
          <w:rFonts w:ascii="宋体" w:hAnsi="宋体" w:cs="宋体"/>
          <w:bCs/>
          <w:color w:val="auto"/>
          <w:sz w:val="24"/>
        </w:rPr>
      </w:pPr>
      <w:r>
        <w:rPr>
          <w:rFonts w:hint="eastAsia" w:ascii="宋体" w:hAnsi="宋体" w:cs="宋体"/>
          <w:color w:val="auto"/>
          <w:sz w:val="24"/>
        </w:rPr>
        <w:t>课程考核方式包括考试和考查，</w:t>
      </w:r>
      <w:r>
        <w:rPr>
          <w:rFonts w:ascii="宋体" w:hAnsi="宋体" w:cs="宋体"/>
          <w:color w:val="auto"/>
          <w:sz w:val="24"/>
        </w:rPr>
        <w:t>可以采用口试、笔试或写读书报告、论文的形式，但应有—定数量的笔试（</w:t>
      </w:r>
      <w:r>
        <w:rPr>
          <w:rFonts w:hint="eastAsia" w:ascii="宋体" w:hAnsi="宋体" w:cs="宋体"/>
          <w:color w:val="auto"/>
          <w:sz w:val="24"/>
        </w:rPr>
        <w:t>本专业学位专业必修课笔试科目不少于4门</w:t>
      </w:r>
      <w:r>
        <w:rPr>
          <w:rFonts w:ascii="宋体" w:hAnsi="宋体" w:cs="宋体"/>
          <w:color w:val="auto"/>
          <w:sz w:val="24"/>
        </w:rPr>
        <w:t>）。无论采取何种</w:t>
      </w:r>
      <w:r>
        <w:rPr>
          <w:rFonts w:hint="eastAsia" w:ascii="宋体" w:hAnsi="宋体" w:cs="宋体"/>
          <w:color w:val="auto"/>
          <w:sz w:val="24"/>
        </w:rPr>
        <w:t>考核</w:t>
      </w:r>
      <w:r>
        <w:rPr>
          <w:rFonts w:ascii="宋体" w:hAnsi="宋体" w:cs="宋体"/>
          <w:color w:val="auto"/>
          <w:sz w:val="24"/>
        </w:rPr>
        <w:t>方式，均应能真实反映学生对所学课程掌握的程度及运用知识的能力，成绩均按百分制成绩评定。</w:t>
      </w:r>
    </w:p>
    <w:p w14:paraId="7AEBAE4E">
      <w:pPr>
        <w:adjustRightInd w:val="0"/>
        <w:snapToGrid w:val="0"/>
        <w:spacing w:line="300" w:lineRule="auto"/>
        <w:jc w:val="center"/>
        <w:rPr>
          <w:rFonts w:ascii="宋体" w:hAnsi="宋体"/>
          <w:b/>
          <w:bCs/>
          <w:color w:val="auto"/>
          <w:sz w:val="24"/>
        </w:rPr>
      </w:pPr>
      <w:r>
        <w:rPr>
          <w:rFonts w:ascii="宋体" w:hAnsi="宋体"/>
          <w:b/>
          <w:bCs/>
          <w:color w:val="auto"/>
          <w:sz w:val="24"/>
        </w:rPr>
        <w:t>审计</w:t>
      </w:r>
      <w:r>
        <w:rPr>
          <w:rFonts w:hint="eastAsia" w:ascii="宋体" w:hAnsi="宋体"/>
          <w:b/>
          <w:bCs/>
          <w:color w:val="auto"/>
          <w:sz w:val="24"/>
        </w:rPr>
        <w:t>专业</w:t>
      </w:r>
      <w:r>
        <w:rPr>
          <w:rFonts w:hint="eastAsia" w:ascii="宋体" w:hAnsi="宋体"/>
          <w:b/>
          <w:bCs/>
          <w:color w:val="auto"/>
          <w:sz w:val="24"/>
          <w:lang w:val="en-US" w:eastAsia="zh-CN"/>
        </w:rPr>
        <w:t>全日制专业</w:t>
      </w:r>
      <w:r>
        <w:rPr>
          <w:rFonts w:hint="eastAsia" w:ascii="宋体" w:hAnsi="宋体"/>
          <w:b/>
          <w:bCs/>
          <w:color w:val="auto"/>
          <w:sz w:val="24"/>
        </w:rPr>
        <w:t>学位硕士研究生课程设置一览表</w:t>
      </w:r>
    </w:p>
    <w:tbl>
      <w:tblPr>
        <w:tblStyle w:val="4"/>
        <w:tblW w:w="954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413"/>
        <w:gridCol w:w="1956"/>
        <w:gridCol w:w="1956"/>
        <w:gridCol w:w="1081"/>
        <w:gridCol w:w="709"/>
        <w:gridCol w:w="709"/>
        <w:gridCol w:w="1146"/>
      </w:tblGrid>
      <w:tr w14:paraId="6289DD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984" w:type="dxa"/>
            <w:gridSpan w:val="2"/>
            <w:tcBorders>
              <w:tl2br w:val="nil"/>
              <w:tr2bl w:val="nil"/>
            </w:tcBorders>
            <w:vAlign w:val="center"/>
          </w:tcPr>
          <w:p w14:paraId="6748373D">
            <w:pPr>
              <w:jc w:val="center"/>
              <w:rPr>
                <w:b/>
                <w:color w:val="auto"/>
                <w:szCs w:val="21"/>
              </w:rPr>
            </w:pPr>
            <w:r>
              <w:rPr>
                <w:b/>
                <w:color w:val="auto"/>
                <w:szCs w:val="21"/>
              </w:rPr>
              <w:t>课程类别</w:t>
            </w:r>
          </w:p>
        </w:tc>
        <w:tc>
          <w:tcPr>
            <w:tcW w:w="3912" w:type="dxa"/>
            <w:gridSpan w:val="2"/>
            <w:tcBorders>
              <w:tl2br w:val="nil"/>
              <w:tr2bl w:val="nil"/>
            </w:tcBorders>
            <w:vAlign w:val="center"/>
          </w:tcPr>
          <w:p w14:paraId="4BFB2AB4">
            <w:pPr>
              <w:jc w:val="center"/>
              <w:rPr>
                <w:b/>
                <w:color w:val="auto"/>
                <w:szCs w:val="21"/>
              </w:rPr>
            </w:pPr>
            <w:r>
              <w:rPr>
                <w:b/>
                <w:color w:val="auto"/>
                <w:szCs w:val="21"/>
              </w:rPr>
              <w:t>课程说明</w:t>
            </w:r>
          </w:p>
        </w:tc>
        <w:tc>
          <w:tcPr>
            <w:tcW w:w="1081" w:type="dxa"/>
            <w:tcBorders>
              <w:tl2br w:val="nil"/>
              <w:tr2bl w:val="nil"/>
            </w:tcBorders>
            <w:vAlign w:val="center"/>
          </w:tcPr>
          <w:p w14:paraId="38BA5A03">
            <w:pPr>
              <w:jc w:val="center"/>
              <w:rPr>
                <w:b/>
                <w:color w:val="auto"/>
                <w:szCs w:val="21"/>
              </w:rPr>
            </w:pPr>
            <w:r>
              <w:rPr>
                <w:b/>
                <w:color w:val="auto"/>
                <w:szCs w:val="21"/>
              </w:rPr>
              <w:t>课程号</w:t>
            </w:r>
          </w:p>
        </w:tc>
        <w:tc>
          <w:tcPr>
            <w:tcW w:w="709" w:type="dxa"/>
            <w:tcBorders>
              <w:tl2br w:val="nil"/>
              <w:tr2bl w:val="nil"/>
            </w:tcBorders>
            <w:vAlign w:val="center"/>
          </w:tcPr>
          <w:p w14:paraId="1B39A30C">
            <w:pPr>
              <w:jc w:val="center"/>
              <w:rPr>
                <w:b/>
                <w:color w:val="auto"/>
                <w:szCs w:val="21"/>
              </w:rPr>
            </w:pPr>
            <w:r>
              <w:rPr>
                <w:b/>
                <w:color w:val="auto"/>
                <w:szCs w:val="21"/>
              </w:rPr>
              <w:t>学分</w:t>
            </w:r>
          </w:p>
        </w:tc>
        <w:tc>
          <w:tcPr>
            <w:tcW w:w="709" w:type="dxa"/>
            <w:tcBorders>
              <w:tl2br w:val="nil"/>
              <w:tr2bl w:val="nil"/>
            </w:tcBorders>
            <w:vAlign w:val="center"/>
          </w:tcPr>
          <w:p w14:paraId="23F385AC">
            <w:pPr>
              <w:jc w:val="center"/>
              <w:rPr>
                <w:b/>
                <w:color w:val="auto"/>
                <w:szCs w:val="21"/>
              </w:rPr>
            </w:pPr>
            <w:r>
              <w:rPr>
                <w:b/>
                <w:color w:val="auto"/>
                <w:szCs w:val="21"/>
              </w:rPr>
              <w:t>学期</w:t>
            </w:r>
          </w:p>
        </w:tc>
        <w:tc>
          <w:tcPr>
            <w:tcW w:w="1146" w:type="dxa"/>
            <w:tcBorders>
              <w:tl2br w:val="nil"/>
              <w:tr2bl w:val="nil"/>
            </w:tcBorders>
            <w:vAlign w:val="center"/>
          </w:tcPr>
          <w:p w14:paraId="5F821807">
            <w:pPr>
              <w:jc w:val="center"/>
              <w:rPr>
                <w:b/>
                <w:color w:val="auto"/>
                <w:szCs w:val="21"/>
              </w:rPr>
            </w:pPr>
            <w:r>
              <w:rPr>
                <w:rFonts w:hint="eastAsia"/>
                <w:b/>
                <w:color w:val="auto"/>
                <w:szCs w:val="21"/>
              </w:rPr>
              <w:t>备注</w:t>
            </w:r>
          </w:p>
        </w:tc>
      </w:tr>
      <w:tr w14:paraId="3DB5DC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tcBorders>
              <w:tl2br w:val="nil"/>
              <w:tr2bl w:val="nil"/>
            </w:tcBorders>
            <w:vAlign w:val="center"/>
          </w:tcPr>
          <w:p w14:paraId="4AC49591">
            <w:pPr>
              <w:jc w:val="center"/>
              <w:rPr>
                <w:b/>
                <w:color w:val="auto"/>
                <w:sz w:val="18"/>
                <w:szCs w:val="18"/>
              </w:rPr>
            </w:pPr>
            <w:r>
              <w:rPr>
                <w:b/>
                <w:color w:val="auto"/>
                <w:sz w:val="18"/>
                <w:szCs w:val="18"/>
              </w:rPr>
              <w:t>学位课</w:t>
            </w:r>
          </w:p>
          <w:p w14:paraId="7EA51EF8">
            <w:pPr>
              <w:jc w:val="center"/>
              <w:rPr>
                <w:rFonts w:hint="eastAsia" w:eastAsia="宋体"/>
                <w:b/>
                <w:color w:val="auto"/>
                <w:sz w:val="18"/>
                <w:szCs w:val="18"/>
                <w:lang w:eastAsia="zh-CN"/>
              </w:rPr>
            </w:pPr>
          </w:p>
        </w:tc>
        <w:tc>
          <w:tcPr>
            <w:tcW w:w="1413" w:type="dxa"/>
            <w:vMerge w:val="restart"/>
            <w:tcBorders>
              <w:tl2br w:val="nil"/>
              <w:tr2bl w:val="nil"/>
            </w:tcBorders>
            <w:vAlign w:val="center"/>
          </w:tcPr>
          <w:p w14:paraId="7F92A7F5">
            <w:pPr>
              <w:jc w:val="center"/>
              <w:rPr>
                <w:b/>
                <w:color w:val="auto"/>
                <w:sz w:val="18"/>
                <w:szCs w:val="18"/>
              </w:rPr>
            </w:pPr>
            <w:r>
              <w:rPr>
                <w:b/>
                <w:color w:val="auto"/>
                <w:sz w:val="18"/>
                <w:szCs w:val="18"/>
              </w:rPr>
              <w:t>公共必修课</w:t>
            </w:r>
          </w:p>
          <w:p w14:paraId="348CC2DC">
            <w:pPr>
              <w:jc w:val="center"/>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912" w:type="dxa"/>
            <w:gridSpan w:val="2"/>
            <w:tcBorders>
              <w:tl2br w:val="nil"/>
              <w:tr2bl w:val="nil"/>
            </w:tcBorders>
            <w:vAlign w:val="center"/>
          </w:tcPr>
          <w:p w14:paraId="432259FD">
            <w:pPr>
              <w:rPr>
                <w:color w:val="auto"/>
                <w:sz w:val="18"/>
                <w:szCs w:val="18"/>
              </w:rPr>
            </w:pPr>
            <w:r>
              <w:rPr>
                <w:rFonts w:hint="eastAsia"/>
                <w:color w:val="auto"/>
                <w:sz w:val="18"/>
                <w:szCs w:val="18"/>
              </w:rPr>
              <w:t>新时代</w:t>
            </w:r>
            <w:r>
              <w:rPr>
                <w:color w:val="auto"/>
                <w:sz w:val="18"/>
                <w:szCs w:val="18"/>
              </w:rPr>
              <w:t>中国特色社会主义理论与实践</w:t>
            </w:r>
          </w:p>
        </w:tc>
        <w:tc>
          <w:tcPr>
            <w:tcW w:w="1081" w:type="dxa"/>
            <w:tcBorders>
              <w:tl2br w:val="nil"/>
              <w:tr2bl w:val="nil"/>
            </w:tcBorders>
            <w:vAlign w:val="center"/>
          </w:tcPr>
          <w:p w14:paraId="5132F2BE">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0000001</w:t>
            </w:r>
          </w:p>
        </w:tc>
        <w:tc>
          <w:tcPr>
            <w:tcW w:w="709" w:type="dxa"/>
            <w:tcBorders>
              <w:tl2br w:val="nil"/>
              <w:tr2bl w:val="nil"/>
            </w:tcBorders>
            <w:vAlign w:val="center"/>
          </w:tcPr>
          <w:p w14:paraId="0ABA70BB">
            <w:pPr>
              <w:jc w:val="center"/>
              <w:rPr>
                <w:color w:val="auto"/>
                <w:sz w:val="18"/>
                <w:szCs w:val="18"/>
              </w:rPr>
            </w:pPr>
            <w:r>
              <w:rPr>
                <w:color w:val="auto"/>
                <w:sz w:val="18"/>
                <w:szCs w:val="18"/>
              </w:rPr>
              <w:t>2</w:t>
            </w:r>
          </w:p>
        </w:tc>
        <w:tc>
          <w:tcPr>
            <w:tcW w:w="709" w:type="dxa"/>
            <w:tcBorders>
              <w:tl2br w:val="nil"/>
              <w:tr2bl w:val="nil"/>
            </w:tcBorders>
            <w:vAlign w:val="center"/>
          </w:tcPr>
          <w:p w14:paraId="246F288D">
            <w:pPr>
              <w:jc w:val="center"/>
              <w:rPr>
                <w:color w:val="auto"/>
                <w:sz w:val="18"/>
                <w:szCs w:val="18"/>
              </w:rPr>
            </w:pPr>
            <w:r>
              <w:rPr>
                <w:color w:val="auto"/>
                <w:sz w:val="18"/>
                <w:szCs w:val="18"/>
              </w:rPr>
              <w:t>1</w:t>
            </w:r>
          </w:p>
        </w:tc>
        <w:tc>
          <w:tcPr>
            <w:tcW w:w="1146" w:type="dxa"/>
            <w:tcBorders>
              <w:tl2br w:val="nil"/>
              <w:tr2bl w:val="nil"/>
            </w:tcBorders>
            <w:vAlign w:val="center"/>
          </w:tcPr>
          <w:p w14:paraId="286D127D">
            <w:pPr>
              <w:jc w:val="center"/>
              <w:rPr>
                <w:color w:val="auto"/>
                <w:sz w:val="18"/>
                <w:szCs w:val="18"/>
              </w:rPr>
            </w:pPr>
            <w:r>
              <w:rPr>
                <w:rFonts w:hint="eastAsia"/>
                <w:color w:val="000000" w:themeColor="text1"/>
                <w:sz w:val="18"/>
                <w:szCs w:val="18"/>
                <w14:textFill>
                  <w14:solidFill>
                    <w14:schemeClr w14:val="tx1"/>
                  </w14:solidFill>
                </w14:textFill>
              </w:rPr>
              <w:t>考查</w:t>
            </w:r>
          </w:p>
        </w:tc>
      </w:tr>
      <w:tr w14:paraId="5A480D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tcBorders>
              <w:tl2br w:val="nil"/>
              <w:tr2bl w:val="nil"/>
            </w:tcBorders>
            <w:vAlign w:val="center"/>
          </w:tcPr>
          <w:p w14:paraId="2ECDDD12">
            <w:pPr>
              <w:jc w:val="center"/>
              <w:rPr>
                <w:b/>
                <w:color w:val="auto"/>
                <w:sz w:val="18"/>
                <w:szCs w:val="18"/>
              </w:rPr>
            </w:pPr>
          </w:p>
        </w:tc>
        <w:tc>
          <w:tcPr>
            <w:tcW w:w="1413" w:type="dxa"/>
            <w:vMerge w:val="continue"/>
            <w:tcBorders>
              <w:tl2br w:val="nil"/>
              <w:tr2bl w:val="nil"/>
            </w:tcBorders>
            <w:vAlign w:val="center"/>
          </w:tcPr>
          <w:p w14:paraId="49515F9B">
            <w:pPr>
              <w:jc w:val="center"/>
              <w:rPr>
                <w:b/>
                <w:color w:val="auto"/>
                <w:sz w:val="18"/>
                <w:szCs w:val="18"/>
              </w:rPr>
            </w:pPr>
          </w:p>
        </w:tc>
        <w:tc>
          <w:tcPr>
            <w:tcW w:w="3912" w:type="dxa"/>
            <w:gridSpan w:val="2"/>
            <w:tcBorders>
              <w:tl2br w:val="nil"/>
              <w:tr2bl w:val="nil"/>
            </w:tcBorders>
            <w:vAlign w:val="center"/>
          </w:tcPr>
          <w:p w14:paraId="18511B09">
            <w:pPr>
              <w:rPr>
                <w:color w:val="auto"/>
                <w:sz w:val="18"/>
                <w:szCs w:val="18"/>
              </w:rPr>
            </w:pPr>
            <w:r>
              <w:rPr>
                <w:rFonts w:hint="eastAsia"/>
                <w:color w:val="auto"/>
                <w:sz w:val="18"/>
                <w:szCs w:val="18"/>
              </w:rPr>
              <w:t>通用学术英语</w:t>
            </w:r>
          </w:p>
        </w:tc>
        <w:tc>
          <w:tcPr>
            <w:tcW w:w="1081" w:type="dxa"/>
            <w:tcBorders>
              <w:tl2br w:val="nil"/>
              <w:tr2bl w:val="nil"/>
            </w:tcBorders>
            <w:vAlign w:val="center"/>
          </w:tcPr>
          <w:p w14:paraId="2B0DDF3E">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00000</w:t>
            </w:r>
            <w:r>
              <w:rPr>
                <w:rFonts w:hint="eastAsia"/>
                <w:color w:val="auto"/>
                <w:sz w:val="18"/>
                <w:szCs w:val="18"/>
              </w:rPr>
              <w:t>02</w:t>
            </w:r>
          </w:p>
        </w:tc>
        <w:tc>
          <w:tcPr>
            <w:tcW w:w="709" w:type="dxa"/>
            <w:tcBorders>
              <w:tl2br w:val="nil"/>
              <w:tr2bl w:val="nil"/>
            </w:tcBorders>
            <w:vAlign w:val="center"/>
          </w:tcPr>
          <w:p w14:paraId="538BD8FA">
            <w:pPr>
              <w:jc w:val="center"/>
              <w:rPr>
                <w:color w:val="auto"/>
                <w:sz w:val="18"/>
                <w:szCs w:val="18"/>
              </w:rPr>
            </w:pPr>
            <w:r>
              <w:rPr>
                <w:rFonts w:hint="eastAsia"/>
                <w:color w:val="auto"/>
                <w:sz w:val="18"/>
                <w:szCs w:val="18"/>
              </w:rPr>
              <w:t>2</w:t>
            </w:r>
          </w:p>
        </w:tc>
        <w:tc>
          <w:tcPr>
            <w:tcW w:w="709" w:type="dxa"/>
            <w:tcBorders>
              <w:tl2br w:val="nil"/>
              <w:tr2bl w:val="nil"/>
            </w:tcBorders>
            <w:vAlign w:val="center"/>
          </w:tcPr>
          <w:p w14:paraId="2966F411">
            <w:pPr>
              <w:jc w:val="center"/>
              <w:rPr>
                <w:color w:val="auto"/>
                <w:sz w:val="18"/>
                <w:szCs w:val="18"/>
              </w:rPr>
            </w:pPr>
            <w:r>
              <w:rPr>
                <w:color w:val="auto"/>
                <w:sz w:val="18"/>
                <w:szCs w:val="18"/>
              </w:rPr>
              <w:t>1</w:t>
            </w:r>
          </w:p>
        </w:tc>
        <w:tc>
          <w:tcPr>
            <w:tcW w:w="1146" w:type="dxa"/>
            <w:tcBorders>
              <w:tl2br w:val="nil"/>
              <w:tr2bl w:val="nil"/>
            </w:tcBorders>
            <w:vAlign w:val="center"/>
          </w:tcPr>
          <w:p w14:paraId="51686147">
            <w:pPr>
              <w:jc w:val="center"/>
              <w:rPr>
                <w:color w:val="auto"/>
                <w:sz w:val="18"/>
                <w:szCs w:val="18"/>
              </w:rPr>
            </w:pPr>
            <w:r>
              <w:rPr>
                <w:rFonts w:hint="eastAsia"/>
                <w:sz w:val="18"/>
                <w:szCs w:val="18"/>
              </w:rPr>
              <w:t>考查</w:t>
            </w:r>
          </w:p>
        </w:tc>
      </w:tr>
      <w:tr w14:paraId="24E1AD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041565F0">
            <w:pPr>
              <w:jc w:val="center"/>
              <w:rPr>
                <w:b/>
                <w:color w:val="auto"/>
                <w:sz w:val="18"/>
                <w:szCs w:val="18"/>
              </w:rPr>
            </w:pPr>
            <w:bookmarkStart w:id="1" w:name="_Hlk72079309"/>
          </w:p>
        </w:tc>
        <w:tc>
          <w:tcPr>
            <w:tcW w:w="1413" w:type="dxa"/>
            <w:vMerge w:val="restart"/>
            <w:tcBorders>
              <w:tl2br w:val="nil"/>
              <w:tr2bl w:val="nil"/>
            </w:tcBorders>
            <w:vAlign w:val="center"/>
          </w:tcPr>
          <w:p w14:paraId="22FC0576">
            <w:pPr>
              <w:jc w:val="center"/>
              <w:rPr>
                <w:rFonts w:hint="eastAsia"/>
                <w:b/>
                <w:color w:val="auto"/>
                <w:sz w:val="18"/>
                <w:szCs w:val="18"/>
                <w:lang w:val="en-US" w:eastAsia="zh-CN"/>
              </w:rPr>
            </w:pPr>
            <w:r>
              <w:rPr>
                <w:rFonts w:hint="eastAsia"/>
                <w:b/>
                <w:color w:val="auto"/>
                <w:sz w:val="18"/>
                <w:szCs w:val="18"/>
                <w:lang w:val="en-US" w:eastAsia="zh-CN"/>
              </w:rPr>
              <w:t>学科基础课</w:t>
            </w:r>
          </w:p>
          <w:p w14:paraId="44C609AE">
            <w:pPr>
              <w:jc w:val="center"/>
              <w:rPr>
                <w:rFonts w:hint="default" w:eastAsia="宋体"/>
                <w:b/>
                <w:color w:val="auto"/>
                <w:sz w:val="18"/>
                <w:szCs w:val="18"/>
                <w:lang w:val="en-US" w:eastAsia="zh-CN"/>
              </w:rPr>
            </w:pPr>
            <w:r>
              <w:rPr>
                <w:rFonts w:hint="eastAsia"/>
                <w:b/>
                <w:color w:val="auto"/>
                <w:sz w:val="18"/>
                <w:szCs w:val="18"/>
                <w:lang w:val="en-US" w:eastAsia="zh-CN"/>
              </w:rPr>
              <w:t>（</w:t>
            </w:r>
            <w:r>
              <w:rPr>
                <w:rFonts w:hint="eastAsia"/>
                <w:b/>
                <w:color w:val="000000" w:themeColor="text1"/>
                <w:sz w:val="18"/>
                <w:szCs w:val="18"/>
                <w:highlight w:val="none"/>
                <w:lang w:val="en-US" w:eastAsia="zh-CN"/>
                <w14:textFill>
                  <w14:solidFill>
                    <w14:schemeClr w14:val="tx1"/>
                  </w14:solidFill>
                </w14:textFill>
              </w:rPr>
              <w:t>3</w:t>
            </w:r>
            <w:r>
              <w:rPr>
                <w:rFonts w:hint="eastAsia"/>
                <w:b/>
                <w:color w:val="auto"/>
                <w:sz w:val="18"/>
                <w:szCs w:val="18"/>
                <w:lang w:val="en-US" w:eastAsia="zh-CN"/>
              </w:rPr>
              <w:t>）</w:t>
            </w:r>
          </w:p>
        </w:tc>
        <w:tc>
          <w:tcPr>
            <w:tcW w:w="3912" w:type="dxa"/>
            <w:gridSpan w:val="2"/>
            <w:tcBorders>
              <w:tl2br w:val="nil"/>
              <w:tr2bl w:val="nil"/>
            </w:tcBorders>
            <w:vAlign w:val="center"/>
          </w:tcPr>
          <w:p w14:paraId="14077301">
            <w:pPr>
              <w:rPr>
                <w:color w:val="auto"/>
                <w:sz w:val="18"/>
                <w:szCs w:val="18"/>
              </w:rPr>
            </w:pPr>
            <w:r>
              <w:rPr>
                <w:rFonts w:hint="eastAsia"/>
                <w:color w:val="auto"/>
                <w:sz w:val="18"/>
                <w:szCs w:val="18"/>
                <w:lang w:val="en-US" w:eastAsia="zh-CN"/>
              </w:rPr>
              <w:t>学术道德</w:t>
            </w:r>
            <w:r>
              <w:rPr>
                <w:color w:val="auto"/>
                <w:sz w:val="18"/>
                <w:szCs w:val="18"/>
              </w:rPr>
              <w:t>与论文写作</w:t>
            </w:r>
          </w:p>
        </w:tc>
        <w:tc>
          <w:tcPr>
            <w:tcW w:w="1081" w:type="dxa"/>
            <w:tcBorders>
              <w:tl2br w:val="nil"/>
              <w:tr2bl w:val="nil"/>
            </w:tcBorders>
            <w:vAlign w:val="center"/>
          </w:tcPr>
          <w:p w14:paraId="00B460BD">
            <w:pPr>
              <w:jc w:val="center"/>
              <w:rPr>
                <w:rFonts w:hint="eastAsia" w:eastAsia="宋体"/>
                <w:color w:val="auto"/>
                <w:sz w:val="18"/>
                <w:szCs w:val="18"/>
                <w:lang w:val="en-US" w:eastAsia="zh-CN"/>
              </w:rPr>
            </w:pPr>
            <w:r>
              <w:rPr>
                <w:rFonts w:hint="eastAsia"/>
                <w:color w:val="auto"/>
                <w:sz w:val="18"/>
                <w:szCs w:val="18"/>
              </w:rPr>
              <w:t>ZS</w:t>
            </w:r>
            <w:r>
              <w:rPr>
                <w:color w:val="auto"/>
                <w:sz w:val="18"/>
                <w:szCs w:val="18"/>
              </w:rPr>
              <w:t>041</w:t>
            </w:r>
            <w:r>
              <w:rPr>
                <w:rFonts w:hint="eastAsia"/>
                <w:color w:val="auto"/>
                <w:sz w:val="18"/>
                <w:szCs w:val="18"/>
                <w:lang w:val="en-US" w:eastAsia="zh-CN"/>
              </w:rPr>
              <w:t>1</w:t>
            </w:r>
            <w:r>
              <w:rPr>
                <w:color w:val="auto"/>
                <w:sz w:val="18"/>
                <w:szCs w:val="18"/>
              </w:rPr>
              <w:t>00</w:t>
            </w:r>
            <w:r>
              <w:rPr>
                <w:rFonts w:hint="eastAsia"/>
                <w:color w:val="auto"/>
                <w:sz w:val="18"/>
                <w:szCs w:val="18"/>
                <w:lang w:val="en-US" w:eastAsia="zh-CN"/>
              </w:rPr>
              <w:t>8</w:t>
            </w:r>
          </w:p>
        </w:tc>
        <w:tc>
          <w:tcPr>
            <w:tcW w:w="709" w:type="dxa"/>
            <w:tcBorders>
              <w:tl2br w:val="nil"/>
              <w:tr2bl w:val="nil"/>
            </w:tcBorders>
            <w:vAlign w:val="center"/>
          </w:tcPr>
          <w:p w14:paraId="22A9AC16">
            <w:pPr>
              <w:jc w:val="center"/>
              <w:rPr>
                <w:color w:val="auto"/>
              </w:rPr>
            </w:pPr>
            <w:r>
              <w:rPr>
                <w:rFonts w:hint="eastAsia"/>
                <w:color w:val="auto"/>
                <w:sz w:val="18"/>
                <w:szCs w:val="18"/>
              </w:rPr>
              <w:t>1</w:t>
            </w:r>
          </w:p>
        </w:tc>
        <w:tc>
          <w:tcPr>
            <w:tcW w:w="709" w:type="dxa"/>
            <w:tcBorders>
              <w:tl2br w:val="nil"/>
              <w:tr2bl w:val="nil"/>
            </w:tcBorders>
            <w:vAlign w:val="center"/>
          </w:tcPr>
          <w:p w14:paraId="63ABA30B">
            <w:pPr>
              <w:jc w:val="center"/>
              <w:rPr>
                <w:color w:val="auto"/>
                <w:sz w:val="18"/>
                <w:szCs w:val="18"/>
              </w:rPr>
            </w:pPr>
            <w:r>
              <w:rPr>
                <w:rFonts w:hint="eastAsia"/>
                <w:color w:val="auto"/>
                <w:sz w:val="18"/>
                <w:szCs w:val="18"/>
              </w:rPr>
              <w:t>1</w:t>
            </w:r>
          </w:p>
        </w:tc>
        <w:tc>
          <w:tcPr>
            <w:tcW w:w="1146" w:type="dxa"/>
            <w:tcBorders>
              <w:tl2br w:val="nil"/>
              <w:tr2bl w:val="nil"/>
            </w:tcBorders>
            <w:vAlign w:val="center"/>
          </w:tcPr>
          <w:p w14:paraId="0D33C31A">
            <w:pPr>
              <w:jc w:val="center"/>
              <w:rPr>
                <w:rFonts w:hint="eastAsia" w:eastAsia="宋体"/>
                <w:color w:val="auto"/>
                <w:sz w:val="18"/>
                <w:szCs w:val="18"/>
                <w:lang w:eastAsia="zh-CN"/>
              </w:rPr>
            </w:pPr>
            <w:r>
              <w:rPr>
                <w:rFonts w:hint="eastAsia"/>
                <w:color w:val="auto"/>
                <w:sz w:val="18"/>
                <w:szCs w:val="18"/>
                <w:lang w:val="en-US" w:eastAsia="zh-CN"/>
              </w:rPr>
              <w:t>考试</w:t>
            </w:r>
          </w:p>
        </w:tc>
      </w:tr>
      <w:tr w14:paraId="3E2E91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627540C7">
            <w:pPr>
              <w:jc w:val="center"/>
              <w:rPr>
                <w:b/>
                <w:color w:val="auto"/>
                <w:sz w:val="18"/>
                <w:szCs w:val="18"/>
              </w:rPr>
            </w:pPr>
          </w:p>
        </w:tc>
        <w:tc>
          <w:tcPr>
            <w:tcW w:w="1413" w:type="dxa"/>
            <w:vMerge w:val="continue"/>
            <w:tcBorders>
              <w:tl2br w:val="nil"/>
              <w:tr2bl w:val="nil"/>
            </w:tcBorders>
            <w:vAlign w:val="center"/>
          </w:tcPr>
          <w:p w14:paraId="1426AAAC">
            <w:pPr>
              <w:jc w:val="center"/>
              <w:rPr>
                <w:b/>
                <w:color w:val="auto"/>
                <w:sz w:val="18"/>
                <w:szCs w:val="18"/>
              </w:rPr>
            </w:pPr>
          </w:p>
        </w:tc>
        <w:tc>
          <w:tcPr>
            <w:tcW w:w="3912" w:type="dxa"/>
            <w:gridSpan w:val="2"/>
            <w:tcBorders>
              <w:tl2br w:val="nil"/>
              <w:tr2bl w:val="nil"/>
            </w:tcBorders>
            <w:shd w:val="clear" w:color="auto" w:fill="auto"/>
            <w:vAlign w:val="center"/>
          </w:tcPr>
          <w:p w14:paraId="4D63C71C">
            <w:pP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公司战略与风险管理</w:t>
            </w:r>
          </w:p>
        </w:tc>
        <w:tc>
          <w:tcPr>
            <w:tcW w:w="1081" w:type="dxa"/>
            <w:tcBorders>
              <w:tl2br w:val="nil"/>
              <w:tr2bl w:val="nil"/>
            </w:tcBorders>
            <w:shd w:val="clear" w:color="auto" w:fill="auto"/>
            <w:vAlign w:val="center"/>
          </w:tcPr>
          <w:p w14:paraId="797850A6">
            <w:pPr>
              <w:jc w:val="center"/>
              <w:rPr>
                <w:rFonts w:hint="eastAsia" w:ascii="Times New Roman" w:hAnsi="Times New Roman" w:eastAsia="宋体" w:cs="Times New Roman"/>
                <w:kern w:val="2"/>
                <w:sz w:val="18"/>
                <w:szCs w:val="18"/>
                <w:lang w:val="en-US" w:eastAsia="zh-CN" w:bidi="ar-SA"/>
              </w:rPr>
            </w:pPr>
            <w:r>
              <w:rPr>
                <w:rFonts w:hint="eastAsia"/>
                <w:color w:val="auto"/>
                <w:sz w:val="18"/>
                <w:szCs w:val="18"/>
              </w:rPr>
              <w:t>ZS</w:t>
            </w:r>
            <w:r>
              <w:rPr>
                <w:color w:val="auto"/>
                <w:sz w:val="18"/>
                <w:szCs w:val="18"/>
              </w:rPr>
              <w:t>041</w:t>
            </w:r>
            <w:r>
              <w:rPr>
                <w:rFonts w:hint="eastAsia"/>
                <w:color w:val="auto"/>
                <w:sz w:val="18"/>
                <w:szCs w:val="18"/>
                <w:lang w:val="en-US" w:eastAsia="zh-CN"/>
              </w:rPr>
              <w:t>1</w:t>
            </w:r>
            <w:r>
              <w:rPr>
                <w:color w:val="auto"/>
                <w:sz w:val="18"/>
                <w:szCs w:val="18"/>
              </w:rPr>
              <w:t>00</w:t>
            </w:r>
            <w:r>
              <w:rPr>
                <w:rFonts w:hint="eastAsia"/>
                <w:color w:val="auto"/>
                <w:sz w:val="18"/>
                <w:szCs w:val="18"/>
                <w:lang w:val="en-US" w:eastAsia="zh-CN"/>
              </w:rPr>
              <w:t>9</w:t>
            </w:r>
          </w:p>
        </w:tc>
        <w:tc>
          <w:tcPr>
            <w:tcW w:w="709" w:type="dxa"/>
            <w:tcBorders>
              <w:tl2br w:val="nil"/>
              <w:tr2bl w:val="nil"/>
            </w:tcBorders>
            <w:shd w:val="clear" w:color="auto" w:fill="auto"/>
            <w:vAlign w:val="center"/>
          </w:tcPr>
          <w:p w14:paraId="772471CF">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tcBorders>
              <w:tl2br w:val="nil"/>
              <w:tr2bl w:val="nil"/>
            </w:tcBorders>
            <w:shd w:val="clear" w:color="auto" w:fill="auto"/>
            <w:vAlign w:val="center"/>
          </w:tcPr>
          <w:p w14:paraId="301AC3AF">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1146" w:type="dxa"/>
            <w:tcBorders>
              <w:tl2br w:val="nil"/>
              <w:tr2bl w:val="nil"/>
            </w:tcBorders>
            <w:shd w:val="clear" w:color="auto" w:fill="auto"/>
            <w:vAlign w:val="center"/>
          </w:tcPr>
          <w:p w14:paraId="49F8EC48">
            <w:pPr>
              <w:jc w:val="center"/>
              <w:rPr>
                <w:rFonts w:hint="eastAsia" w:ascii="Times New Roman" w:hAnsi="Times New Roman" w:eastAsia="宋体" w:cs="Times New Roman"/>
                <w:kern w:val="2"/>
                <w:sz w:val="18"/>
                <w:szCs w:val="18"/>
                <w:lang w:val="en-US" w:eastAsia="zh-CN" w:bidi="ar-SA"/>
              </w:rPr>
            </w:pPr>
            <w:r>
              <w:rPr>
                <w:rFonts w:hint="eastAsia"/>
                <w:sz w:val="18"/>
                <w:szCs w:val="18"/>
              </w:rPr>
              <w:t>考试</w:t>
            </w:r>
          </w:p>
        </w:tc>
      </w:tr>
      <w:tr w14:paraId="664790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Borders>
              <w:tl2br w:val="nil"/>
              <w:tr2bl w:val="nil"/>
            </w:tcBorders>
            <w:vAlign w:val="center"/>
          </w:tcPr>
          <w:p w14:paraId="3DC9E3DE">
            <w:pPr>
              <w:jc w:val="center"/>
              <w:rPr>
                <w:rFonts w:hint="eastAsia" w:eastAsia="宋体"/>
                <w:b/>
                <w:color w:val="auto"/>
                <w:sz w:val="18"/>
                <w:szCs w:val="18"/>
                <w:lang w:eastAsia="zh-CN"/>
              </w:rPr>
            </w:pPr>
          </w:p>
        </w:tc>
        <w:tc>
          <w:tcPr>
            <w:tcW w:w="1413" w:type="dxa"/>
            <w:vMerge w:val="restart"/>
            <w:tcBorders>
              <w:tl2br w:val="nil"/>
              <w:tr2bl w:val="nil"/>
            </w:tcBorders>
            <w:vAlign w:val="center"/>
          </w:tcPr>
          <w:p w14:paraId="414D5A6A">
            <w:pPr>
              <w:jc w:val="center"/>
              <w:rPr>
                <w:b/>
                <w:color w:val="auto"/>
                <w:sz w:val="18"/>
                <w:szCs w:val="18"/>
              </w:rPr>
            </w:pPr>
            <w:r>
              <w:rPr>
                <w:b/>
                <w:color w:val="auto"/>
                <w:sz w:val="18"/>
                <w:szCs w:val="18"/>
              </w:rPr>
              <w:t>专业必修课</w:t>
            </w:r>
          </w:p>
          <w:p w14:paraId="2440A361">
            <w:pPr>
              <w:jc w:val="center"/>
              <w:rPr>
                <w:b/>
                <w:color w:val="auto"/>
                <w:sz w:val="18"/>
                <w:szCs w:val="18"/>
              </w:rPr>
            </w:pPr>
            <w:r>
              <w:rPr>
                <w:b/>
                <w:color w:val="auto"/>
                <w:sz w:val="18"/>
                <w:szCs w:val="18"/>
              </w:rPr>
              <w:t>（</w:t>
            </w:r>
            <w:r>
              <w:rPr>
                <w:rFonts w:hint="eastAsia"/>
                <w:b/>
                <w:color w:val="000000" w:themeColor="text1"/>
                <w:sz w:val="18"/>
                <w:szCs w:val="18"/>
                <w:highlight w:val="none"/>
                <w:lang w:val="en-US" w:eastAsia="zh-CN"/>
                <w14:textFill>
                  <w14:solidFill>
                    <w14:schemeClr w14:val="tx1"/>
                  </w14:solidFill>
                </w14:textFill>
              </w:rPr>
              <w:t>14</w:t>
            </w:r>
            <w:r>
              <w:rPr>
                <w:b/>
                <w:color w:val="auto"/>
                <w:sz w:val="18"/>
                <w:szCs w:val="18"/>
              </w:rPr>
              <w:t>）</w:t>
            </w:r>
          </w:p>
        </w:tc>
        <w:tc>
          <w:tcPr>
            <w:tcW w:w="3912" w:type="dxa"/>
            <w:gridSpan w:val="2"/>
            <w:tcBorders>
              <w:tl2br w:val="nil"/>
              <w:tr2bl w:val="nil"/>
            </w:tcBorders>
            <w:shd w:val="clear" w:color="auto" w:fill="auto"/>
            <w:vAlign w:val="center"/>
          </w:tcPr>
          <w:p w14:paraId="047C8FD1">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财务会计理论与实务</w:t>
            </w:r>
          </w:p>
        </w:tc>
        <w:tc>
          <w:tcPr>
            <w:tcW w:w="1081" w:type="dxa"/>
            <w:tcBorders>
              <w:tl2br w:val="nil"/>
              <w:tr2bl w:val="nil"/>
            </w:tcBorders>
            <w:shd w:val="clear" w:color="auto" w:fill="auto"/>
            <w:vAlign w:val="top"/>
          </w:tcPr>
          <w:p w14:paraId="70ACEFA8">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ZS</w:t>
            </w:r>
            <w:r>
              <w:rPr>
                <w:color w:val="auto"/>
                <w:sz w:val="18"/>
                <w:szCs w:val="18"/>
              </w:rPr>
              <w:t>041</w:t>
            </w:r>
            <w:r>
              <w:rPr>
                <w:rFonts w:hint="eastAsia"/>
                <w:color w:val="auto"/>
                <w:sz w:val="18"/>
                <w:szCs w:val="18"/>
                <w:lang w:val="en-US" w:eastAsia="zh-CN"/>
              </w:rPr>
              <w:t>1</w:t>
            </w:r>
            <w:r>
              <w:rPr>
                <w:color w:val="auto"/>
                <w:sz w:val="18"/>
                <w:szCs w:val="18"/>
              </w:rPr>
              <w:t>003</w:t>
            </w:r>
          </w:p>
        </w:tc>
        <w:tc>
          <w:tcPr>
            <w:tcW w:w="709" w:type="dxa"/>
            <w:tcBorders>
              <w:tl2br w:val="nil"/>
              <w:tr2bl w:val="nil"/>
            </w:tcBorders>
            <w:shd w:val="clear" w:color="auto" w:fill="auto"/>
            <w:vAlign w:val="center"/>
          </w:tcPr>
          <w:p w14:paraId="30DE6123">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3</w:t>
            </w:r>
          </w:p>
        </w:tc>
        <w:tc>
          <w:tcPr>
            <w:tcW w:w="709" w:type="dxa"/>
            <w:tcBorders>
              <w:tl2br w:val="nil"/>
              <w:tr2bl w:val="nil"/>
            </w:tcBorders>
            <w:shd w:val="clear" w:color="auto" w:fill="auto"/>
            <w:vAlign w:val="center"/>
          </w:tcPr>
          <w:p w14:paraId="778FF6F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146" w:type="dxa"/>
            <w:tcBorders>
              <w:tl2br w:val="nil"/>
              <w:tr2bl w:val="nil"/>
            </w:tcBorders>
            <w:shd w:val="clear" w:color="auto" w:fill="auto"/>
            <w:vAlign w:val="center"/>
          </w:tcPr>
          <w:p w14:paraId="6BFBFBBF">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考试</w:t>
            </w:r>
          </w:p>
        </w:tc>
      </w:tr>
      <w:tr w14:paraId="3380D5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247B4682">
            <w:pPr>
              <w:jc w:val="center"/>
              <w:rPr>
                <w:b/>
                <w:color w:val="auto"/>
                <w:sz w:val="18"/>
                <w:szCs w:val="18"/>
              </w:rPr>
            </w:pPr>
          </w:p>
        </w:tc>
        <w:tc>
          <w:tcPr>
            <w:tcW w:w="1413" w:type="dxa"/>
            <w:vMerge w:val="continue"/>
            <w:tcBorders>
              <w:tl2br w:val="nil"/>
              <w:tr2bl w:val="nil"/>
            </w:tcBorders>
            <w:vAlign w:val="center"/>
          </w:tcPr>
          <w:p w14:paraId="42CF37A2">
            <w:pPr>
              <w:jc w:val="center"/>
              <w:rPr>
                <w:b/>
                <w:color w:val="auto"/>
                <w:sz w:val="18"/>
                <w:szCs w:val="18"/>
              </w:rPr>
            </w:pPr>
          </w:p>
        </w:tc>
        <w:tc>
          <w:tcPr>
            <w:tcW w:w="3912" w:type="dxa"/>
            <w:gridSpan w:val="2"/>
            <w:tcBorders>
              <w:tl2br w:val="nil"/>
              <w:tr2bl w:val="nil"/>
            </w:tcBorders>
            <w:shd w:val="clear" w:color="auto" w:fill="auto"/>
            <w:vAlign w:val="center"/>
          </w:tcPr>
          <w:p w14:paraId="6174699F">
            <w:pPr>
              <w:adjustRightInd w:val="0"/>
              <w:snapToGrid w:val="0"/>
              <w:rPr>
                <w:rFonts w:ascii="Times New Roman" w:hAnsi="Times New Roman" w:eastAsia="宋体" w:cs="Times New Roman"/>
                <w:color w:val="auto"/>
                <w:kern w:val="2"/>
                <w:sz w:val="18"/>
                <w:szCs w:val="18"/>
                <w:lang w:val="en-US" w:eastAsia="zh-CN" w:bidi="ar-SA"/>
              </w:rPr>
            </w:pPr>
            <w:r>
              <w:rPr>
                <w:rFonts w:hint="eastAsia"/>
                <w:color w:val="auto"/>
                <w:sz w:val="18"/>
                <w:szCs w:val="18"/>
              </w:rPr>
              <w:t>财务管理理论与实务</w:t>
            </w:r>
          </w:p>
        </w:tc>
        <w:tc>
          <w:tcPr>
            <w:tcW w:w="1081" w:type="dxa"/>
            <w:tcBorders>
              <w:tl2br w:val="nil"/>
              <w:tr2bl w:val="nil"/>
            </w:tcBorders>
            <w:shd w:val="clear" w:color="auto" w:fill="auto"/>
            <w:vAlign w:val="top"/>
          </w:tcPr>
          <w:p w14:paraId="66236876">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ZS</w:t>
            </w:r>
            <w:r>
              <w:rPr>
                <w:color w:val="auto"/>
                <w:sz w:val="18"/>
                <w:szCs w:val="18"/>
              </w:rPr>
              <w:t>041</w:t>
            </w:r>
            <w:r>
              <w:rPr>
                <w:rFonts w:hint="eastAsia"/>
                <w:color w:val="auto"/>
                <w:sz w:val="18"/>
                <w:szCs w:val="18"/>
                <w:lang w:val="en-US" w:eastAsia="zh-CN"/>
              </w:rPr>
              <w:t>1</w:t>
            </w:r>
            <w:r>
              <w:rPr>
                <w:color w:val="auto"/>
                <w:sz w:val="18"/>
                <w:szCs w:val="18"/>
              </w:rPr>
              <w:t>004</w:t>
            </w:r>
          </w:p>
        </w:tc>
        <w:tc>
          <w:tcPr>
            <w:tcW w:w="709" w:type="dxa"/>
            <w:tcBorders>
              <w:tl2br w:val="nil"/>
              <w:tr2bl w:val="nil"/>
            </w:tcBorders>
            <w:shd w:val="clear" w:color="auto" w:fill="auto"/>
            <w:vAlign w:val="center"/>
          </w:tcPr>
          <w:p w14:paraId="011A3A0C">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3</w:t>
            </w:r>
          </w:p>
        </w:tc>
        <w:tc>
          <w:tcPr>
            <w:tcW w:w="709" w:type="dxa"/>
            <w:tcBorders>
              <w:tl2br w:val="nil"/>
              <w:tr2bl w:val="nil"/>
            </w:tcBorders>
            <w:shd w:val="clear" w:color="auto" w:fill="auto"/>
            <w:vAlign w:val="center"/>
          </w:tcPr>
          <w:p w14:paraId="4D9AC399">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146" w:type="dxa"/>
            <w:tcBorders>
              <w:tl2br w:val="nil"/>
              <w:tr2bl w:val="nil"/>
            </w:tcBorders>
            <w:shd w:val="clear" w:color="auto" w:fill="auto"/>
            <w:vAlign w:val="top"/>
          </w:tcPr>
          <w:p w14:paraId="2FEF496C">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考试</w:t>
            </w:r>
          </w:p>
        </w:tc>
      </w:tr>
      <w:tr w14:paraId="55D1DF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48C5B20C">
            <w:pPr>
              <w:jc w:val="center"/>
              <w:rPr>
                <w:b/>
                <w:color w:val="auto"/>
                <w:sz w:val="18"/>
                <w:szCs w:val="18"/>
              </w:rPr>
            </w:pPr>
          </w:p>
        </w:tc>
        <w:tc>
          <w:tcPr>
            <w:tcW w:w="1413" w:type="dxa"/>
            <w:vMerge w:val="continue"/>
            <w:tcBorders>
              <w:tl2br w:val="nil"/>
              <w:tr2bl w:val="nil"/>
            </w:tcBorders>
            <w:vAlign w:val="center"/>
          </w:tcPr>
          <w:p w14:paraId="79668865">
            <w:pPr>
              <w:jc w:val="center"/>
              <w:rPr>
                <w:b/>
                <w:color w:val="auto"/>
                <w:sz w:val="18"/>
                <w:szCs w:val="18"/>
              </w:rPr>
            </w:pPr>
          </w:p>
        </w:tc>
        <w:tc>
          <w:tcPr>
            <w:tcW w:w="3912" w:type="dxa"/>
            <w:gridSpan w:val="2"/>
            <w:tcBorders>
              <w:tl2br w:val="nil"/>
              <w:tr2bl w:val="nil"/>
            </w:tcBorders>
            <w:shd w:val="clear" w:color="auto" w:fill="auto"/>
            <w:vAlign w:val="center"/>
          </w:tcPr>
          <w:p w14:paraId="197FB6E1">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审计理论与实务</w:t>
            </w:r>
          </w:p>
        </w:tc>
        <w:tc>
          <w:tcPr>
            <w:tcW w:w="1081" w:type="dxa"/>
            <w:tcBorders>
              <w:tl2br w:val="nil"/>
              <w:tr2bl w:val="nil"/>
            </w:tcBorders>
            <w:shd w:val="clear" w:color="auto" w:fill="auto"/>
            <w:vAlign w:val="top"/>
          </w:tcPr>
          <w:p w14:paraId="0972B2B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w:t>
            </w:r>
            <w:r>
              <w:rPr>
                <w:color w:val="auto"/>
                <w:sz w:val="18"/>
                <w:szCs w:val="18"/>
              </w:rPr>
              <w:t>041</w:t>
            </w:r>
            <w:r>
              <w:rPr>
                <w:rFonts w:hint="eastAsia"/>
                <w:color w:val="auto"/>
                <w:sz w:val="18"/>
                <w:szCs w:val="18"/>
                <w:lang w:val="en-US" w:eastAsia="zh-CN"/>
              </w:rPr>
              <w:t>1</w:t>
            </w:r>
            <w:r>
              <w:rPr>
                <w:color w:val="auto"/>
                <w:sz w:val="18"/>
                <w:szCs w:val="18"/>
              </w:rPr>
              <w:t>005</w:t>
            </w:r>
          </w:p>
        </w:tc>
        <w:tc>
          <w:tcPr>
            <w:tcW w:w="709" w:type="dxa"/>
            <w:tcBorders>
              <w:tl2br w:val="nil"/>
              <w:tr2bl w:val="nil"/>
            </w:tcBorders>
            <w:shd w:val="clear" w:color="auto" w:fill="auto"/>
            <w:vAlign w:val="center"/>
          </w:tcPr>
          <w:p w14:paraId="34E9800F">
            <w:pPr>
              <w:jc w:val="center"/>
              <w:rPr>
                <w:rFonts w:hint="eastAsia" w:ascii="Times New Roman" w:hAnsi="Times New Roman" w:eastAsia="宋体" w:cs="Times New Roman"/>
                <w:color w:val="auto"/>
                <w:kern w:val="2"/>
                <w:sz w:val="21"/>
                <w:szCs w:val="24"/>
                <w:lang w:val="en-US" w:eastAsia="zh-CN" w:bidi="ar-SA"/>
              </w:rPr>
            </w:pPr>
            <w:r>
              <w:rPr>
                <w:color w:val="auto"/>
                <w:sz w:val="18"/>
                <w:szCs w:val="18"/>
              </w:rPr>
              <w:t>3</w:t>
            </w:r>
          </w:p>
        </w:tc>
        <w:tc>
          <w:tcPr>
            <w:tcW w:w="709" w:type="dxa"/>
            <w:tcBorders>
              <w:tl2br w:val="nil"/>
              <w:tr2bl w:val="nil"/>
            </w:tcBorders>
            <w:shd w:val="clear" w:color="auto" w:fill="auto"/>
            <w:vAlign w:val="center"/>
          </w:tcPr>
          <w:p w14:paraId="7BAA426C">
            <w:pPr>
              <w:jc w:val="center"/>
              <w:rPr>
                <w:rFonts w:hint="eastAsia" w:ascii="Times New Roman" w:hAnsi="Times New Roman" w:eastAsia="宋体" w:cs="Times New Roman"/>
                <w:color w:val="auto"/>
                <w:kern w:val="2"/>
                <w:sz w:val="21"/>
                <w:szCs w:val="24"/>
                <w:lang w:val="en-US" w:eastAsia="zh-CN" w:bidi="ar-SA"/>
              </w:rPr>
            </w:pPr>
            <w:r>
              <w:rPr>
                <w:rFonts w:hint="eastAsia"/>
                <w:color w:val="auto"/>
                <w:sz w:val="18"/>
                <w:szCs w:val="18"/>
              </w:rPr>
              <w:t>1</w:t>
            </w:r>
          </w:p>
        </w:tc>
        <w:tc>
          <w:tcPr>
            <w:tcW w:w="1146" w:type="dxa"/>
            <w:tcBorders>
              <w:tl2br w:val="nil"/>
              <w:tr2bl w:val="nil"/>
            </w:tcBorders>
            <w:shd w:val="clear" w:color="auto" w:fill="auto"/>
            <w:vAlign w:val="top"/>
          </w:tcPr>
          <w:p w14:paraId="14A8A1B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考试</w:t>
            </w:r>
          </w:p>
        </w:tc>
      </w:tr>
      <w:tr w14:paraId="245204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624CDB37">
            <w:pPr>
              <w:jc w:val="center"/>
              <w:rPr>
                <w:b/>
                <w:color w:val="auto"/>
                <w:sz w:val="18"/>
                <w:szCs w:val="18"/>
              </w:rPr>
            </w:pPr>
          </w:p>
        </w:tc>
        <w:tc>
          <w:tcPr>
            <w:tcW w:w="1413" w:type="dxa"/>
            <w:vMerge w:val="continue"/>
            <w:tcBorders>
              <w:tl2br w:val="nil"/>
              <w:tr2bl w:val="nil"/>
            </w:tcBorders>
            <w:vAlign w:val="center"/>
          </w:tcPr>
          <w:p w14:paraId="31F9DD34">
            <w:pPr>
              <w:jc w:val="center"/>
              <w:rPr>
                <w:b/>
                <w:color w:val="auto"/>
                <w:sz w:val="18"/>
                <w:szCs w:val="18"/>
              </w:rPr>
            </w:pPr>
          </w:p>
        </w:tc>
        <w:tc>
          <w:tcPr>
            <w:tcW w:w="3912" w:type="dxa"/>
            <w:gridSpan w:val="2"/>
            <w:tcBorders>
              <w:tl2br w:val="nil"/>
              <w:tr2bl w:val="nil"/>
            </w:tcBorders>
            <w:shd w:val="clear" w:color="auto" w:fill="auto"/>
            <w:vAlign w:val="center"/>
          </w:tcPr>
          <w:p w14:paraId="72A6348F">
            <w:pPr>
              <w:adjustRightInd w:val="0"/>
              <w:snapToGrid w:val="0"/>
              <w:rPr>
                <w:rFonts w:ascii="Times New Roman" w:hAnsi="Times New Roman" w:eastAsia="宋体" w:cs="Times New Roman"/>
                <w:color w:val="auto"/>
                <w:kern w:val="2"/>
                <w:sz w:val="18"/>
                <w:szCs w:val="18"/>
                <w:lang w:val="en-US" w:eastAsia="zh-CN" w:bidi="ar-SA"/>
              </w:rPr>
            </w:pPr>
            <w:r>
              <w:rPr>
                <w:rFonts w:hint="eastAsia"/>
                <w:color w:val="auto"/>
                <w:sz w:val="18"/>
                <w:szCs w:val="18"/>
              </w:rPr>
              <w:t>管理会计理论与实务</w:t>
            </w:r>
          </w:p>
        </w:tc>
        <w:tc>
          <w:tcPr>
            <w:tcW w:w="1081" w:type="dxa"/>
            <w:tcBorders>
              <w:tl2br w:val="nil"/>
              <w:tr2bl w:val="nil"/>
            </w:tcBorders>
            <w:shd w:val="clear" w:color="auto" w:fill="auto"/>
            <w:vAlign w:val="top"/>
          </w:tcPr>
          <w:p w14:paraId="5B53B8FC">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ZS</w:t>
            </w:r>
            <w:r>
              <w:rPr>
                <w:color w:val="auto"/>
                <w:sz w:val="18"/>
                <w:szCs w:val="18"/>
              </w:rPr>
              <w:t>041</w:t>
            </w:r>
            <w:r>
              <w:rPr>
                <w:rFonts w:hint="eastAsia"/>
                <w:color w:val="auto"/>
                <w:sz w:val="18"/>
                <w:szCs w:val="18"/>
                <w:lang w:val="en-US" w:eastAsia="zh-CN"/>
              </w:rPr>
              <w:t>1</w:t>
            </w:r>
            <w:r>
              <w:rPr>
                <w:color w:val="auto"/>
                <w:sz w:val="18"/>
                <w:szCs w:val="18"/>
              </w:rPr>
              <w:t>006</w:t>
            </w:r>
          </w:p>
        </w:tc>
        <w:tc>
          <w:tcPr>
            <w:tcW w:w="709" w:type="dxa"/>
            <w:tcBorders>
              <w:tl2br w:val="nil"/>
              <w:tr2bl w:val="nil"/>
            </w:tcBorders>
            <w:shd w:val="clear" w:color="auto" w:fill="auto"/>
            <w:vAlign w:val="center"/>
          </w:tcPr>
          <w:p w14:paraId="27017FEA">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3</w:t>
            </w:r>
          </w:p>
        </w:tc>
        <w:tc>
          <w:tcPr>
            <w:tcW w:w="709" w:type="dxa"/>
            <w:tcBorders>
              <w:tl2br w:val="nil"/>
              <w:tr2bl w:val="nil"/>
            </w:tcBorders>
            <w:shd w:val="clear" w:color="auto" w:fill="auto"/>
            <w:vAlign w:val="center"/>
          </w:tcPr>
          <w:p w14:paraId="780DBF18">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146" w:type="dxa"/>
            <w:tcBorders>
              <w:tl2br w:val="nil"/>
              <w:tr2bl w:val="nil"/>
            </w:tcBorders>
            <w:shd w:val="clear" w:color="auto" w:fill="auto"/>
            <w:vAlign w:val="top"/>
          </w:tcPr>
          <w:p w14:paraId="77F2F24F">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考试</w:t>
            </w:r>
          </w:p>
        </w:tc>
      </w:tr>
      <w:tr w14:paraId="6A6C96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14219F85">
            <w:pPr>
              <w:jc w:val="center"/>
              <w:rPr>
                <w:b/>
                <w:color w:val="auto"/>
                <w:sz w:val="18"/>
                <w:szCs w:val="18"/>
              </w:rPr>
            </w:pPr>
          </w:p>
        </w:tc>
        <w:tc>
          <w:tcPr>
            <w:tcW w:w="1413" w:type="dxa"/>
            <w:vMerge w:val="continue"/>
            <w:tcBorders>
              <w:tl2br w:val="nil"/>
              <w:tr2bl w:val="nil"/>
            </w:tcBorders>
            <w:vAlign w:val="center"/>
          </w:tcPr>
          <w:p w14:paraId="337554A8">
            <w:pPr>
              <w:jc w:val="center"/>
              <w:rPr>
                <w:b/>
                <w:color w:val="auto"/>
                <w:sz w:val="18"/>
                <w:szCs w:val="18"/>
              </w:rPr>
            </w:pPr>
          </w:p>
        </w:tc>
        <w:tc>
          <w:tcPr>
            <w:tcW w:w="3912" w:type="dxa"/>
            <w:gridSpan w:val="2"/>
            <w:tcBorders>
              <w:tl2br w:val="nil"/>
              <w:tr2bl w:val="nil"/>
            </w:tcBorders>
            <w:shd w:val="clear" w:color="auto" w:fill="auto"/>
            <w:vAlign w:val="center"/>
          </w:tcPr>
          <w:p w14:paraId="2BB1CB8C">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审计职业道德</w:t>
            </w:r>
          </w:p>
        </w:tc>
        <w:tc>
          <w:tcPr>
            <w:tcW w:w="1081" w:type="dxa"/>
            <w:tcBorders>
              <w:tl2br w:val="nil"/>
              <w:tr2bl w:val="nil"/>
            </w:tcBorders>
            <w:shd w:val="clear" w:color="auto" w:fill="auto"/>
            <w:vAlign w:val="top"/>
          </w:tcPr>
          <w:p w14:paraId="74E11DA3">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w:t>
            </w:r>
            <w:r>
              <w:rPr>
                <w:color w:val="auto"/>
                <w:sz w:val="18"/>
                <w:szCs w:val="18"/>
              </w:rPr>
              <w:t>S0416</w:t>
            </w:r>
            <w:r>
              <w:rPr>
                <w:rFonts w:hint="eastAsia"/>
                <w:color w:val="auto"/>
                <w:sz w:val="18"/>
                <w:szCs w:val="18"/>
              </w:rPr>
              <w:t>0</w:t>
            </w:r>
            <w:r>
              <w:rPr>
                <w:color w:val="auto"/>
                <w:sz w:val="18"/>
                <w:szCs w:val="18"/>
              </w:rPr>
              <w:t>0</w:t>
            </w:r>
            <w:r>
              <w:rPr>
                <w:rFonts w:hint="eastAsia"/>
                <w:color w:val="auto"/>
                <w:sz w:val="18"/>
                <w:szCs w:val="18"/>
                <w:lang w:val="en-US" w:eastAsia="zh-CN"/>
              </w:rPr>
              <w:t>6</w:t>
            </w:r>
          </w:p>
        </w:tc>
        <w:tc>
          <w:tcPr>
            <w:tcW w:w="709" w:type="dxa"/>
            <w:tcBorders>
              <w:tl2br w:val="nil"/>
              <w:tr2bl w:val="nil"/>
            </w:tcBorders>
            <w:shd w:val="clear" w:color="auto" w:fill="auto"/>
            <w:vAlign w:val="center"/>
          </w:tcPr>
          <w:p w14:paraId="0C99100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tcBorders>
              <w:tl2br w:val="nil"/>
              <w:tr2bl w:val="nil"/>
            </w:tcBorders>
            <w:shd w:val="clear" w:color="auto" w:fill="auto"/>
            <w:vAlign w:val="center"/>
          </w:tcPr>
          <w:p w14:paraId="432E7E4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w:t>
            </w:r>
          </w:p>
        </w:tc>
        <w:tc>
          <w:tcPr>
            <w:tcW w:w="1146" w:type="dxa"/>
            <w:tcBorders>
              <w:tl2br w:val="nil"/>
              <w:tr2bl w:val="nil"/>
            </w:tcBorders>
            <w:shd w:val="clear" w:color="auto" w:fill="auto"/>
            <w:vAlign w:val="top"/>
          </w:tcPr>
          <w:p w14:paraId="23FB7635">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考试</w:t>
            </w:r>
          </w:p>
        </w:tc>
      </w:tr>
      <w:bookmarkEnd w:id="1"/>
      <w:tr w14:paraId="313F5E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tcBorders>
              <w:tl2br w:val="nil"/>
              <w:tr2bl w:val="nil"/>
            </w:tcBorders>
            <w:vAlign w:val="center"/>
          </w:tcPr>
          <w:p w14:paraId="77BFF91F">
            <w:pPr>
              <w:jc w:val="center"/>
              <w:rPr>
                <w:b/>
                <w:color w:val="auto"/>
                <w:sz w:val="18"/>
                <w:szCs w:val="18"/>
              </w:rPr>
            </w:pPr>
            <w:r>
              <w:rPr>
                <w:b/>
                <w:color w:val="auto"/>
                <w:sz w:val="18"/>
                <w:szCs w:val="18"/>
              </w:rPr>
              <w:t>非学位课</w:t>
            </w:r>
          </w:p>
        </w:tc>
        <w:tc>
          <w:tcPr>
            <w:tcW w:w="1413" w:type="dxa"/>
            <w:vMerge w:val="restart"/>
            <w:tcBorders>
              <w:tl2br w:val="nil"/>
              <w:tr2bl w:val="nil"/>
            </w:tcBorders>
            <w:vAlign w:val="center"/>
          </w:tcPr>
          <w:p w14:paraId="0EDF5719">
            <w:pPr>
              <w:jc w:val="center"/>
              <w:rPr>
                <w:b/>
                <w:color w:val="auto"/>
                <w:sz w:val="18"/>
                <w:szCs w:val="18"/>
              </w:rPr>
            </w:pPr>
            <w:r>
              <w:rPr>
                <w:b/>
                <w:color w:val="auto"/>
                <w:sz w:val="18"/>
                <w:szCs w:val="18"/>
              </w:rPr>
              <w:t>公共</w:t>
            </w:r>
            <w:r>
              <w:rPr>
                <w:rFonts w:hint="eastAsia"/>
                <w:b/>
                <w:color w:val="auto"/>
                <w:sz w:val="18"/>
                <w:szCs w:val="18"/>
              </w:rPr>
              <w:t>通识</w:t>
            </w:r>
            <w:r>
              <w:rPr>
                <w:b/>
                <w:color w:val="auto"/>
                <w:sz w:val="18"/>
                <w:szCs w:val="18"/>
              </w:rPr>
              <w:t>课</w:t>
            </w:r>
          </w:p>
          <w:p w14:paraId="07B5EC50">
            <w:pPr>
              <w:jc w:val="center"/>
              <w:rPr>
                <w:b/>
                <w:color w:val="auto"/>
                <w:sz w:val="18"/>
                <w:szCs w:val="18"/>
              </w:rPr>
            </w:pPr>
            <w:r>
              <w:rPr>
                <w:b/>
                <w:color w:val="auto"/>
                <w:sz w:val="18"/>
                <w:szCs w:val="18"/>
              </w:rPr>
              <w:t>（2学分）</w:t>
            </w:r>
          </w:p>
        </w:tc>
        <w:tc>
          <w:tcPr>
            <w:tcW w:w="3912" w:type="dxa"/>
            <w:gridSpan w:val="2"/>
            <w:tcBorders>
              <w:tl2br w:val="nil"/>
              <w:tr2bl w:val="nil"/>
            </w:tcBorders>
            <w:vAlign w:val="center"/>
          </w:tcPr>
          <w:p w14:paraId="6339DAC8">
            <w:pPr>
              <w:rPr>
                <w:color w:val="auto"/>
                <w:sz w:val="18"/>
                <w:szCs w:val="18"/>
              </w:rPr>
            </w:pPr>
            <w:r>
              <w:rPr>
                <w:color w:val="auto"/>
                <w:sz w:val="18"/>
                <w:szCs w:val="18"/>
              </w:rPr>
              <w:t>《习近平谈治国理政》研读</w:t>
            </w:r>
          </w:p>
        </w:tc>
        <w:tc>
          <w:tcPr>
            <w:tcW w:w="1081" w:type="dxa"/>
            <w:tcBorders>
              <w:tl2br w:val="nil"/>
              <w:tr2bl w:val="nil"/>
            </w:tcBorders>
            <w:vAlign w:val="center"/>
          </w:tcPr>
          <w:p w14:paraId="17C135E9">
            <w:pPr>
              <w:jc w:val="center"/>
              <w:rPr>
                <w:color w:val="auto"/>
                <w:sz w:val="18"/>
                <w:szCs w:val="18"/>
              </w:rPr>
            </w:pPr>
            <w:r>
              <w:rPr>
                <w:color w:val="auto"/>
                <w:sz w:val="18"/>
                <w:szCs w:val="18"/>
              </w:rPr>
              <w:t>T</w:t>
            </w:r>
            <w:r>
              <w:rPr>
                <w:rFonts w:hint="eastAsia"/>
                <w:color w:val="auto"/>
                <w:sz w:val="18"/>
                <w:szCs w:val="18"/>
              </w:rPr>
              <w:t>T</w:t>
            </w:r>
            <w:r>
              <w:rPr>
                <w:color w:val="auto"/>
                <w:sz w:val="18"/>
                <w:szCs w:val="18"/>
              </w:rPr>
              <w:t>0000</w:t>
            </w:r>
            <w:r>
              <w:rPr>
                <w:rFonts w:hint="eastAsia"/>
                <w:color w:val="auto"/>
                <w:sz w:val="18"/>
                <w:szCs w:val="18"/>
              </w:rPr>
              <w:t>10</w:t>
            </w:r>
            <w:r>
              <w:rPr>
                <w:color w:val="auto"/>
                <w:sz w:val="18"/>
                <w:szCs w:val="18"/>
              </w:rPr>
              <w:t>1</w:t>
            </w:r>
          </w:p>
        </w:tc>
        <w:tc>
          <w:tcPr>
            <w:tcW w:w="709" w:type="dxa"/>
            <w:tcBorders>
              <w:tl2br w:val="nil"/>
              <w:tr2bl w:val="nil"/>
            </w:tcBorders>
            <w:vAlign w:val="center"/>
          </w:tcPr>
          <w:p w14:paraId="53B51962">
            <w:pPr>
              <w:jc w:val="center"/>
              <w:rPr>
                <w:color w:val="auto"/>
                <w:sz w:val="18"/>
                <w:szCs w:val="18"/>
              </w:rPr>
            </w:pPr>
            <w:r>
              <w:rPr>
                <w:color w:val="auto"/>
                <w:sz w:val="18"/>
                <w:szCs w:val="18"/>
              </w:rPr>
              <w:t>1</w:t>
            </w:r>
          </w:p>
        </w:tc>
        <w:tc>
          <w:tcPr>
            <w:tcW w:w="709" w:type="dxa"/>
            <w:tcBorders>
              <w:tl2br w:val="nil"/>
              <w:tr2bl w:val="nil"/>
            </w:tcBorders>
            <w:vAlign w:val="center"/>
          </w:tcPr>
          <w:p w14:paraId="72DBB0F7">
            <w:pPr>
              <w:jc w:val="center"/>
              <w:rPr>
                <w:color w:val="auto"/>
                <w:sz w:val="18"/>
                <w:szCs w:val="18"/>
              </w:rPr>
            </w:pPr>
            <w:r>
              <w:rPr>
                <w:color w:val="auto"/>
                <w:sz w:val="18"/>
                <w:szCs w:val="18"/>
              </w:rPr>
              <w:t>2</w:t>
            </w:r>
          </w:p>
        </w:tc>
        <w:tc>
          <w:tcPr>
            <w:tcW w:w="1146" w:type="dxa"/>
            <w:tcBorders>
              <w:tl2br w:val="nil"/>
              <w:tr2bl w:val="nil"/>
            </w:tcBorders>
            <w:vAlign w:val="center"/>
          </w:tcPr>
          <w:p w14:paraId="4F0D0823">
            <w:pPr>
              <w:jc w:val="center"/>
              <w:rPr>
                <w:color w:val="auto"/>
                <w:sz w:val="18"/>
                <w:szCs w:val="18"/>
              </w:rPr>
            </w:pPr>
            <w:r>
              <w:rPr>
                <w:color w:val="auto"/>
                <w:sz w:val="18"/>
                <w:szCs w:val="18"/>
              </w:rPr>
              <w:t>考查</w:t>
            </w:r>
          </w:p>
        </w:tc>
      </w:tr>
      <w:tr w14:paraId="2F4882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tcBorders>
              <w:tl2br w:val="nil"/>
              <w:tr2bl w:val="nil"/>
            </w:tcBorders>
            <w:vAlign w:val="center"/>
          </w:tcPr>
          <w:p w14:paraId="4BB45434">
            <w:pPr>
              <w:jc w:val="center"/>
              <w:rPr>
                <w:b/>
                <w:color w:val="auto"/>
                <w:sz w:val="18"/>
                <w:szCs w:val="18"/>
              </w:rPr>
            </w:pPr>
          </w:p>
        </w:tc>
        <w:tc>
          <w:tcPr>
            <w:tcW w:w="1413" w:type="dxa"/>
            <w:vMerge w:val="continue"/>
            <w:tcBorders>
              <w:tl2br w:val="nil"/>
              <w:tr2bl w:val="nil"/>
            </w:tcBorders>
            <w:vAlign w:val="center"/>
          </w:tcPr>
          <w:p w14:paraId="1D96CBF7">
            <w:pPr>
              <w:jc w:val="center"/>
              <w:rPr>
                <w:b/>
                <w:color w:val="auto"/>
                <w:sz w:val="18"/>
                <w:szCs w:val="18"/>
              </w:rPr>
            </w:pPr>
          </w:p>
        </w:tc>
        <w:tc>
          <w:tcPr>
            <w:tcW w:w="3912" w:type="dxa"/>
            <w:gridSpan w:val="2"/>
            <w:tcBorders>
              <w:tl2br w:val="nil"/>
              <w:tr2bl w:val="nil"/>
            </w:tcBorders>
            <w:vAlign w:val="center"/>
          </w:tcPr>
          <w:p w14:paraId="59B382D8">
            <w:pPr>
              <w:rPr>
                <w:color w:val="auto"/>
                <w:sz w:val="18"/>
                <w:szCs w:val="18"/>
              </w:rPr>
            </w:pPr>
            <w:r>
              <w:rPr>
                <w:color w:val="auto"/>
                <w:sz w:val="18"/>
                <w:szCs w:val="18"/>
              </w:rPr>
              <w:t>马克思主义与社会科学方法论</w:t>
            </w:r>
          </w:p>
        </w:tc>
        <w:tc>
          <w:tcPr>
            <w:tcW w:w="1081" w:type="dxa"/>
            <w:tcBorders>
              <w:tl2br w:val="nil"/>
              <w:tr2bl w:val="nil"/>
            </w:tcBorders>
            <w:vAlign w:val="center"/>
          </w:tcPr>
          <w:p w14:paraId="44D81A39">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w:t>
            </w:r>
            <w:r>
              <w:rPr>
                <w:rFonts w:hint="eastAsia"/>
                <w:color w:val="auto"/>
                <w:sz w:val="18"/>
                <w:szCs w:val="18"/>
              </w:rPr>
              <w:t>0101</w:t>
            </w:r>
          </w:p>
        </w:tc>
        <w:tc>
          <w:tcPr>
            <w:tcW w:w="709" w:type="dxa"/>
            <w:tcBorders>
              <w:tl2br w:val="nil"/>
              <w:tr2bl w:val="nil"/>
            </w:tcBorders>
            <w:vAlign w:val="center"/>
          </w:tcPr>
          <w:p w14:paraId="7D1B9B26">
            <w:pPr>
              <w:jc w:val="center"/>
              <w:rPr>
                <w:color w:val="auto"/>
                <w:sz w:val="18"/>
                <w:szCs w:val="18"/>
              </w:rPr>
            </w:pPr>
            <w:r>
              <w:rPr>
                <w:color w:val="auto"/>
                <w:sz w:val="18"/>
                <w:szCs w:val="18"/>
              </w:rPr>
              <w:t>1</w:t>
            </w:r>
          </w:p>
        </w:tc>
        <w:tc>
          <w:tcPr>
            <w:tcW w:w="709" w:type="dxa"/>
            <w:tcBorders>
              <w:tl2br w:val="nil"/>
              <w:tr2bl w:val="nil"/>
            </w:tcBorders>
            <w:vAlign w:val="center"/>
          </w:tcPr>
          <w:p w14:paraId="359789AB">
            <w:pPr>
              <w:jc w:val="center"/>
              <w:rPr>
                <w:color w:val="auto"/>
                <w:sz w:val="18"/>
                <w:szCs w:val="18"/>
              </w:rPr>
            </w:pPr>
            <w:r>
              <w:rPr>
                <w:color w:val="auto"/>
                <w:sz w:val="18"/>
                <w:szCs w:val="18"/>
              </w:rPr>
              <w:t>2</w:t>
            </w:r>
          </w:p>
        </w:tc>
        <w:tc>
          <w:tcPr>
            <w:tcW w:w="1146" w:type="dxa"/>
            <w:tcBorders>
              <w:tl2br w:val="nil"/>
              <w:tr2bl w:val="nil"/>
            </w:tcBorders>
            <w:vAlign w:val="center"/>
          </w:tcPr>
          <w:p w14:paraId="7AD170F9">
            <w:pPr>
              <w:jc w:val="center"/>
              <w:rPr>
                <w:color w:val="auto"/>
                <w:sz w:val="18"/>
                <w:szCs w:val="18"/>
              </w:rPr>
            </w:pPr>
            <w:r>
              <w:rPr>
                <w:color w:val="auto"/>
                <w:sz w:val="18"/>
                <w:szCs w:val="18"/>
              </w:rPr>
              <w:t>考查</w:t>
            </w:r>
          </w:p>
        </w:tc>
      </w:tr>
      <w:tr w14:paraId="44E37A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02983F5B">
            <w:pPr>
              <w:rPr>
                <w:b/>
                <w:color w:val="auto"/>
                <w:sz w:val="18"/>
                <w:szCs w:val="18"/>
              </w:rPr>
            </w:pPr>
          </w:p>
        </w:tc>
        <w:tc>
          <w:tcPr>
            <w:tcW w:w="1413" w:type="dxa"/>
            <w:vMerge w:val="restart"/>
            <w:tcBorders>
              <w:tl2br w:val="nil"/>
              <w:tr2bl w:val="nil"/>
            </w:tcBorders>
            <w:vAlign w:val="center"/>
          </w:tcPr>
          <w:p w14:paraId="5B199456">
            <w:pPr>
              <w:jc w:val="center"/>
              <w:rPr>
                <w:rFonts w:hint="default" w:eastAsia="宋体"/>
                <w:b/>
                <w:color w:val="auto"/>
                <w:sz w:val="18"/>
                <w:szCs w:val="18"/>
                <w:lang w:val="en-US" w:eastAsia="zh-CN"/>
              </w:rPr>
            </w:pPr>
            <w:r>
              <w:rPr>
                <w:rFonts w:hint="eastAsia"/>
                <w:b/>
                <w:color w:val="auto"/>
                <w:sz w:val="18"/>
                <w:szCs w:val="18"/>
                <w:lang w:val="en-US" w:eastAsia="zh-CN"/>
              </w:rPr>
              <w:t>国家审计方向</w:t>
            </w:r>
          </w:p>
        </w:tc>
        <w:tc>
          <w:tcPr>
            <w:tcW w:w="3912" w:type="dxa"/>
            <w:gridSpan w:val="2"/>
            <w:tcBorders>
              <w:tl2br w:val="nil"/>
              <w:tr2bl w:val="nil"/>
            </w:tcBorders>
            <w:shd w:val="clear" w:color="auto" w:fill="auto"/>
            <w:vAlign w:val="center"/>
          </w:tcPr>
          <w:p w14:paraId="24D5C12F">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国家</w:t>
            </w:r>
            <w:r>
              <w:rPr>
                <w:rFonts w:hint="eastAsia"/>
                <w:color w:val="auto"/>
                <w:sz w:val="18"/>
                <w:szCs w:val="18"/>
              </w:rPr>
              <w:t>审计专题</w:t>
            </w:r>
          </w:p>
        </w:tc>
        <w:tc>
          <w:tcPr>
            <w:tcW w:w="1081" w:type="dxa"/>
            <w:tcBorders>
              <w:tl2br w:val="nil"/>
              <w:tr2bl w:val="nil"/>
            </w:tcBorders>
            <w:shd w:val="clear" w:color="auto" w:fill="auto"/>
            <w:vAlign w:val="top"/>
          </w:tcPr>
          <w:p w14:paraId="0CEC5E5D">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w:t>
            </w:r>
            <w:r>
              <w:rPr>
                <w:rFonts w:hint="eastAsia"/>
                <w:color w:val="auto"/>
                <w:sz w:val="18"/>
                <w:szCs w:val="18"/>
                <w:lang w:val="en-US" w:eastAsia="zh-CN"/>
              </w:rPr>
              <w:t>222</w:t>
            </w:r>
          </w:p>
        </w:tc>
        <w:tc>
          <w:tcPr>
            <w:tcW w:w="709" w:type="dxa"/>
            <w:tcBorders>
              <w:tl2br w:val="nil"/>
              <w:tr2bl w:val="nil"/>
            </w:tcBorders>
            <w:shd w:val="clear" w:color="auto" w:fill="auto"/>
            <w:vAlign w:val="top"/>
          </w:tcPr>
          <w:p w14:paraId="1C881139">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5FCED58C">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1146" w:type="dxa"/>
            <w:vMerge w:val="restart"/>
            <w:tcBorders>
              <w:tl2br w:val="nil"/>
              <w:tr2bl w:val="nil"/>
            </w:tcBorders>
            <w:vAlign w:val="center"/>
          </w:tcPr>
          <w:p w14:paraId="431A397F">
            <w:pPr>
              <w:adjustRightInd w:val="0"/>
              <w:snapToGrid w:val="0"/>
              <w:jc w:val="center"/>
              <w:rPr>
                <w:color w:val="auto"/>
                <w:sz w:val="18"/>
                <w:szCs w:val="18"/>
              </w:rPr>
            </w:pPr>
            <w:r>
              <w:rPr>
                <w:rFonts w:hint="eastAsia"/>
                <w:color w:val="auto"/>
                <w:sz w:val="18"/>
                <w:szCs w:val="18"/>
              </w:rPr>
              <w:t>本方向研究生至少选修</w:t>
            </w:r>
          </w:p>
          <w:p w14:paraId="52327E9B">
            <w:pPr>
              <w:jc w:val="center"/>
              <w:rPr>
                <w:color w:val="auto"/>
                <w:sz w:val="18"/>
                <w:szCs w:val="18"/>
              </w:rPr>
            </w:pPr>
            <w:r>
              <w:rPr>
                <w:rFonts w:hint="eastAsia"/>
                <w:color w:val="auto"/>
                <w:sz w:val="18"/>
                <w:szCs w:val="18"/>
                <w:lang w:val="en-US" w:eastAsia="zh-CN"/>
              </w:rPr>
              <w:t>6</w:t>
            </w:r>
            <w:r>
              <w:rPr>
                <w:rFonts w:hint="eastAsia"/>
                <w:color w:val="auto"/>
                <w:sz w:val="18"/>
                <w:szCs w:val="18"/>
              </w:rPr>
              <w:t>学分</w:t>
            </w:r>
          </w:p>
        </w:tc>
      </w:tr>
      <w:tr w14:paraId="4A35F0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25F2A629">
            <w:pPr>
              <w:rPr>
                <w:b/>
                <w:color w:val="auto"/>
                <w:sz w:val="18"/>
                <w:szCs w:val="18"/>
              </w:rPr>
            </w:pPr>
          </w:p>
        </w:tc>
        <w:tc>
          <w:tcPr>
            <w:tcW w:w="1413" w:type="dxa"/>
            <w:vMerge w:val="continue"/>
            <w:tcBorders>
              <w:tl2br w:val="nil"/>
              <w:tr2bl w:val="nil"/>
            </w:tcBorders>
            <w:vAlign w:val="center"/>
          </w:tcPr>
          <w:p w14:paraId="545D4AF2">
            <w:pPr>
              <w:jc w:val="center"/>
              <w:rPr>
                <w:rFonts w:hint="eastAsia"/>
                <w:b/>
                <w:color w:val="auto"/>
                <w:sz w:val="18"/>
                <w:szCs w:val="18"/>
                <w:lang w:val="en-US" w:eastAsia="zh-CN"/>
              </w:rPr>
            </w:pPr>
          </w:p>
        </w:tc>
        <w:tc>
          <w:tcPr>
            <w:tcW w:w="3912" w:type="dxa"/>
            <w:gridSpan w:val="2"/>
            <w:tcBorders>
              <w:tl2br w:val="nil"/>
              <w:tr2bl w:val="nil"/>
            </w:tcBorders>
            <w:shd w:val="clear" w:color="auto" w:fill="auto"/>
            <w:vAlign w:val="center"/>
          </w:tcPr>
          <w:p w14:paraId="3D9B18EB">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资源环境审计专题</w:t>
            </w:r>
          </w:p>
        </w:tc>
        <w:tc>
          <w:tcPr>
            <w:tcW w:w="1081" w:type="dxa"/>
            <w:tcBorders>
              <w:tl2br w:val="nil"/>
              <w:tr2bl w:val="nil"/>
            </w:tcBorders>
            <w:shd w:val="clear" w:color="auto" w:fill="auto"/>
            <w:vAlign w:val="top"/>
          </w:tcPr>
          <w:p w14:paraId="531610C8">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w:t>
            </w:r>
            <w:r>
              <w:rPr>
                <w:rFonts w:hint="eastAsia"/>
                <w:color w:val="auto"/>
                <w:sz w:val="18"/>
                <w:szCs w:val="18"/>
                <w:lang w:val="en-US" w:eastAsia="zh-CN"/>
              </w:rPr>
              <w:t>203</w:t>
            </w:r>
          </w:p>
        </w:tc>
        <w:tc>
          <w:tcPr>
            <w:tcW w:w="709" w:type="dxa"/>
            <w:tcBorders>
              <w:tl2br w:val="nil"/>
              <w:tr2bl w:val="nil"/>
            </w:tcBorders>
            <w:shd w:val="clear" w:color="auto" w:fill="auto"/>
            <w:vAlign w:val="top"/>
          </w:tcPr>
          <w:p w14:paraId="29C1E98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72ADFCF7">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1146" w:type="dxa"/>
            <w:vMerge w:val="continue"/>
            <w:tcBorders>
              <w:tl2br w:val="nil"/>
              <w:tr2bl w:val="nil"/>
            </w:tcBorders>
            <w:vAlign w:val="center"/>
          </w:tcPr>
          <w:p w14:paraId="3444792A">
            <w:pPr>
              <w:jc w:val="center"/>
              <w:rPr>
                <w:color w:val="auto"/>
                <w:sz w:val="18"/>
                <w:szCs w:val="18"/>
              </w:rPr>
            </w:pPr>
          </w:p>
        </w:tc>
      </w:tr>
      <w:tr w14:paraId="311FA8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0D16BEC3">
            <w:pPr>
              <w:rPr>
                <w:b/>
                <w:color w:val="auto"/>
                <w:sz w:val="18"/>
                <w:szCs w:val="18"/>
              </w:rPr>
            </w:pPr>
          </w:p>
        </w:tc>
        <w:tc>
          <w:tcPr>
            <w:tcW w:w="1413" w:type="dxa"/>
            <w:vMerge w:val="continue"/>
            <w:tcBorders>
              <w:tl2br w:val="nil"/>
              <w:tr2bl w:val="nil"/>
            </w:tcBorders>
            <w:vAlign w:val="center"/>
          </w:tcPr>
          <w:p w14:paraId="1F9DA140">
            <w:pPr>
              <w:jc w:val="center"/>
              <w:rPr>
                <w:rFonts w:hint="eastAsia"/>
                <w:b/>
                <w:color w:val="auto"/>
                <w:sz w:val="18"/>
                <w:szCs w:val="18"/>
                <w:lang w:val="en-US" w:eastAsia="zh-CN"/>
              </w:rPr>
            </w:pPr>
          </w:p>
        </w:tc>
        <w:tc>
          <w:tcPr>
            <w:tcW w:w="3912" w:type="dxa"/>
            <w:gridSpan w:val="2"/>
            <w:tcBorders>
              <w:tl2br w:val="nil"/>
              <w:tr2bl w:val="nil"/>
            </w:tcBorders>
            <w:shd w:val="clear" w:color="auto" w:fill="auto"/>
            <w:vAlign w:val="center"/>
          </w:tcPr>
          <w:p w14:paraId="420DCB30">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经济责任审计专题</w:t>
            </w:r>
          </w:p>
        </w:tc>
        <w:tc>
          <w:tcPr>
            <w:tcW w:w="1081" w:type="dxa"/>
            <w:tcBorders>
              <w:tl2br w:val="nil"/>
              <w:tr2bl w:val="nil"/>
            </w:tcBorders>
            <w:shd w:val="clear" w:color="auto" w:fill="auto"/>
            <w:vAlign w:val="top"/>
          </w:tcPr>
          <w:p w14:paraId="48C5B46A">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w:t>
            </w:r>
            <w:r>
              <w:rPr>
                <w:rFonts w:hint="eastAsia"/>
                <w:color w:val="auto"/>
                <w:sz w:val="18"/>
                <w:szCs w:val="18"/>
                <w:lang w:val="en-US" w:eastAsia="zh-CN"/>
              </w:rPr>
              <w:t>204</w:t>
            </w:r>
          </w:p>
        </w:tc>
        <w:tc>
          <w:tcPr>
            <w:tcW w:w="709" w:type="dxa"/>
            <w:tcBorders>
              <w:tl2br w:val="nil"/>
              <w:tr2bl w:val="nil"/>
            </w:tcBorders>
            <w:shd w:val="clear" w:color="auto" w:fill="auto"/>
            <w:vAlign w:val="top"/>
          </w:tcPr>
          <w:p w14:paraId="264F4CF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674384EE">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1146" w:type="dxa"/>
            <w:vMerge w:val="continue"/>
            <w:tcBorders>
              <w:tl2br w:val="nil"/>
              <w:tr2bl w:val="nil"/>
            </w:tcBorders>
            <w:vAlign w:val="center"/>
          </w:tcPr>
          <w:p w14:paraId="3CCB8B14">
            <w:pPr>
              <w:jc w:val="center"/>
              <w:rPr>
                <w:color w:val="auto"/>
                <w:sz w:val="18"/>
                <w:szCs w:val="18"/>
              </w:rPr>
            </w:pPr>
          </w:p>
        </w:tc>
      </w:tr>
      <w:tr w14:paraId="774A6B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2E3026EC">
            <w:pPr>
              <w:rPr>
                <w:b/>
                <w:color w:val="auto"/>
                <w:sz w:val="18"/>
                <w:szCs w:val="18"/>
              </w:rPr>
            </w:pPr>
          </w:p>
        </w:tc>
        <w:tc>
          <w:tcPr>
            <w:tcW w:w="1413" w:type="dxa"/>
            <w:vMerge w:val="continue"/>
            <w:tcBorders>
              <w:tl2br w:val="nil"/>
              <w:tr2bl w:val="nil"/>
            </w:tcBorders>
            <w:vAlign w:val="center"/>
          </w:tcPr>
          <w:p w14:paraId="189AECE5">
            <w:pPr>
              <w:jc w:val="center"/>
              <w:rPr>
                <w:rFonts w:hint="eastAsia"/>
                <w:b/>
                <w:color w:val="auto"/>
                <w:sz w:val="18"/>
                <w:szCs w:val="18"/>
                <w:lang w:val="en-US" w:eastAsia="zh-CN"/>
              </w:rPr>
            </w:pPr>
          </w:p>
        </w:tc>
        <w:tc>
          <w:tcPr>
            <w:tcW w:w="3912" w:type="dxa"/>
            <w:gridSpan w:val="2"/>
            <w:tcBorders>
              <w:tl2br w:val="nil"/>
              <w:tr2bl w:val="nil"/>
            </w:tcBorders>
            <w:shd w:val="clear" w:color="auto" w:fill="auto"/>
            <w:vAlign w:val="center"/>
          </w:tcPr>
          <w:p w14:paraId="5B459D92">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绩效审计专题</w:t>
            </w:r>
          </w:p>
        </w:tc>
        <w:tc>
          <w:tcPr>
            <w:tcW w:w="1081" w:type="dxa"/>
            <w:tcBorders>
              <w:tl2br w:val="nil"/>
              <w:tr2bl w:val="nil"/>
            </w:tcBorders>
            <w:shd w:val="clear" w:color="auto" w:fill="auto"/>
            <w:vAlign w:val="top"/>
          </w:tcPr>
          <w:p w14:paraId="5B1791DB">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w:t>
            </w:r>
            <w:r>
              <w:rPr>
                <w:rFonts w:hint="eastAsia"/>
                <w:color w:val="auto"/>
                <w:sz w:val="18"/>
                <w:szCs w:val="18"/>
                <w:lang w:val="en-US" w:eastAsia="zh-CN"/>
              </w:rPr>
              <w:t>205</w:t>
            </w:r>
          </w:p>
        </w:tc>
        <w:tc>
          <w:tcPr>
            <w:tcW w:w="709" w:type="dxa"/>
            <w:tcBorders>
              <w:tl2br w:val="nil"/>
              <w:tr2bl w:val="nil"/>
            </w:tcBorders>
            <w:shd w:val="clear" w:color="auto" w:fill="auto"/>
            <w:vAlign w:val="top"/>
          </w:tcPr>
          <w:p w14:paraId="2D8FEAE3">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58140584">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1146" w:type="dxa"/>
            <w:vMerge w:val="continue"/>
            <w:tcBorders>
              <w:tl2br w:val="nil"/>
              <w:tr2bl w:val="nil"/>
            </w:tcBorders>
            <w:vAlign w:val="center"/>
          </w:tcPr>
          <w:p w14:paraId="257D5EB4">
            <w:pPr>
              <w:jc w:val="center"/>
              <w:rPr>
                <w:color w:val="auto"/>
                <w:sz w:val="18"/>
                <w:szCs w:val="18"/>
              </w:rPr>
            </w:pPr>
          </w:p>
        </w:tc>
      </w:tr>
      <w:tr w14:paraId="337035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26FAFFF5">
            <w:pPr>
              <w:rPr>
                <w:b/>
                <w:color w:val="auto"/>
                <w:sz w:val="18"/>
                <w:szCs w:val="18"/>
              </w:rPr>
            </w:pPr>
          </w:p>
        </w:tc>
        <w:tc>
          <w:tcPr>
            <w:tcW w:w="1413" w:type="dxa"/>
            <w:vMerge w:val="continue"/>
            <w:tcBorders>
              <w:tl2br w:val="nil"/>
              <w:tr2bl w:val="nil"/>
            </w:tcBorders>
            <w:vAlign w:val="center"/>
          </w:tcPr>
          <w:p w14:paraId="379636AA">
            <w:pPr>
              <w:jc w:val="center"/>
              <w:rPr>
                <w:rFonts w:hint="default" w:eastAsia="宋体"/>
                <w:b/>
                <w:color w:val="auto"/>
                <w:sz w:val="18"/>
                <w:szCs w:val="18"/>
                <w:lang w:val="en-US" w:eastAsia="zh-CN"/>
              </w:rPr>
            </w:pPr>
          </w:p>
        </w:tc>
        <w:tc>
          <w:tcPr>
            <w:tcW w:w="3912" w:type="dxa"/>
            <w:gridSpan w:val="2"/>
            <w:tcBorders>
              <w:tl2br w:val="nil"/>
              <w:tr2bl w:val="nil"/>
            </w:tcBorders>
            <w:vAlign w:val="center"/>
          </w:tcPr>
          <w:p w14:paraId="3409D99F">
            <w:pPr>
              <w:adjustRightInd w:val="0"/>
              <w:snapToGrid w:val="0"/>
              <w:rPr>
                <w:color w:val="auto"/>
                <w:sz w:val="18"/>
                <w:szCs w:val="18"/>
              </w:rPr>
            </w:pPr>
            <w:r>
              <w:rPr>
                <w:rFonts w:hint="eastAsia"/>
                <w:color w:val="auto"/>
                <w:sz w:val="18"/>
                <w:szCs w:val="18"/>
              </w:rPr>
              <w:t>公共政策审计专题</w:t>
            </w:r>
          </w:p>
        </w:tc>
        <w:tc>
          <w:tcPr>
            <w:tcW w:w="1081" w:type="dxa"/>
            <w:tcBorders>
              <w:tl2br w:val="nil"/>
              <w:tr2bl w:val="nil"/>
            </w:tcBorders>
          </w:tcPr>
          <w:p w14:paraId="21E4FD33">
            <w:pPr>
              <w:jc w:val="center"/>
              <w:rPr>
                <w:rFonts w:hint="default" w:eastAsia="宋体"/>
                <w:i/>
                <w:color w:val="auto"/>
                <w:sz w:val="18"/>
                <w:szCs w:val="18"/>
                <w:lang w:val="en-US" w:eastAsia="zh-CN"/>
              </w:rPr>
            </w:pPr>
            <w:r>
              <w:rPr>
                <w:rFonts w:hint="eastAsia"/>
                <w:color w:val="auto"/>
                <w:sz w:val="18"/>
                <w:szCs w:val="18"/>
              </w:rPr>
              <w:t>Z</w:t>
            </w:r>
            <w:r>
              <w:rPr>
                <w:color w:val="auto"/>
                <w:sz w:val="18"/>
                <w:szCs w:val="18"/>
              </w:rPr>
              <w:t>S0416</w:t>
            </w:r>
            <w:r>
              <w:rPr>
                <w:rFonts w:hint="eastAsia"/>
                <w:color w:val="auto"/>
                <w:sz w:val="18"/>
                <w:szCs w:val="18"/>
                <w:lang w:val="en-US" w:eastAsia="zh-CN"/>
              </w:rPr>
              <w:t>206</w:t>
            </w:r>
          </w:p>
        </w:tc>
        <w:tc>
          <w:tcPr>
            <w:tcW w:w="709" w:type="dxa"/>
            <w:tcBorders>
              <w:tl2br w:val="nil"/>
              <w:tr2bl w:val="nil"/>
            </w:tcBorders>
          </w:tcPr>
          <w:p w14:paraId="4964F3BE">
            <w:pPr>
              <w:jc w:val="center"/>
              <w:rPr>
                <w:color w:val="auto"/>
                <w:sz w:val="18"/>
                <w:szCs w:val="18"/>
              </w:rPr>
            </w:pPr>
            <w:r>
              <w:rPr>
                <w:rFonts w:hint="eastAsia"/>
                <w:color w:val="auto"/>
                <w:sz w:val="18"/>
                <w:szCs w:val="18"/>
              </w:rPr>
              <w:t>2</w:t>
            </w:r>
          </w:p>
        </w:tc>
        <w:tc>
          <w:tcPr>
            <w:tcW w:w="709" w:type="dxa"/>
            <w:tcBorders>
              <w:tl2br w:val="nil"/>
              <w:tr2bl w:val="nil"/>
            </w:tcBorders>
          </w:tcPr>
          <w:p w14:paraId="72762093">
            <w:pPr>
              <w:jc w:val="center"/>
              <w:rPr>
                <w:i/>
                <w:color w:val="auto"/>
                <w:sz w:val="18"/>
                <w:szCs w:val="18"/>
              </w:rPr>
            </w:pPr>
            <w:r>
              <w:rPr>
                <w:rFonts w:hint="eastAsia"/>
                <w:color w:val="auto"/>
                <w:sz w:val="18"/>
                <w:szCs w:val="18"/>
              </w:rPr>
              <w:t>2</w:t>
            </w:r>
          </w:p>
        </w:tc>
        <w:tc>
          <w:tcPr>
            <w:tcW w:w="1146" w:type="dxa"/>
            <w:vMerge w:val="continue"/>
            <w:tcBorders>
              <w:tl2br w:val="nil"/>
              <w:tr2bl w:val="nil"/>
            </w:tcBorders>
            <w:vAlign w:val="center"/>
          </w:tcPr>
          <w:p w14:paraId="3C7AE824">
            <w:pPr>
              <w:jc w:val="center"/>
              <w:rPr>
                <w:color w:val="auto"/>
                <w:sz w:val="18"/>
                <w:szCs w:val="18"/>
              </w:rPr>
            </w:pPr>
          </w:p>
        </w:tc>
      </w:tr>
      <w:tr w14:paraId="7924E8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571" w:type="dxa"/>
            <w:vMerge w:val="continue"/>
            <w:tcBorders>
              <w:tl2br w:val="nil"/>
              <w:tr2bl w:val="nil"/>
            </w:tcBorders>
          </w:tcPr>
          <w:p w14:paraId="4D9717E2">
            <w:pPr>
              <w:rPr>
                <w:b/>
                <w:color w:val="auto"/>
                <w:sz w:val="18"/>
                <w:szCs w:val="18"/>
              </w:rPr>
            </w:pPr>
          </w:p>
        </w:tc>
        <w:tc>
          <w:tcPr>
            <w:tcW w:w="1413" w:type="dxa"/>
            <w:vMerge w:val="continue"/>
            <w:tcBorders>
              <w:tl2br w:val="nil"/>
              <w:tr2bl w:val="nil"/>
            </w:tcBorders>
            <w:vAlign w:val="center"/>
          </w:tcPr>
          <w:p w14:paraId="56EB98B2">
            <w:pPr>
              <w:jc w:val="center"/>
              <w:rPr>
                <w:b/>
                <w:color w:val="auto"/>
                <w:sz w:val="18"/>
                <w:szCs w:val="18"/>
              </w:rPr>
            </w:pPr>
          </w:p>
        </w:tc>
        <w:tc>
          <w:tcPr>
            <w:tcW w:w="3912" w:type="dxa"/>
            <w:gridSpan w:val="2"/>
            <w:tcBorders>
              <w:tl2br w:val="nil"/>
              <w:tr2bl w:val="nil"/>
            </w:tcBorders>
            <w:vAlign w:val="center"/>
          </w:tcPr>
          <w:p w14:paraId="75C35718">
            <w:pPr>
              <w:adjustRightInd w:val="0"/>
              <w:snapToGrid w:val="0"/>
              <w:rPr>
                <w:rFonts w:hint="eastAsia" w:eastAsia="宋体"/>
                <w:color w:val="auto"/>
                <w:sz w:val="18"/>
                <w:szCs w:val="18"/>
                <w:lang w:eastAsia="zh-CN"/>
              </w:rPr>
            </w:pPr>
            <w:r>
              <w:rPr>
                <w:rFonts w:hint="eastAsia"/>
                <w:color w:val="auto"/>
                <w:sz w:val="18"/>
                <w:szCs w:val="18"/>
              </w:rPr>
              <w:t>政府与非营利组织会计与</w:t>
            </w:r>
            <w:r>
              <w:rPr>
                <w:rFonts w:hint="eastAsia"/>
                <w:color w:val="auto"/>
                <w:sz w:val="18"/>
                <w:szCs w:val="18"/>
                <w:lang w:val="en-US" w:eastAsia="zh-CN"/>
              </w:rPr>
              <w:t>审计</w:t>
            </w:r>
          </w:p>
        </w:tc>
        <w:tc>
          <w:tcPr>
            <w:tcW w:w="1081" w:type="dxa"/>
            <w:tcBorders>
              <w:tl2br w:val="nil"/>
              <w:tr2bl w:val="nil"/>
            </w:tcBorders>
          </w:tcPr>
          <w:p w14:paraId="158DB41C">
            <w:pPr>
              <w:jc w:val="center"/>
              <w:rPr>
                <w:rFonts w:hint="default" w:eastAsia="宋体"/>
                <w:i/>
                <w:color w:val="auto"/>
                <w:sz w:val="18"/>
                <w:szCs w:val="18"/>
                <w:lang w:val="en-US" w:eastAsia="zh-CN"/>
              </w:rPr>
            </w:pPr>
            <w:r>
              <w:rPr>
                <w:rFonts w:hint="eastAsia"/>
                <w:color w:val="auto"/>
                <w:sz w:val="18"/>
                <w:szCs w:val="18"/>
              </w:rPr>
              <w:t>Z</w:t>
            </w:r>
            <w:r>
              <w:rPr>
                <w:color w:val="auto"/>
                <w:sz w:val="18"/>
                <w:szCs w:val="18"/>
              </w:rPr>
              <w:t>S0416</w:t>
            </w:r>
            <w:r>
              <w:rPr>
                <w:rFonts w:hint="eastAsia"/>
                <w:color w:val="auto"/>
                <w:sz w:val="18"/>
                <w:szCs w:val="18"/>
                <w:lang w:val="en-US" w:eastAsia="zh-CN"/>
              </w:rPr>
              <w:t>207</w:t>
            </w:r>
          </w:p>
        </w:tc>
        <w:tc>
          <w:tcPr>
            <w:tcW w:w="709" w:type="dxa"/>
            <w:tcBorders>
              <w:tl2br w:val="nil"/>
              <w:tr2bl w:val="nil"/>
            </w:tcBorders>
          </w:tcPr>
          <w:p w14:paraId="731C0504">
            <w:pPr>
              <w:jc w:val="center"/>
              <w:rPr>
                <w:color w:val="auto"/>
                <w:sz w:val="18"/>
                <w:szCs w:val="18"/>
              </w:rPr>
            </w:pPr>
            <w:r>
              <w:rPr>
                <w:rFonts w:hint="eastAsia"/>
                <w:color w:val="auto"/>
                <w:sz w:val="18"/>
                <w:szCs w:val="18"/>
              </w:rPr>
              <w:t>2</w:t>
            </w:r>
          </w:p>
        </w:tc>
        <w:tc>
          <w:tcPr>
            <w:tcW w:w="709" w:type="dxa"/>
            <w:tcBorders>
              <w:tl2br w:val="nil"/>
              <w:tr2bl w:val="nil"/>
            </w:tcBorders>
          </w:tcPr>
          <w:p w14:paraId="0F7ADC26">
            <w:pPr>
              <w:jc w:val="center"/>
              <w:rPr>
                <w:i/>
                <w:color w:val="auto"/>
                <w:sz w:val="18"/>
                <w:szCs w:val="18"/>
              </w:rPr>
            </w:pPr>
            <w:r>
              <w:rPr>
                <w:rFonts w:hint="eastAsia"/>
                <w:color w:val="auto"/>
                <w:sz w:val="18"/>
                <w:szCs w:val="18"/>
              </w:rPr>
              <w:t>2</w:t>
            </w:r>
          </w:p>
        </w:tc>
        <w:tc>
          <w:tcPr>
            <w:tcW w:w="1146" w:type="dxa"/>
            <w:vMerge w:val="continue"/>
            <w:tcBorders>
              <w:tl2br w:val="nil"/>
              <w:tr2bl w:val="nil"/>
            </w:tcBorders>
            <w:vAlign w:val="center"/>
          </w:tcPr>
          <w:p w14:paraId="63741792">
            <w:pPr>
              <w:jc w:val="center"/>
              <w:rPr>
                <w:color w:val="auto"/>
                <w:sz w:val="18"/>
                <w:szCs w:val="18"/>
              </w:rPr>
            </w:pPr>
          </w:p>
        </w:tc>
      </w:tr>
      <w:tr w14:paraId="167DAA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3487E015">
            <w:pPr>
              <w:rPr>
                <w:b/>
                <w:color w:val="auto"/>
                <w:sz w:val="18"/>
                <w:szCs w:val="18"/>
              </w:rPr>
            </w:pPr>
          </w:p>
        </w:tc>
        <w:tc>
          <w:tcPr>
            <w:tcW w:w="1413" w:type="dxa"/>
            <w:vMerge w:val="continue"/>
            <w:tcBorders>
              <w:tl2br w:val="nil"/>
              <w:tr2bl w:val="nil"/>
            </w:tcBorders>
            <w:vAlign w:val="center"/>
          </w:tcPr>
          <w:p w14:paraId="5AC6B9A7">
            <w:pPr>
              <w:jc w:val="center"/>
              <w:rPr>
                <w:b/>
                <w:color w:val="auto"/>
                <w:sz w:val="18"/>
                <w:szCs w:val="18"/>
              </w:rPr>
            </w:pPr>
          </w:p>
        </w:tc>
        <w:tc>
          <w:tcPr>
            <w:tcW w:w="3912" w:type="dxa"/>
            <w:gridSpan w:val="2"/>
            <w:tcBorders>
              <w:tl2br w:val="nil"/>
              <w:tr2bl w:val="nil"/>
            </w:tcBorders>
            <w:vAlign w:val="center"/>
          </w:tcPr>
          <w:p w14:paraId="0D3FCD24">
            <w:pPr>
              <w:adjustRightInd w:val="0"/>
              <w:snapToGrid w:val="0"/>
              <w:rPr>
                <w:color w:val="auto"/>
                <w:sz w:val="18"/>
                <w:szCs w:val="18"/>
              </w:rPr>
            </w:pPr>
            <w:r>
              <w:rPr>
                <w:rFonts w:hint="eastAsia"/>
                <w:color w:val="auto"/>
                <w:sz w:val="18"/>
                <w:szCs w:val="18"/>
              </w:rPr>
              <w:t>大数据审计</w:t>
            </w:r>
          </w:p>
        </w:tc>
        <w:tc>
          <w:tcPr>
            <w:tcW w:w="1081" w:type="dxa"/>
            <w:tcBorders>
              <w:tl2br w:val="nil"/>
              <w:tr2bl w:val="nil"/>
            </w:tcBorders>
          </w:tcPr>
          <w:p w14:paraId="1B019E64">
            <w:pPr>
              <w:jc w:val="center"/>
              <w:rPr>
                <w:rFonts w:hint="default" w:eastAsia="宋体"/>
                <w:color w:val="auto"/>
                <w:sz w:val="18"/>
                <w:szCs w:val="18"/>
                <w:lang w:val="en-US" w:eastAsia="zh-CN"/>
              </w:rPr>
            </w:pPr>
            <w:r>
              <w:rPr>
                <w:rFonts w:hint="eastAsia"/>
                <w:color w:val="auto"/>
                <w:sz w:val="18"/>
                <w:szCs w:val="18"/>
              </w:rPr>
              <w:t>Z</w:t>
            </w:r>
            <w:r>
              <w:rPr>
                <w:color w:val="auto"/>
                <w:sz w:val="18"/>
                <w:szCs w:val="18"/>
              </w:rPr>
              <w:t>S04161</w:t>
            </w:r>
            <w:r>
              <w:rPr>
                <w:rFonts w:hint="eastAsia"/>
                <w:color w:val="auto"/>
                <w:sz w:val="18"/>
                <w:szCs w:val="18"/>
                <w:lang w:val="en-US" w:eastAsia="zh-CN"/>
              </w:rPr>
              <w:t>03</w:t>
            </w:r>
          </w:p>
        </w:tc>
        <w:tc>
          <w:tcPr>
            <w:tcW w:w="709" w:type="dxa"/>
            <w:tcBorders>
              <w:tl2br w:val="nil"/>
              <w:tr2bl w:val="nil"/>
            </w:tcBorders>
          </w:tcPr>
          <w:p w14:paraId="6435BBE2">
            <w:pPr>
              <w:jc w:val="center"/>
              <w:rPr>
                <w:color w:val="auto"/>
                <w:sz w:val="18"/>
                <w:szCs w:val="18"/>
              </w:rPr>
            </w:pPr>
            <w:r>
              <w:rPr>
                <w:rFonts w:hint="eastAsia"/>
                <w:color w:val="auto"/>
                <w:sz w:val="18"/>
                <w:szCs w:val="18"/>
              </w:rPr>
              <w:t>2</w:t>
            </w:r>
          </w:p>
        </w:tc>
        <w:tc>
          <w:tcPr>
            <w:tcW w:w="709" w:type="dxa"/>
            <w:tcBorders>
              <w:tl2br w:val="nil"/>
              <w:tr2bl w:val="nil"/>
            </w:tcBorders>
          </w:tcPr>
          <w:p w14:paraId="659D165B">
            <w:pPr>
              <w:jc w:val="center"/>
              <w:rPr>
                <w:rFonts w:hint="eastAsia" w:eastAsia="宋体"/>
                <w:i/>
                <w:color w:val="auto"/>
                <w:sz w:val="18"/>
                <w:szCs w:val="18"/>
                <w:lang w:eastAsia="zh-CN"/>
              </w:rPr>
            </w:pPr>
            <w:r>
              <w:rPr>
                <w:rFonts w:hint="eastAsia"/>
                <w:color w:val="auto"/>
                <w:sz w:val="18"/>
                <w:szCs w:val="18"/>
                <w:lang w:val="en-US" w:eastAsia="zh-CN"/>
              </w:rPr>
              <w:t>2</w:t>
            </w:r>
          </w:p>
        </w:tc>
        <w:tc>
          <w:tcPr>
            <w:tcW w:w="1146" w:type="dxa"/>
            <w:vMerge w:val="continue"/>
            <w:tcBorders>
              <w:tl2br w:val="nil"/>
              <w:tr2bl w:val="nil"/>
            </w:tcBorders>
            <w:vAlign w:val="center"/>
          </w:tcPr>
          <w:p w14:paraId="79358AC3">
            <w:pPr>
              <w:jc w:val="center"/>
              <w:rPr>
                <w:color w:val="auto"/>
                <w:sz w:val="18"/>
                <w:szCs w:val="18"/>
              </w:rPr>
            </w:pPr>
          </w:p>
        </w:tc>
      </w:tr>
      <w:tr w14:paraId="1F71EA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571" w:type="dxa"/>
            <w:vMerge w:val="continue"/>
            <w:tcBorders>
              <w:tl2br w:val="nil"/>
              <w:tr2bl w:val="nil"/>
            </w:tcBorders>
          </w:tcPr>
          <w:p w14:paraId="428B13C1">
            <w:pPr>
              <w:rPr>
                <w:b/>
                <w:color w:val="auto"/>
                <w:sz w:val="18"/>
                <w:szCs w:val="18"/>
              </w:rPr>
            </w:pPr>
          </w:p>
        </w:tc>
        <w:tc>
          <w:tcPr>
            <w:tcW w:w="1413" w:type="dxa"/>
            <w:vMerge w:val="continue"/>
            <w:tcBorders>
              <w:tl2br w:val="nil"/>
              <w:tr2bl w:val="nil"/>
            </w:tcBorders>
            <w:vAlign w:val="center"/>
          </w:tcPr>
          <w:p w14:paraId="492BC771">
            <w:pPr>
              <w:jc w:val="center"/>
              <w:rPr>
                <w:b/>
                <w:color w:val="auto"/>
                <w:sz w:val="18"/>
                <w:szCs w:val="18"/>
              </w:rPr>
            </w:pPr>
          </w:p>
        </w:tc>
        <w:tc>
          <w:tcPr>
            <w:tcW w:w="3912" w:type="dxa"/>
            <w:gridSpan w:val="2"/>
            <w:tcBorders>
              <w:tl2br w:val="nil"/>
              <w:tr2bl w:val="nil"/>
            </w:tcBorders>
            <w:vAlign w:val="center"/>
          </w:tcPr>
          <w:p w14:paraId="6A6B3157">
            <w:pPr>
              <w:adjustRightInd w:val="0"/>
              <w:snapToGrid w:val="0"/>
              <w:rPr>
                <w:color w:val="auto"/>
                <w:sz w:val="18"/>
                <w:szCs w:val="18"/>
              </w:rPr>
            </w:pPr>
            <w:r>
              <w:rPr>
                <w:rFonts w:hint="eastAsia"/>
                <w:color w:val="auto"/>
                <w:sz w:val="18"/>
                <w:szCs w:val="18"/>
              </w:rPr>
              <w:t>审计管理</w:t>
            </w:r>
          </w:p>
        </w:tc>
        <w:tc>
          <w:tcPr>
            <w:tcW w:w="1081" w:type="dxa"/>
            <w:tcBorders>
              <w:tl2br w:val="nil"/>
              <w:tr2bl w:val="nil"/>
            </w:tcBorders>
          </w:tcPr>
          <w:p w14:paraId="13477761">
            <w:pPr>
              <w:jc w:val="center"/>
              <w:rPr>
                <w:rFonts w:hint="default" w:eastAsia="宋体"/>
                <w:color w:val="auto"/>
                <w:sz w:val="18"/>
                <w:szCs w:val="18"/>
                <w:lang w:val="en-US" w:eastAsia="zh-CN"/>
              </w:rPr>
            </w:pPr>
            <w:r>
              <w:rPr>
                <w:rFonts w:hint="eastAsia"/>
                <w:color w:val="auto"/>
                <w:sz w:val="18"/>
                <w:szCs w:val="18"/>
              </w:rPr>
              <w:t>Z</w:t>
            </w:r>
            <w:r>
              <w:rPr>
                <w:color w:val="auto"/>
                <w:sz w:val="18"/>
                <w:szCs w:val="18"/>
              </w:rPr>
              <w:t>S04161</w:t>
            </w:r>
            <w:r>
              <w:rPr>
                <w:rFonts w:hint="eastAsia"/>
                <w:color w:val="auto"/>
                <w:sz w:val="18"/>
                <w:szCs w:val="18"/>
                <w:lang w:val="en-US" w:eastAsia="zh-CN"/>
              </w:rPr>
              <w:t>06</w:t>
            </w:r>
          </w:p>
        </w:tc>
        <w:tc>
          <w:tcPr>
            <w:tcW w:w="709" w:type="dxa"/>
            <w:tcBorders>
              <w:tl2br w:val="nil"/>
              <w:tr2bl w:val="nil"/>
            </w:tcBorders>
          </w:tcPr>
          <w:p w14:paraId="2D64872D">
            <w:pPr>
              <w:jc w:val="center"/>
              <w:rPr>
                <w:color w:val="auto"/>
                <w:sz w:val="18"/>
                <w:szCs w:val="18"/>
              </w:rPr>
            </w:pPr>
            <w:r>
              <w:rPr>
                <w:rFonts w:hint="eastAsia"/>
                <w:color w:val="auto"/>
                <w:sz w:val="18"/>
                <w:szCs w:val="18"/>
              </w:rPr>
              <w:t>2</w:t>
            </w:r>
          </w:p>
        </w:tc>
        <w:tc>
          <w:tcPr>
            <w:tcW w:w="709" w:type="dxa"/>
            <w:tcBorders>
              <w:tl2br w:val="nil"/>
              <w:tr2bl w:val="nil"/>
            </w:tcBorders>
          </w:tcPr>
          <w:p w14:paraId="3CBEB3C0">
            <w:pPr>
              <w:jc w:val="center"/>
              <w:rPr>
                <w:i/>
                <w:color w:val="auto"/>
                <w:sz w:val="18"/>
                <w:szCs w:val="18"/>
              </w:rPr>
            </w:pPr>
            <w:r>
              <w:rPr>
                <w:rFonts w:hint="eastAsia"/>
                <w:color w:val="auto"/>
                <w:sz w:val="18"/>
                <w:szCs w:val="18"/>
              </w:rPr>
              <w:t>1</w:t>
            </w:r>
          </w:p>
        </w:tc>
        <w:tc>
          <w:tcPr>
            <w:tcW w:w="1146" w:type="dxa"/>
            <w:vMerge w:val="continue"/>
            <w:tcBorders>
              <w:tl2br w:val="nil"/>
              <w:tr2bl w:val="nil"/>
            </w:tcBorders>
            <w:vAlign w:val="center"/>
          </w:tcPr>
          <w:p w14:paraId="73359BCD">
            <w:pPr>
              <w:jc w:val="center"/>
              <w:rPr>
                <w:color w:val="auto"/>
                <w:sz w:val="18"/>
                <w:szCs w:val="18"/>
              </w:rPr>
            </w:pPr>
          </w:p>
        </w:tc>
      </w:tr>
      <w:tr w14:paraId="10F1F3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571" w:type="dxa"/>
            <w:vMerge w:val="continue"/>
            <w:tcBorders>
              <w:tl2br w:val="nil"/>
              <w:tr2bl w:val="nil"/>
            </w:tcBorders>
          </w:tcPr>
          <w:p w14:paraId="540D0FD9">
            <w:pPr>
              <w:rPr>
                <w:b/>
                <w:color w:val="auto"/>
                <w:sz w:val="18"/>
                <w:szCs w:val="18"/>
              </w:rPr>
            </w:pPr>
          </w:p>
        </w:tc>
        <w:tc>
          <w:tcPr>
            <w:tcW w:w="1413" w:type="dxa"/>
            <w:vMerge w:val="continue"/>
            <w:tcBorders>
              <w:tl2br w:val="nil"/>
              <w:tr2bl w:val="nil"/>
            </w:tcBorders>
            <w:vAlign w:val="center"/>
          </w:tcPr>
          <w:p w14:paraId="0CA9F2E0">
            <w:pPr>
              <w:jc w:val="center"/>
              <w:rPr>
                <w:b/>
                <w:color w:val="auto"/>
                <w:sz w:val="18"/>
                <w:szCs w:val="18"/>
              </w:rPr>
            </w:pPr>
          </w:p>
        </w:tc>
        <w:tc>
          <w:tcPr>
            <w:tcW w:w="3912" w:type="dxa"/>
            <w:gridSpan w:val="2"/>
            <w:tcBorders>
              <w:tl2br w:val="nil"/>
              <w:tr2bl w:val="nil"/>
            </w:tcBorders>
            <w:vAlign w:val="center"/>
          </w:tcPr>
          <w:p w14:paraId="64B1C282">
            <w:pPr>
              <w:adjustRightInd w:val="0"/>
              <w:snapToGrid w:val="0"/>
              <w:rPr>
                <w:color w:val="auto"/>
                <w:sz w:val="18"/>
                <w:szCs w:val="18"/>
              </w:rPr>
            </w:pPr>
            <w:r>
              <w:rPr>
                <w:rFonts w:hint="eastAsia"/>
                <w:color w:val="auto"/>
                <w:sz w:val="18"/>
                <w:szCs w:val="18"/>
              </w:rPr>
              <w:t>数量分析方法</w:t>
            </w:r>
          </w:p>
        </w:tc>
        <w:tc>
          <w:tcPr>
            <w:tcW w:w="1081" w:type="dxa"/>
            <w:tcBorders>
              <w:tl2br w:val="nil"/>
              <w:tr2bl w:val="nil"/>
            </w:tcBorders>
          </w:tcPr>
          <w:p w14:paraId="634A8E49">
            <w:pPr>
              <w:jc w:val="center"/>
              <w:rPr>
                <w:rFonts w:hint="default" w:eastAsia="宋体"/>
                <w:color w:val="auto"/>
                <w:sz w:val="18"/>
                <w:szCs w:val="18"/>
                <w:lang w:val="en-US" w:eastAsia="zh-CN"/>
              </w:rPr>
            </w:pPr>
            <w:r>
              <w:rPr>
                <w:rFonts w:hint="eastAsia"/>
                <w:color w:val="auto"/>
                <w:sz w:val="18"/>
                <w:szCs w:val="18"/>
              </w:rPr>
              <w:t>Z</w:t>
            </w:r>
            <w:r>
              <w:rPr>
                <w:color w:val="auto"/>
                <w:sz w:val="18"/>
                <w:szCs w:val="18"/>
              </w:rPr>
              <w:t>S04161</w:t>
            </w:r>
            <w:r>
              <w:rPr>
                <w:rFonts w:hint="eastAsia"/>
                <w:color w:val="auto"/>
                <w:sz w:val="18"/>
                <w:szCs w:val="18"/>
                <w:lang w:val="en-US" w:eastAsia="zh-CN"/>
              </w:rPr>
              <w:t>09</w:t>
            </w:r>
          </w:p>
        </w:tc>
        <w:tc>
          <w:tcPr>
            <w:tcW w:w="709" w:type="dxa"/>
            <w:tcBorders>
              <w:tl2br w:val="nil"/>
              <w:tr2bl w:val="nil"/>
            </w:tcBorders>
          </w:tcPr>
          <w:p w14:paraId="5EE3155C">
            <w:pPr>
              <w:jc w:val="center"/>
              <w:rPr>
                <w:color w:val="auto"/>
                <w:sz w:val="18"/>
                <w:szCs w:val="18"/>
              </w:rPr>
            </w:pPr>
            <w:r>
              <w:rPr>
                <w:rFonts w:hint="eastAsia"/>
                <w:color w:val="auto"/>
                <w:sz w:val="18"/>
                <w:szCs w:val="18"/>
              </w:rPr>
              <w:t>2</w:t>
            </w:r>
          </w:p>
        </w:tc>
        <w:tc>
          <w:tcPr>
            <w:tcW w:w="709" w:type="dxa"/>
            <w:tcBorders>
              <w:tl2br w:val="nil"/>
              <w:tr2bl w:val="nil"/>
            </w:tcBorders>
          </w:tcPr>
          <w:p w14:paraId="0DEDD289">
            <w:pPr>
              <w:jc w:val="center"/>
              <w:rPr>
                <w:rFonts w:hint="eastAsia" w:eastAsia="宋体"/>
                <w:i/>
                <w:color w:val="auto"/>
                <w:sz w:val="18"/>
                <w:szCs w:val="18"/>
                <w:lang w:eastAsia="zh-CN"/>
              </w:rPr>
            </w:pPr>
            <w:r>
              <w:rPr>
                <w:rFonts w:hint="eastAsia"/>
                <w:color w:val="auto"/>
                <w:sz w:val="18"/>
                <w:szCs w:val="18"/>
                <w:lang w:val="en-US" w:eastAsia="zh-CN"/>
              </w:rPr>
              <w:t>2</w:t>
            </w:r>
          </w:p>
        </w:tc>
        <w:tc>
          <w:tcPr>
            <w:tcW w:w="1146" w:type="dxa"/>
            <w:vMerge w:val="continue"/>
            <w:tcBorders>
              <w:tl2br w:val="nil"/>
              <w:tr2bl w:val="nil"/>
            </w:tcBorders>
            <w:vAlign w:val="center"/>
          </w:tcPr>
          <w:p w14:paraId="32CC17A1">
            <w:pPr>
              <w:jc w:val="center"/>
              <w:rPr>
                <w:color w:val="auto"/>
                <w:sz w:val="18"/>
                <w:szCs w:val="18"/>
              </w:rPr>
            </w:pPr>
          </w:p>
        </w:tc>
      </w:tr>
      <w:tr w14:paraId="26C858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7128A857">
            <w:pPr>
              <w:rPr>
                <w:b/>
                <w:color w:val="auto"/>
                <w:sz w:val="18"/>
                <w:szCs w:val="18"/>
              </w:rPr>
            </w:pPr>
            <w:bookmarkStart w:id="2" w:name="_Hlk72079598"/>
          </w:p>
        </w:tc>
        <w:tc>
          <w:tcPr>
            <w:tcW w:w="1413" w:type="dxa"/>
            <w:vMerge w:val="continue"/>
            <w:tcBorders>
              <w:tl2br w:val="nil"/>
              <w:tr2bl w:val="nil"/>
            </w:tcBorders>
            <w:vAlign w:val="center"/>
          </w:tcPr>
          <w:p w14:paraId="4D79F284">
            <w:pPr>
              <w:jc w:val="center"/>
              <w:rPr>
                <w:b/>
                <w:color w:val="auto"/>
                <w:sz w:val="18"/>
                <w:szCs w:val="18"/>
              </w:rPr>
            </w:pPr>
          </w:p>
        </w:tc>
        <w:tc>
          <w:tcPr>
            <w:tcW w:w="3912" w:type="dxa"/>
            <w:gridSpan w:val="2"/>
            <w:tcBorders>
              <w:tl2br w:val="nil"/>
              <w:tr2bl w:val="nil"/>
            </w:tcBorders>
            <w:shd w:val="clear" w:color="auto" w:fill="auto"/>
            <w:vAlign w:val="center"/>
          </w:tcPr>
          <w:p w14:paraId="50EFA128">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审计信息化专题</w:t>
            </w:r>
          </w:p>
        </w:tc>
        <w:tc>
          <w:tcPr>
            <w:tcW w:w="1081" w:type="dxa"/>
            <w:tcBorders>
              <w:tl2br w:val="nil"/>
              <w:tr2bl w:val="nil"/>
            </w:tcBorders>
            <w:shd w:val="clear" w:color="auto" w:fill="auto"/>
            <w:vAlign w:val="center"/>
          </w:tcPr>
          <w:p w14:paraId="17CA24D7">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S04161</w:t>
            </w:r>
            <w:r>
              <w:rPr>
                <w:rFonts w:hint="eastAsia"/>
                <w:color w:val="auto"/>
                <w:sz w:val="18"/>
                <w:szCs w:val="18"/>
                <w:lang w:val="en-US" w:eastAsia="zh-CN"/>
              </w:rPr>
              <w:t>01</w:t>
            </w:r>
          </w:p>
        </w:tc>
        <w:tc>
          <w:tcPr>
            <w:tcW w:w="709" w:type="dxa"/>
            <w:tcBorders>
              <w:tl2br w:val="nil"/>
              <w:tr2bl w:val="nil"/>
            </w:tcBorders>
            <w:shd w:val="clear" w:color="auto" w:fill="auto"/>
            <w:vAlign w:val="top"/>
          </w:tcPr>
          <w:p w14:paraId="1570FAC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center"/>
          </w:tcPr>
          <w:p w14:paraId="5415842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146" w:type="dxa"/>
            <w:vMerge w:val="continue"/>
            <w:tcBorders>
              <w:tl2br w:val="nil"/>
              <w:tr2bl w:val="nil"/>
            </w:tcBorders>
            <w:vAlign w:val="center"/>
          </w:tcPr>
          <w:p w14:paraId="415B7FF0">
            <w:pPr>
              <w:jc w:val="center"/>
              <w:rPr>
                <w:color w:val="auto"/>
                <w:sz w:val="18"/>
                <w:szCs w:val="18"/>
              </w:rPr>
            </w:pPr>
          </w:p>
        </w:tc>
      </w:tr>
      <w:tr w14:paraId="40A198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571" w:type="dxa"/>
            <w:vMerge w:val="continue"/>
            <w:tcBorders>
              <w:tl2br w:val="nil"/>
              <w:tr2bl w:val="nil"/>
            </w:tcBorders>
          </w:tcPr>
          <w:p w14:paraId="24C403EB">
            <w:pPr>
              <w:rPr>
                <w:b/>
                <w:color w:val="auto"/>
                <w:sz w:val="18"/>
                <w:szCs w:val="18"/>
              </w:rPr>
            </w:pPr>
          </w:p>
        </w:tc>
        <w:tc>
          <w:tcPr>
            <w:tcW w:w="1413" w:type="dxa"/>
            <w:vMerge w:val="restart"/>
            <w:tcBorders>
              <w:tl2br w:val="nil"/>
              <w:tr2bl w:val="nil"/>
            </w:tcBorders>
            <w:vAlign w:val="center"/>
          </w:tcPr>
          <w:p w14:paraId="794A1010">
            <w:pPr>
              <w:adjustRightInd w:val="0"/>
              <w:snapToGrid w:val="0"/>
              <w:jc w:val="center"/>
              <w:rPr>
                <w:rFonts w:hint="eastAsia" w:eastAsia="宋体"/>
                <w:b/>
                <w:color w:val="auto"/>
                <w:sz w:val="18"/>
                <w:szCs w:val="18"/>
                <w:lang w:val="en-US" w:eastAsia="zh-CN"/>
              </w:rPr>
            </w:pPr>
            <w:r>
              <w:rPr>
                <w:rFonts w:hint="eastAsia"/>
                <w:b/>
                <w:color w:val="auto"/>
                <w:sz w:val="18"/>
                <w:szCs w:val="18"/>
              </w:rPr>
              <w:t>内部审计方向</w:t>
            </w:r>
            <w:r>
              <w:rPr>
                <w:rFonts w:hint="eastAsia"/>
                <w:b/>
                <w:color w:val="auto"/>
                <w:sz w:val="18"/>
                <w:szCs w:val="18"/>
                <w:lang w:val="en-US" w:eastAsia="zh-CN"/>
              </w:rPr>
              <w:t>选修课</w:t>
            </w:r>
          </w:p>
          <w:p w14:paraId="69C19FCC">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2BB53E6E">
            <w:pP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cs="Times New Roman"/>
                <w:color w:val="auto"/>
                <w:sz w:val="18"/>
                <w:szCs w:val="18"/>
              </w:rPr>
              <w:t>大数据与财务决策</w:t>
            </w:r>
          </w:p>
        </w:tc>
        <w:tc>
          <w:tcPr>
            <w:tcW w:w="1081" w:type="dxa"/>
            <w:tcBorders>
              <w:tl2br w:val="nil"/>
              <w:tr2bl w:val="nil"/>
            </w:tcBorders>
            <w:shd w:val="clear" w:color="auto" w:fill="auto"/>
            <w:vAlign w:val="center"/>
          </w:tcPr>
          <w:p w14:paraId="6ED86CF6">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w:t>
            </w:r>
            <w:r>
              <w:rPr>
                <w:color w:val="auto"/>
                <w:sz w:val="18"/>
                <w:szCs w:val="18"/>
              </w:rPr>
              <w:t>0411</w:t>
            </w:r>
            <w:r>
              <w:rPr>
                <w:rFonts w:hint="eastAsia"/>
                <w:color w:val="auto"/>
                <w:sz w:val="18"/>
                <w:szCs w:val="18"/>
                <w:lang w:val="en-US" w:eastAsia="zh-CN"/>
              </w:rPr>
              <w:t>10</w:t>
            </w:r>
            <w:r>
              <w:rPr>
                <w:color w:val="auto"/>
                <w:sz w:val="18"/>
                <w:szCs w:val="18"/>
              </w:rPr>
              <w:t>1</w:t>
            </w:r>
          </w:p>
        </w:tc>
        <w:tc>
          <w:tcPr>
            <w:tcW w:w="709" w:type="dxa"/>
            <w:tcBorders>
              <w:tl2br w:val="nil"/>
              <w:tr2bl w:val="nil"/>
            </w:tcBorders>
            <w:shd w:val="clear" w:color="auto" w:fill="auto"/>
            <w:vAlign w:val="center"/>
          </w:tcPr>
          <w:p w14:paraId="1ECD0DA7">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rPr>
              <w:t>2</w:t>
            </w:r>
          </w:p>
        </w:tc>
        <w:tc>
          <w:tcPr>
            <w:tcW w:w="709" w:type="dxa"/>
            <w:tcBorders>
              <w:tl2br w:val="nil"/>
              <w:tr2bl w:val="nil"/>
            </w:tcBorders>
            <w:shd w:val="clear" w:color="auto" w:fill="auto"/>
            <w:vAlign w:val="center"/>
          </w:tcPr>
          <w:p w14:paraId="2C4F4479">
            <w:pPr>
              <w:jc w:val="center"/>
              <w:rPr>
                <w:rFonts w:hint="eastAsia" w:ascii="Times New Roman" w:hAnsi="Times New Roman" w:eastAsia="宋体" w:cs="Times New Roman"/>
                <w:i/>
                <w:color w:val="auto"/>
                <w:kern w:val="2"/>
                <w:sz w:val="18"/>
                <w:szCs w:val="18"/>
                <w:lang w:val="en-US" w:eastAsia="zh-CN" w:bidi="ar-SA"/>
              </w:rPr>
            </w:pPr>
            <w:r>
              <w:rPr>
                <w:rFonts w:hint="eastAsia"/>
                <w:sz w:val="18"/>
                <w:szCs w:val="18"/>
              </w:rPr>
              <w:t>2</w:t>
            </w:r>
          </w:p>
        </w:tc>
        <w:tc>
          <w:tcPr>
            <w:tcW w:w="1146" w:type="dxa"/>
            <w:vMerge w:val="restart"/>
            <w:tcBorders>
              <w:tl2br w:val="nil"/>
              <w:tr2bl w:val="nil"/>
            </w:tcBorders>
            <w:vAlign w:val="center"/>
          </w:tcPr>
          <w:p w14:paraId="17248812">
            <w:pPr>
              <w:adjustRightInd w:val="0"/>
              <w:snapToGrid w:val="0"/>
              <w:jc w:val="center"/>
              <w:rPr>
                <w:color w:val="auto"/>
                <w:sz w:val="18"/>
                <w:szCs w:val="18"/>
              </w:rPr>
            </w:pPr>
            <w:r>
              <w:rPr>
                <w:rFonts w:hint="eastAsia"/>
                <w:color w:val="auto"/>
                <w:sz w:val="18"/>
                <w:szCs w:val="18"/>
              </w:rPr>
              <w:t>本方向研究生至少选修</w:t>
            </w:r>
          </w:p>
          <w:p w14:paraId="75B1EB73">
            <w:pPr>
              <w:adjustRightInd w:val="0"/>
              <w:snapToGrid w:val="0"/>
              <w:jc w:val="center"/>
              <w:rPr>
                <w:color w:val="auto"/>
                <w:sz w:val="18"/>
                <w:szCs w:val="18"/>
              </w:rPr>
            </w:pPr>
            <w:r>
              <w:rPr>
                <w:rFonts w:hint="eastAsia"/>
                <w:color w:val="auto"/>
                <w:sz w:val="18"/>
                <w:szCs w:val="18"/>
                <w:lang w:val="en-US" w:eastAsia="zh-CN"/>
              </w:rPr>
              <w:t>6</w:t>
            </w:r>
            <w:r>
              <w:rPr>
                <w:rFonts w:hint="eastAsia"/>
                <w:color w:val="auto"/>
                <w:sz w:val="18"/>
                <w:szCs w:val="18"/>
              </w:rPr>
              <w:t>学分</w:t>
            </w:r>
          </w:p>
        </w:tc>
      </w:tr>
      <w:tr w14:paraId="2FBFDF9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ECFEA8A">
            <w:pPr>
              <w:rPr>
                <w:b/>
                <w:color w:val="auto"/>
                <w:sz w:val="18"/>
                <w:szCs w:val="18"/>
              </w:rPr>
            </w:pPr>
          </w:p>
        </w:tc>
        <w:tc>
          <w:tcPr>
            <w:tcW w:w="1413" w:type="dxa"/>
            <w:vMerge w:val="continue"/>
            <w:tcBorders>
              <w:tl2br w:val="nil"/>
              <w:tr2bl w:val="nil"/>
            </w:tcBorders>
            <w:vAlign w:val="center"/>
          </w:tcPr>
          <w:p w14:paraId="44B59CF6">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77C009A0">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基于Python的</w:t>
            </w:r>
            <w:r>
              <w:rPr>
                <w:rFonts w:hint="eastAsia"/>
                <w:color w:val="auto"/>
                <w:sz w:val="18"/>
                <w:szCs w:val="18"/>
              </w:rPr>
              <w:t>财务报表分析</w:t>
            </w:r>
          </w:p>
        </w:tc>
        <w:tc>
          <w:tcPr>
            <w:tcW w:w="1081" w:type="dxa"/>
            <w:tcBorders>
              <w:tl2br w:val="nil"/>
              <w:tr2bl w:val="nil"/>
            </w:tcBorders>
            <w:shd w:val="clear" w:color="auto" w:fill="auto"/>
            <w:vAlign w:val="center"/>
          </w:tcPr>
          <w:p w14:paraId="6F651DB5">
            <w:pPr>
              <w:jc w:val="center"/>
              <w:rPr>
                <w:rFonts w:hint="eastAsia" w:ascii="Times New Roman" w:hAnsi="Times New Roman" w:eastAsia="宋体" w:cs="Times New Roman"/>
                <w:kern w:val="2"/>
                <w:sz w:val="18"/>
                <w:szCs w:val="18"/>
                <w:lang w:val="en-US" w:eastAsia="zh-CN" w:bidi="ar-SA"/>
              </w:rPr>
            </w:pPr>
            <w:r>
              <w:rPr>
                <w:rFonts w:hint="eastAsia"/>
                <w:color w:val="auto"/>
                <w:sz w:val="18"/>
                <w:szCs w:val="18"/>
              </w:rPr>
              <w:t>ZS</w:t>
            </w:r>
            <w:r>
              <w:rPr>
                <w:color w:val="auto"/>
                <w:sz w:val="18"/>
                <w:szCs w:val="18"/>
              </w:rPr>
              <w:t>0411</w:t>
            </w:r>
            <w:r>
              <w:rPr>
                <w:rFonts w:hint="eastAsia"/>
                <w:color w:val="auto"/>
                <w:sz w:val="18"/>
                <w:szCs w:val="18"/>
                <w:lang w:val="en-US" w:eastAsia="zh-CN"/>
              </w:rPr>
              <w:t>102</w:t>
            </w:r>
          </w:p>
        </w:tc>
        <w:tc>
          <w:tcPr>
            <w:tcW w:w="709" w:type="dxa"/>
            <w:tcBorders>
              <w:tl2br w:val="nil"/>
              <w:tr2bl w:val="nil"/>
            </w:tcBorders>
            <w:shd w:val="clear" w:color="auto" w:fill="auto"/>
            <w:vAlign w:val="center"/>
          </w:tcPr>
          <w:p w14:paraId="6B6E2B32">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tcBorders>
              <w:tl2br w:val="nil"/>
              <w:tr2bl w:val="nil"/>
            </w:tcBorders>
            <w:shd w:val="clear" w:color="auto" w:fill="auto"/>
            <w:vAlign w:val="center"/>
          </w:tcPr>
          <w:p w14:paraId="0D4F9561">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1146" w:type="dxa"/>
            <w:vMerge w:val="continue"/>
            <w:tcBorders>
              <w:tl2br w:val="nil"/>
              <w:tr2bl w:val="nil"/>
            </w:tcBorders>
            <w:vAlign w:val="center"/>
          </w:tcPr>
          <w:p w14:paraId="02BDA80E">
            <w:pPr>
              <w:adjustRightInd w:val="0"/>
              <w:snapToGrid w:val="0"/>
              <w:jc w:val="center"/>
              <w:rPr>
                <w:rFonts w:hint="eastAsia"/>
                <w:color w:val="auto"/>
                <w:sz w:val="18"/>
                <w:szCs w:val="18"/>
                <w:lang w:val="en-US" w:eastAsia="zh-CN"/>
              </w:rPr>
            </w:pPr>
          </w:p>
        </w:tc>
      </w:tr>
      <w:tr w14:paraId="5903B6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098077F2">
            <w:pPr>
              <w:rPr>
                <w:b/>
                <w:color w:val="auto"/>
                <w:sz w:val="18"/>
                <w:szCs w:val="18"/>
              </w:rPr>
            </w:pPr>
          </w:p>
        </w:tc>
        <w:tc>
          <w:tcPr>
            <w:tcW w:w="1413" w:type="dxa"/>
            <w:vMerge w:val="continue"/>
            <w:tcBorders>
              <w:tl2br w:val="nil"/>
              <w:tr2bl w:val="nil"/>
            </w:tcBorders>
            <w:vAlign w:val="center"/>
          </w:tcPr>
          <w:p w14:paraId="2A0F049D">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3E00B55A">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大数据审计</w:t>
            </w:r>
          </w:p>
        </w:tc>
        <w:tc>
          <w:tcPr>
            <w:tcW w:w="1081" w:type="dxa"/>
            <w:tcBorders>
              <w:tl2br w:val="nil"/>
              <w:tr2bl w:val="nil"/>
            </w:tcBorders>
            <w:shd w:val="clear" w:color="auto" w:fill="auto"/>
            <w:vAlign w:val="top"/>
          </w:tcPr>
          <w:p w14:paraId="3242C81F">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w:t>
            </w:r>
            <w:r>
              <w:rPr>
                <w:color w:val="auto"/>
                <w:sz w:val="18"/>
                <w:szCs w:val="18"/>
              </w:rPr>
              <w:t>S04161</w:t>
            </w:r>
            <w:r>
              <w:rPr>
                <w:rFonts w:hint="eastAsia"/>
                <w:color w:val="auto"/>
                <w:sz w:val="18"/>
                <w:szCs w:val="18"/>
                <w:lang w:val="en-US" w:eastAsia="zh-CN"/>
              </w:rPr>
              <w:t>03</w:t>
            </w:r>
          </w:p>
        </w:tc>
        <w:tc>
          <w:tcPr>
            <w:tcW w:w="709" w:type="dxa"/>
            <w:tcBorders>
              <w:tl2br w:val="nil"/>
              <w:tr2bl w:val="nil"/>
            </w:tcBorders>
            <w:shd w:val="clear" w:color="auto" w:fill="auto"/>
            <w:vAlign w:val="top"/>
          </w:tcPr>
          <w:p w14:paraId="11DAAC81">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7137D42B">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146" w:type="dxa"/>
            <w:vMerge w:val="continue"/>
            <w:tcBorders>
              <w:tl2br w:val="nil"/>
              <w:tr2bl w:val="nil"/>
            </w:tcBorders>
            <w:vAlign w:val="center"/>
          </w:tcPr>
          <w:p w14:paraId="2291BAC1">
            <w:pPr>
              <w:adjustRightInd w:val="0"/>
              <w:snapToGrid w:val="0"/>
              <w:jc w:val="center"/>
              <w:rPr>
                <w:color w:val="auto"/>
                <w:sz w:val="18"/>
                <w:szCs w:val="18"/>
              </w:rPr>
            </w:pPr>
          </w:p>
        </w:tc>
      </w:tr>
      <w:tr w14:paraId="47E27F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73C2E8B2">
            <w:pPr>
              <w:rPr>
                <w:b/>
                <w:color w:val="auto"/>
                <w:sz w:val="18"/>
                <w:szCs w:val="18"/>
              </w:rPr>
            </w:pPr>
          </w:p>
        </w:tc>
        <w:tc>
          <w:tcPr>
            <w:tcW w:w="1413" w:type="dxa"/>
            <w:vMerge w:val="continue"/>
            <w:tcBorders>
              <w:tl2br w:val="nil"/>
              <w:tr2bl w:val="nil"/>
            </w:tcBorders>
            <w:vAlign w:val="center"/>
          </w:tcPr>
          <w:p w14:paraId="3B2E1FD5">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2B6C230F">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内部控制理论与实务</w:t>
            </w:r>
          </w:p>
        </w:tc>
        <w:tc>
          <w:tcPr>
            <w:tcW w:w="1081" w:type="dxa"/>
            <w:tcBorders>
              <w:tl2br w:val="nil"/>
              <w:tr2bl w:val="nil"/>
            </w:tcBorders>
            <w:shd w:val="clear" w:color="auto" w:fill="auto"/>
            <w:vAlign w:val="top"/>
          </w:tcPr>
          <w:p w14:paraId="4754F6FE">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w:t>
            </w:r>
            <w:r>
              <w:rPr>
                <w:rFonts w:hint="eastAsia"/>
                <w:color w:val="auto"/>
                <w:sz w:val="18"/>
                <w:szCs w:val="18"/>
                <w:lang w:val="en-US" w:eastAsia="zh-CN"/>
              </w:rPr>
              <w:t>1235</w:t>
            </w:r>
          </w:p>
        </w:tc>
        <w:tc>
          <w:tcPr>
            <w:tcW w:w="709" w:type="dxa"/>
            <w:tcBorders>
              <w:tl2br w:val="nil"/>
              <w:tr2bl w:val="nil"/>
            </w:tcBorders>
            <w:shd w:val="clear" w:color="auto" w:fill="auto"/>
            <w:vAlign w:val="top"/>
          </w:tcPr>
          <w:p w14:paraId="515E8F7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center"/>
          </w:tcPr>
          <w:p w14:paraId="59B52E4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146" w:type="dxa"/>
            <w:vMerge w:val="continue"/>
            <w:tcBorders>
              <w:tl2br w:val="nil"/>
              <w:tr2bl w:val="nil"/>
            </w:tcBorders>
            <w:vAlign w:val="center"/>
          </w:tcPr>
          <w:p w14:paraId="1039C58F">
            <w:pPr>
              <w:adjustRightInd w:val="0"/>
              <w:snapToGrid w:val="0"/>
              <w:jc w:val="center"/>
              <w:rPr>
                <w:color w:val="auto"/>
                <w:sz w:val="18"/>
                <w:szCs w:val="18"/>
              </w:rPr>
            </w:pPr>
          </w:p>
        </w:tc>
      </w:tr>
      <w:tr w14:paraId="67C7E9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20F428D">
            <w:pPr>
              <w:rPr>
                <w:b/>
                <w:color w:val="auto"/>
                <w:sz w:val="18"/>
                <w:szCs w:val="18"/>
              </w:rPr>
            </w:pPr>
          </w:p>
        </w:tc>
        <w:tc>
          <w:tcPr>
            <w:tcW w:w="1413" w:type="dxa"/>
            <w:vMerge w:val="continue"/>
            <w:tcBorders>
              <w:tl2br w:val="nil"/>
              <w:tr2bl w:val="nil"/>
            </w:tcBorders>
            <w:vAlign w:val="center"/>
          </w:tcPr>
          <w:p w14:paraId="715EC5DC">
            <w:pPr>
              <w:adjustRightInd w:val="0"/>
              <w:snapToGrid w:val="0"/>
              <w:jc w:val="center"/>
              <w:rPr>
                <w:b/>
                <w:color w:val="auto"/>
                <w:sz w:val="18"/>
                <w:szCs w:val="18"/>
              </w:rPr>
            </w:pPr>
          </w:p>
        </w:tc>
        <w:tc>
          <w:tcPr>
            <w:tcW w:w="3912" w:type="dxa"/>
            <w:gridSpan w:val="2"/>
            <w:tcBorders>
              <w:tl2br w:val="nil"/>
              <w:tr2bl w:val="nil"/>
            </w:tcBorders>
            <w:vAlign w:val="center"/>
          </w:tcPr>
          <w:p w14:paraId="7C815B3E">
            <w:pPr>
              <w:adjustRightInd w:val="0"/>
              <w:snapToGrid w:val="0"/>
              <w:rPr>
                <w:color w:val="auto"/>
                <w:sz w:val="18"/>
                <w:szCs w:val="18"/>
              </w:rPr>
            </w:pPr>
            <w:r>
              <w:rPr>
                <w:rFonts w:hint="eastAsia"/>
                <w:color w:val="auto"/>
                <w:sz w:val="18"/>
                <w:szCs w:val="18"/>
              </w:rPr>
              <w:t>内部控制审计研究</w:t>
            </w:r>
          </w:p>
        </w:tc>
        <w:tc>
          <w:tcPr>
            <w:tcW w:w="1081" w:type="dxa"/>
            <w:tcBorders>
              <w:tl2br w:val="nil"/>
              <w:tr2bl w:val="nil"/>
            </w:tcBorders>
          </w:tcPr>
          <w:p w14:paraId="372F0CC7">
            <w:pPr>
              <w:jc w:val="center"/>
              <w:rPr>
                <w:rFonts w:hint="eastAsia" w:eastAsia="宋体"/>
                <w:i/>
                <w:color w:val="auto"/>
                <w:sz w:val="18"/>
                <w:szCs w:val="18"/>
                <w:lang w:val="en-US" w:eastAsia="zh-CN"/>
              </w:rPr>
            </w:pPr>
            <w:r>
              <w:rPr>
                <w:rFonts w:hint="eastAsia"/>
                <w:color w:val="auto"/>
                <w:sz w:val="18"/>
                <w:szCs w:val="18"/>
              </w:rPr>
              <w:t>Z</w:t>
            </w:r>
            <w:r>
              <w:rPr>
                <w:color w:val="auto"/>
                <w:sz w:val="18"/>
                <w:szCs w:val="18"/>
              </w:rPr>
              <w:t>S041621</w:t>
            </w:r>
            <w:r>
              <w:rPr>
                <w:rFonts w:hint="eastAsia"/>
                <w:color w:val="auto"/>
                <w:sz w:val="18"/>
                <w:szCs w:val="18"/>
                <w:lang w:val="en-US" w:eastAsia="zh-CN"/>
              </w:rPr>
              <w:t>1</w:t>
            </w:r>
          </w:p>
        </w:tc>
        <w:tc>
          <w:tcPr>
            <w:tcW w:w="709" w:type="dxa"/>
            <w:tcBorders>
              <w:tl2br w:val="nil"/>
              <w:tr2bl w:val="nil"/>
            </w:tcBorders>
          </w:tcPr>
          <w:p w14:paraId="7491FD7A">
            <w:pPr>
              <w:jc w:val="center"/>
              <w:rPr>
                <w:color w:val="auto"/>
                <w:sz w:val="18"/>
                <w:szCs w:val="18"/>
              </w:rPr>
            </w:pPr>
            <w:r>
              <w:rPr>
                <w:rFonts w:hint="eastAsia"/>
                <w:color w:val="auto"/>
                <w:sz w:val="18"/>
                <w:szCs w:val="18"/>
              </w:rPr>
              <w:t>2</w:t>
            </w:r>
          </w:p>
        </w:tc>
        <w:tc>
          <w:tcPr>
            <w:tcW w:w="709" w:type="dxa"/>
            <w:tcBorders>
              <w:tl2br w:val="nil"/>
              <w:tr2bl w:val="nil"/>
            </w:tcBorders>
          </w:tcPr>
          <w:p w14:paraId="1C7B58CC">
            <w:pPr>
              <w:jc w:val="center"/>
              <w:rPr>
                <w:color w:val="auto"/>
                <w:sz w:val="18"/>
                <w:szCs w:val="18"/>
              </w:rPr>
            </w:pPr>
            <w:r>
              <w:rPr>
                <w:rFonts w:hint="eastAsia"/>
                <w:color w:val="auto"/>
                <w:sz w:val="18"/>
                <w:szCs w:val="18"/>
              </w:rPr>
              <w:t>2</w:t>
            </w:r>
          </w:p>
        </w:tc>
        <w:tc>
          <w:tcPr>
            <w:tcW w:w="1146" w:type="dxa"/>
            <w:vMerge w:val="continue"/>
            <w:tcBorders>
              <w:tl2br w:val="nil"/>
              <w:tr2bl w:val="nil"/>
            </w:tcBorders>
            <w:vAlign w:val="center"/>
          </w:tcPr>
          <w:p w14:paraId="05832355">
            <w:pPr>
              <w:adjustRightInd w:val="0"/>
              <w:snapToGrid w:val="0"/>
              <w:jc w:val="center"/>
              <w:rPr>
                <w:color w:val="auto"/>
                <w:sz w:val="18"/>
                <w:szCs w:val="18"/>
              </w:rPr>
            </w:pPr>
          </w:p>
        </w:tc>
      </w:tr>
      <w:tr w14:paraId="463F42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4D33F708">
            <w:pPr>
              <w:rPr>
                <w:b/>
                <w:color w:val="auto"/>
                <w:sz w:val="18"/>
                <w:szCs w:val="18"/>
              </w:rPr>
            </w:pPr>
          </w:p>
        </w:tc>
        <w:tc>
          <w:tcPr>
            <w:tcW w:w="1413" w:type="dxa"/>
            <w:vMerge w:val="continue"/>
            <w:tcBorders>
              <w:tl2br w:val="nil"/>
              <w:tr2bl w:val="nil"/>
            </w:tcBorders>
            <w:vAlign w:val="center"/>
          </w:tcPr>
          <w:p w14:paraId="28C93205">
            <w:pPr>
              <w:adjustRightInd w:val="0"/>
              <w:snapToGrid w:val="0"/>
              <w:jc w:val="center"/>
              <w:rPr>
                <w:b/>
                <w:color w:val="auto"/>
                <w:sz w:val="18"/>
                <w:szCs w:val="18"/>
              </w:rPr>
            </w:pPr>
          </w:p>
        </w:tc>
        <w:tc>
          <w:tcPr>
            <w:tcW w:w="3912" w:type="dxa"/>
            <w:gridSpan w:val="2"/>
            <w:tcBorders>
              <w:tl2br w:val="nil"/>
              <w:tr2bl w:val="nil"/>
            </w:tcBorders>
            <w:vAlign w:val="center"/>
          </w:tcPr>
          <w:p w14:paraId="320E7E42">
            <w:pPr>
              <w:adjustRightInd w:val="0"/>
              <w:snapToGrid w:val="0"/>
              <w:rPr>
                <w:color w:val="auto"/>
                <w:sz w:val="18"/>
                <w:szCs w:val="18"/>
              </w:rPr>
            </w:pPr>
            <w:r>
              <w:rPr>
                <w:rFonts w:hint="eastAsia"/>
                <w:color w:val="auto"/>
                <w:sz w:val="18"/>
                <w:szCs w:val="18"/>
              </w:rPr>
              <w:t>内部控制审计案例研究</w:t>
            </w:r>
          </w:p>
        </w:tc>
        <w:tc>
          <w:tcPr>
            <w:tcW w:w="1081" w:type="dxa"/>
            <w:tcBorders>
              <w:tl2br w:val="nil"/>
              <w:tr2bl w:val="nil"/>
            </w:tcBorders>
          </w:tcPr>
          <w:p w14:paraId="058CAFCC">
            <w:pPr>
              <w:jc w:val="center"/>
              <w:rPr>
                <w:rFonts w:hint="eastAsia" w:eastAsia="宋体"/>
                <w:i/>
                <w:color w:val="auto"/>
                <w:sz w:val="18"/>
                <w:szCs w:val="18"/>
                <w:lang w:val="en-US" w:eastAsia="zh-CN"/>
              </w:rPr>
            </w:pPr>
            <w:r>
              <w:rPr>
                <w:rFonts w:hint="eastAsia"/>
                <w:color w:val="auto"/>
                <w:sz w:val="18"/>
                <w:szCs w:val="18"/>
              </w:rPr>
              <w:t>Z</w:t>
            </w:r>
            <w:r>
              <w:rPr>
                <w:color w:val="auto"/>
                <w:sz w:val="18"/>
                <w:szCs w:val="18"/>
              </w:rPr>
              <w:t>S041621</w:t>
            </w:r>
            <w:r>
              <w:rPr>
                <w:rFonts w:hint="eastAsia"/>
                <w:color w:val="auto"/>
                <w:sz w:val="18"/>
                <w:szCs w:val="18"/>
                <w:lang w:val="en-US" w:eastAsia="zh-CN"/>
              </w:rPr>
              <w:t>2</w:t>
            </w:r>
          </w:p>
        </w:tc>
        <w:tc>
          <w:tcPr>
            <w:tcW w:w="709" w:type="dxa"/>
            <w:tcBorders>
              <w:tl2br w:val="nil"/>
              <w:tr2bl w:val="nil"/>
            </w:tcBorders>
          </w:tcPr>
          <w:p w14:paraId="2BF9CFE7">
            <w:pPr>
              <w:jc w:val="center"/>
              <w:rPr>
                <w:color w:val="auto"/>
                <w:sz w:val="18"/>
                <w:szCs w:val="18"/>
              </w:rPr>
            </w:pPr>
            <w:r>
              <w:rPr>
                <w:rFonts w:hint="eastAsia"/>
                <w:color w:val="auto"/>
                <w:sz w:val="18"/>
                <w:szCs w:val="18"/>
              </w:rPr>
              <w:t>2</w:t>
            </w:r>
          </w:p>
        </w:tc>
        <w:tc>
          <w:tcPr>
            <w:tcW w:w="709" w:type="dxa"/>
            <w:tcBorders>
              <w:tl2br w:val="nil"/>
              <w:tr2bl w:val="nil"/>
            </w:tcBorders>
          </w:tcPr>
          <w:p w14:paraId="5A055059">
            <w:pPr>
              <w:jc w:val="center"/>
              <w:rPr>
                <w:color w:val="auto"/>
                <w:sz w:val="18"/>
                <w:szCs w:val="18"/>
              </w:rPr>
            </w:pPr>
            <w:r>
              <w:rPr>
                <w:rFonts w:hint="eastAsia"/>
                <w:color w:val="auto"/>
                <w:sz w:val="18"/>
                <w:szCs w:val="18"/>
              </w:rPr>
              <w:t>2</w:t>
            </w:r>
          </w:p>
        </w:tc>
        <w:tc>
          <w:tcPr>
            <w:tcW w:w="1146" w:type="dxa"/>
            <w:vMerge w:val="continue"/>
            <w:tcBorders>
              <w:tl2br w:val="nil"/>
              <w:tr2bl w:val="nil"/>
            </w:tcBorders>
            <w:vAlign w:val="center"/>
          </w:tcPr>
          <w:p w14:paraId="2FCF808D">
            <w:pPr>
              <w:adjustRightInd w:val="0"/>
              <w:snapToGrid w:val="0"/>
              <w:jc w:val="center"/>
              <w:rPr>
                <w:color w:val="auto"/>
                <w:sz w:val="18"/>
                <w:szCs w:val="18"/>
              </w:rPr>
            </w:pPr>
          </w:p>
        </w:tc>
      </w:tr>
      <w:tr w14:paraId="20480A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56638872">
            <w:pPr>
              <w:rPr>
                <w:b/>
                <w:color w:val="auto"/>
                <w:sz w:val="18"/>
                <w:szCs w:val="18"/>
              </w:rPr>
            </w:pPr>
          </w:p>
        </w:tc>
        <w:tc>
          <w:tcPr>
            <w:tcW w:w="1413" w:type="dxa"/>
            <w:vMerge w:val="continue"/>
            <w:tcBorders>
              <w:tl2br w:val="nil"/>
              <w:tr2bl w:val="nil"/>
            </w:tcBorders>
            <w:vAlign w:val="center"/>
          </w:tcPr>
          <w:p w14:paraId="7C7FF163">
            <w:pPr>
              <w:adjustRightInd w:val="0"/>
              <w:snapToGrid w:val="0"/>
              <w:jc w:val="center"/>
              <w:rPr>
                <w:b/>
                <w:color w:val="auto"/>
                <w:sz w:val="18"/>
                <w:szCs w:val="18"/>
              </w:rPr>
            </w:pPr>
          </w:p>
        </w:tc>
        <w:tc>
          <w:tcPr>
            <w:tcW w:w="3912" w:type="dxa"/>
            <w:gridSpan w:val="2"/>
            <w:tcBorders>
              <w:tl2br w:val="nil"/>
              <w:tr2bl w:val="nil"/>
            </w:tcBorders>
            <w:vAlign w:val="center"/>
          </w:tcPr>
          <w:p w14:paraId="270F1034">
            <w:pPr>
              <w:adjustRightInd w:val="0"/>
              <w:snapToGrid w:val="0"/>
              <w:rPr>
                <w:color w:val="auto"/>
                <w:sz w:val="18"/>
                <w:szCs w:val="18"/>
              </w:rPr>
            </w:pPr>
            <w:r>
              <w:rPr>
                <w:color w:val="auto"/>
                <w:sz w:val="18"/>
                <w:szCs w:val="18"/>
              </w:rPr>
              <w:t>内部控制</w:t>
            </w:r>
            <w:r>
              <w:rPr>
                <w:rFonts w:hint="eastAsia"/>
                <w:color w:val="auto"/>
                <w:sz w:val="18"/>
                <w:szCs w:val="18"/>
              </w:rPr>
              <w:t>与</w:t>
            </w:r>
            <w:r>
              <w:rPr>
                <w:color w:val="auto"/>
                <w:sz w:val="18"/>
                <w:szCs w:val="18"/>
              </w:rPr>
              <w:t>风险管理</w:t>
            </w:r>
          </w:p>
        </w:tc>
        <w:tc>
          <w:tcPr>
            <w:tcW w:w="1081" w:type="dxa"/>
            <w:tcBorders>
              <w:tl2br w:val="nil"/>
              <w:tr2bl w:val="nil"/>
            </w:tcBorders>
          </w:tcPr>
          <w:p w14:paraId="6725485A">
            <w:pPr>
              <w:jc w:val="center"/>
              <w:rPr>
                <w:rFonts w:hint="eastAsia" w:eastAsia="宋体"/>
                <w:i/>
                <w:color w:val="auto"/>
                <w:sz w:val="18"/>
                <w:szCs w:val="18"/>
                <w:lang w:val="en-US" w:eastAsia="zh-CN"/>
              </w:rPr>
            </w:pPr>
            <w:r>
              <w:rPr>
                <w:rFonts w:hint="eastAsia"/>
                <w:color w:val="auto"/>
                <w:sz w:val="18"/>
                <w:szCs w:val="18"/>
              </w:rPr>
              <w:t>Z</w:t>
            </w:r>
            <w:r>
              <w:rPr>
                <w:color w:val="auto"/>
                <w:sz w:val="18"/>
                <w:szCs w:val="18"/>
              </w:rPr>
              <w:t>S041621</w:t>
            </w:r>
            <w:r>
              <w:rPr>
                <w:rFonts w:hint="eastAsia"/>
                <w:color w:val="auto"/>
                <w:sz w:val="18"/>
                <w:szCs w:val="18"/>
                <w:lang w:val="en-US" w:eastAsia="zh-CN"/>
              </w:rPr>
              <w:t>3</w:t>
            </w:r>
          </w:p>
        </w:tc>
        <w:tc>
          <w:tcPr>
            <w:tcW w:w="709" w:type="dxa"/>
            <w:tcBorders>
              <w:tl2br w:val="nil"/>
              <w:tr2bl w:val="nil"/>
            </w:tcBorders>
          </w:tcPr>
          <w:p w14:paraId="791F9322">
            <w:pPr>
              <w:jc w:val="center"/>
              <w:rPr>
                <w:color w:val="auto"/>
                <w:sz w:val="18"/>
                <w:szCs w:val="18"/>
              </w:rPr>
            </w:pPr>
            <w:r>
              <w:rPr>
                <w:rFonts w:hint="eastAsia"/>
                <w:color w:val="auto"/>
                <w:sz w:val="18"/>
                <w:szCs w:val="18"/>
              </w:rPr>
              <w:t>2</w:t>
            </w:r>
          </w:p>
        </w:tc>
        <w:tc>
          <w:tcPr>
            <w:tcW w:w="709" w:type="dxa"/>
            <w:tcBorders>
              <w:tl2br w:val="nil"/>
              <w:tr2bl w:val="nil"/>
            </w:tcBorders>
          </w:tcPr>
          <w:p w14:paraId="2681B0F2">
            <w:pPr>
              <w:jc w:val="center"/>
              <w:rPr>
                <w:rFonts w:hint="eastAsia" w:eastAsia="宋体"/>
                <w:color w:val="auto"/>
                <w:sz w:val="18"/>
                <w:szCs w:val="18"/>
                <w:lang w:eastAsia="zh-CN"/>
              </w:rPr>
            </w:pPr>
            <w:r>
              <w:rPr>
                <w:rFonts w:hint="eastAsia"/>
                <w:color w:val="auto"/>
                <w:sz w:val="18"/>
                <w:szCs w:val="18"/>
                <w:lang w:val="en-US" w:eastAsia="zh-CN"/>
              </w:rPr>
              <w:t>1</w:t>
            </w:r>
          </w:p>
        </w:tc>
        <w:tc>
          <w:tcPr>
            <w:tcW w:w="1146" w:type="dxa"/>
            <w:vMerge w:val="continue"/>
            <w:tcBorders>
              <w:tl2br w:val="nil"/>
              <w:tr2bl w:val="nil"/>
            </w:tcBorders>
            <w:vAlign w:val="center"/>
          </w:tcPr>
          <w:p w14:paraId="6D2CE564">
            <w:pPr>
              <w:adjustRightInd w:val="0"/>
              <w:snapToGrid w:val="0"/>
              <w:jc w:val="center"/>
              <w:rPr>
                <w:color w:val="auto"/>
                <w:sz w:val="18"/>
                <w:szCs w:val="18"/>
              </w:rPr>
            </w:pPr>
          </w:p>
        </w:tc>
      </w:tr>
      <w:tr w14:paraId="58B806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3454A6D4">
            <w:pPr>
              <w:rPr>
                <w:b/>
                <w:color w:val="auto"/>
                <w:sz w:val="18"/>
                <w:szCs w:val="18"/>
              </w:rPr>
            </w:pPr>
          </w:p>
        </w:tc>
        <w:tc>
          <w:tcPr>
            <w:tcW w:w="1413" w:type="dxa"/>
            <w:vMerge w:val="continue"/>
            <w:tcBorders>
              <w:tl2br w:val="nil"/>
              <w:tr2bl w:val="nil"/>
            </w:tcBorders>
            <w:vAlign w:val="center"/>
          </w:tcPr>
          <w:p w14:paraId="0FCA170C">
            <w:pPr>
              <w:adjustRightInd w:val="0"/>
              <w:snapToGrid w:val="0"/>
              <w:jc w:val="center"/>
              <w:rPr>
                <w:b/>
                <w:color w:val="auto"/>
                <w:sz w:val="18"/>
                <w:szCs w:val="18"/>
              </w:rPr>
            </w:pPr>
          </w:p>
        </w:tc>
        <w:tc>
          <w:tcPr>
            <w:tcW w:w="3912" w:type="dxa"/>
            <w:gridSpan w:val="2"/>
            <w:tcBorders>
              <w:tl2br w:val="nil"/>
              <w:tr2bl w:val="nil"/>
            </w:tcBorders>
            <w:vAlign w:val="center"/>
          </w:tcPr>
          <w:p w14:paraId="76DEDC9C">
            <w:pPr>
              <w:adjustRightInd w:val="0"/>
              <w:snapToGrid w:val="0"/>
              <w:rPr>
                <w:color w:val="auto"/>
                <w:sz w:val="18"/>
                <w:szCs w:val="18"/>
              </w:rPr>
            </w:pPr>
            <w:r>
              <w:rPr>
                <w:rFonts w:hint="eastAsia"/>
                <w:color w:val="auto"/>
                <w:sz w:val="18"/>
                <w:szCs w:val="18"/>
              </w:rPr>
              <w:t>国际内部审计准则研究</w:t>
            </w:r>
          </w:p>
        </w:tc>
        <w:tc>
          <w:tcPr>
            <w:tcW w:w="1081" w:type="dxa"/>
            <w:tcBorders>
              <w:tl2br w:val="nil"/>
              <w:tr2bl w:val="nil"/>
            </w:tcBorders>
          </w:tcPr>
          <w:p w14:paraId="0E2D8C48">
            <w:pPr>
              <w:jc w:val="center"/>
              <w:rPr>
                <w:rFonts w:hint="eastAsia" w:eastAsia="宋体"/>
                <w:i/>
                <w:color w:val="auto"/>
                <w:sz w:val="18"/>
                <w:szCs w:val="18"/>
                <w:lang w:val="en-US" w:eastAsia="zh-CN"/>
              </w:rPr>
            </w:pPr>
            <w:r>
              <w:rPr>
                <w:rFonts w:hint="eastAsia"/>
                <w:color w:val="auto"/>
                <w:sz w:val="18"/>
                <w:szCs w:val="18"/>
              </w:rPr>
              <w:t>Z</w:t>
            </w:r>
            <w:r>
              <w:rPr>
                <w:color w:val="auto"/>
                <w:sz w:val="18"/>
                <w:szCs w:val="18"/>
              </w:rPr>
              <w:t>S041621</w:t>
            </w:r>
            <w:r>
              <w:rPr>
                <w:rFonts w:hint="eastAsia"/>
                <w:color w:val="auto"/>
                <w:sz w:val="18"/>
                <w:szCs w:val="18"/>
                <w:lang w:val="en-US" w:eastAsia="zh-CN"/>
              </w:rPr>
              <w:t>4</w:t>
            </w:r>
          </w:p>
        </w:tc>
        <w:tc>
          <w:tcPr>
            <w:tcW w:w="709" w:type="dxa"/>
            <w:tcBorders>
              <w:tl2br w:val="nil"/>
              <w:tr2bl w:val="nil"/>
            </w:tcBorders>
          </w:tcPr>
          <w:p w14:paraId="1D72D3EC">
            <w:pPr>
              <w:jc w:val="center"/>
              <w:rPr>
                <w:color w:val="auto"/>
                <w:sz w:val="18"/>
                <w:szCs w:val="18"/>
              </w:rPr>
            </w:pPr>
            <w:r>
              <w:rPr>
                <w:rFonts w:hint="eastAsia"/>
                <w:color w:val="auto"/>
                <w:sz w:val="18"/>
                <w:szCs w:val="18"/>
              </w:rPr>
              <w:t>2</w:t>
            </w:r>
          </w:p>
        </w:tc>
        <w:tc>
          <w:tcPr>
            <w:tcW w:w="709" w:type="dxa"/>
            <w:tcBorders>
              <w:tl2br w:val="nil"/>
              <w:tr2bl w:val="nil"/>
            </w:tcBorders>
          </w:tcPr>
          <w:p w14:paraId="087D7153">
            <w:pPr>
              <w:jc w:val="center"/>
              <w:rPr>
                <w:color w:val="auto"/>
                <w:sz w:val="18"/>
                <w:szCs w:val="18"/>
              </w:rPr>
            </w:pPr>
            <w:r>
              <w:rPr>
                <w:rFonts w:hint="eastAsia"/>
                <w:color w:val="auto"/>
                <w:sz w:val="18"/>
                <w:szCs w:val="18"/>
              </w:rPr>
              <w:t>2</w:t>
            </w:r>
          </w:p>
        </w:tc>
        <w:tc>
          <w:tcPr>
            <w:tcW w:w="1146" w:type="dxa"/>
            <w:vMerge w:val="continue"/>
            <w:tcBorders>
              <w:tl2br w:val="nil"/>
              <w:tr2bl w:val="nil"/>
            </w:tcBorders>
            <w:vAlign w:val="center"/>
          </w:tcPr>
          <w:p w14:paraId="78D7A3D1">
            <w:pPr>
              <w:adjustRightInd w:val="0"/>
              <w:snapToGrid w:val="0"/>
              <w:jc w:val="center"/>
              <w:rPr>
                <w:color w:val="auto"/>
                <w:sz w:val="18"/>
                <w:szCs w:val="18"/>
              </w:rPr>
            </w:pPr>
          </w:p>
        </w:tc>
      </w:tr>
      <w:bookmarkEnd w:id="2"/>
      <w:tr w14:paraId="2E62FE6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571" w:type="dxa"/>
            <w:vMerge w:val="continue"/>
            <w:tcBorders>
              <w:tl2br w:val="nil"/>
              <w:tr2bl w:val="nil"/>
            </w:tcBorders>
          </w:tcPr>
          <w:p w14:paraId="7CE113C8">
            <w:pPr>
              <w:rPr>
                <w:b/>
                <w:color w:val="auto"/>
                <w:sz w:val="18"/>
                <w:szCs w:val="18"/>
              </w:rPr>
            </w:pPr>
          </w:p>
        </w:tc>
        <w:tc>
          <w:tcPr>
            <w:tcW w:w="1413" w:type="dxa"/>
            <w:vMerge w:val="continue"/>
            <w:tcBorders>
              <w:tl2br w:val="nil"/>
              <w:tr2bl w:val="nil"/>
            </w:tcBorders>
            <w:vAlign w:val="center"/>
          </w:tcPr>
          <w:p w14:paraId="7E89E8AB">
            <w:pPr>
              <w:adjustRightInd w:val="0"/>
              <w:snapToGrid w:val="0"/>
              <w:jc w:val="center"/>
              <w:rPr>
                <w:b/>
                <w:color w:val="auto"/>
                <w:sz w:val="18"/>
                <w:szCs w:val="18"/>
              </w:rPr>
            </w:pPr>
          </w:p>
        </w:tc>
        <w:tc>
          <w:tcPr>
            <w:tcW w:w="3912" w:type="dxa"/>
            <w:gridSpan w:val="2"/>
            <w:tcBorders>
              <w:tl2br w:val="nil"/>
              <w:tr2bl w:val="nil"/>
            </w:tcBorders>
            <w:vAlign w:val="center"/>
          </w:tcPr>
          <w:p w14:paraId="2CF70285">
            <w:pPr>
              <w:adjustRightInd w:val="0"/>
              <w:snapToGrid w:val="0"/>
              <w:rPr>
                <w:color w:val="auto"/>
                <w:sz w:val="18"/>
                <w:szCs w:val="18"/>
              </w:rPr>
            </w:pPr>
            <w:r>
              <w:rPr>
                <w:rFonts w:hint="eastAsia"/>
                <w:color w:val="auto"/>
                <w:sz w:val="18"/>
                <w:szCs w:val="18"/>
                <w:highlight w:val="yellow"/>
              </w:rPr>
              <w:t>企业价值评估</w:t>
            </w:r>
          </w:p>
        </w:tc>
        <w:tc>
          <w:tcPr>
            <w:tcW w:w="1081" w:type="dxa"/>
            <w:tcBorders>
              <w:tl2br w:val="nil"/>
              <w:tr2bl w:val="nil"/>
            </w:tcBorders>
            <w:vAlign w:val="top"/>
          </w:tcPr>
          <w:p w14:paraId="1F2F7BBF">
            <w:pPr>
              <w:jc w:val="center"/>
              <w:rPr>
                <w:rFonts w:hint="default" w:eastAsia="宋体"/>
                <w:i/>
                <w:color w:val="auto"/>
                <w:sz w:val="18"/>
                <w:szCs w:val="18"/>
                <w:lang w:val="en-US" w:eastAsia="zh-CN"/>
              </w:rPr>
            </w:pPr>
            <w:r>
              <w:rPr>
                <w:rFonts w:hint="eastAsia"/>
                <w:color w:val="auto"/>
                <w:sz w:val="18"/>
                <w:szCs w:val="18"/>
                <w:highlight w:val="yellow"/>
              </w:rPr>
              <w:t>ZS</w:t>
            </w:r>
            <w:r>
              <w:rPr>
                <w:color w:val="auto"/>
                <w:sz w:val="18"/>
                <w:szCs w:val="18"/>
                <w:highlight w:val="yellow"/>
              </w:rPr>
              <w:t>0411</w:t>
            </w:r>
            <w:r>
              <w:rPr>
                <w:rFonts w:hint="eastAsia"/>
                <w:color w:val="auto"/>
                <w:sz w:val="18"/>
                <w:szCs w:val="18"/>
                <w:highlight w:val="yellow"/>
                <w:lang w:val="en-US" w:eastAsia="zh-CN"/>
              </w:rPr>
              <w:t>222</w:t>
            </w:r>
          </w:p>
        </w:tc>
        <w:tc>
          <w:tcPr>
            <w:tcW w:w="709" w:type="dxa"/>
            <w:tcBorders>
              <w:tl2br w:val="nil"/>
              <w:tr2bl w:val="nil"/>
            </w:tcBorders>
            <w:vAlign w:val="top"/>
          </w:tcPr>
          <w:p w14:paraId="4CB659EB">
            <w:pPr>
              <w:jc w:val="center"/>
              <w:rPr>
                <w:color w:val="auto"/>
                <w:sz w:val="18"/>
                <w:szCs w:val="18"/>
              </w:rPr>
            </w:pPr>
            <w:r>
              <w:rPr>
                <w:rFonts w:hint="eastAsia"/>
                <w:color w:val="auto"/>
                <w:sz w:val="18"/>
                <w:szCs w:val="18"/>
              </w:rPr>
              <w:t>2</w:t>
            </w:r>
          </w:p>
        </w:tc>
        <w:tc>
          <w:tcPr>
            <w:tcW w:w="709" w:type="dxa"/>
            <w:tcBorders>
              <w:tl2br w:val="nil"/>
              <w:tr2bl w:val="nil"/>
            </w:tcBorders>
            <w:vAlign w:val="top"/>
          </w:tcPr>
          <w:p w14:paraId="0D1D0CCA">
            <w:pPr>
              <w:jc w:val="center"/>
              <w:rPr>
                <w:rFonts w:hint="eastAsia" w:eastAsia="宋体"/>
                <w:i/>
                <w:color w:val="auto"/>
                <w:sz w:val="18"/>
                <w:szCs w:val="18"/>
                <w:lang w:eastAsia="zh-CN"/>
              </w:rPr>
            </w:pPr>
            <w:r>
              <w:rPr>
                <w:rFonts w:hint="eastAsia"/>
                <w:color w:val="auto"/>
                <w:sz w:val="18"/>
                <w:szCs w:val="18"/>
                <w:lang w:val="en-US" w:eastAsia="zh-CN"/>
              </w:rPr>
              <w:t>2</w:t>
            </w:r>
          </w:p>
        </w:tc>
        <w:tc>
          <w:tcPr>
            <w:tcW w:w="1146" w:type="dxa"/>
            <w:vMerge w:val="continue"/>
            <w:tcBorders>
              <w:tl2br w:val="nil"/>
              <w:tr2bl w:val="nil"/>
            </w:tcBorders>
            <w:vAlign w:val="center"/>
          </w:tcPr>
          <w:p w14:paraId="312C57A3">
            <w:pPr>
              <w:adjustRightInd w:val="0"/>
              <w:snapToGrid w:val="0"/>
              <w:jc w:val="center"/>
              <w:rPr>
                <w:color w:val="auto"/>
                <w:sz w:val="18"/>
                <w:szCs w:val="18"/>
              </w:rPr>
            </w:pPr>
          </w:p>
        </w:tc>
      </w:tr>
      <w:tr w14:paraId="0AC1A6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1DE1BBC5">
            <w:pPr>
              <w:rPr>
                <w:b/>
                <w:color w:val="auto"/>
                <w:sz w:val="18"/>
                <w:szCs w:val="18"/>
              </w:rPr>
            </w:pPr>
          </w:p>
        </w:tc>
        <w:tc>
          <w:tcPr>
            <w:tcW w:w="1413" w:type="dxa"/>
            <w:vMerge w:val="continue"/>
            <w:tcBorders>
              <w:tl2br w:val="nil"/>
              <w:tr2bl w:val="nil"/>
            </w:tcBorders>
            <w:vAlign w:val="center"/>
          </w:tcPr>
          <w:p w14:paraId="6D4EF8DA">
            <w:pPr>
              <w:adjustRightInd w:val="0"/>
              <w:snapToGrid w:val="0"/>
              <w:jc w:val="center"/>
              <w:rPr>
                <w:b/>
                <w:color w:val="auto"/>
                <w:sz w:val="18"/>
                <w:szCs w:val="18"/>
              </w:rPr>
            </w:pPr>
          </w:p>
        </w:tc>
        <w:tc>
          <w:tcPr>
            <w:tcW w:w="3912" w:type="dxa"/>
            <w:gridSpan w:val="2"/>
            <w:tcBorders>
              <w:tl2br w:val="nil"/>
              <w:tr2bl w:val="nil"/>
            </w:tcBorders>
            <w:vAlign w:val="center"/>
          </w:tcPr>
          <w:p w14:paraId="3162C6D1">
            <w:pPr>
              <w:adjustRightInd w:val="0"/>
              <w:snapToGrid w:val="0"/>
              <w:rPr>
                <w:color w:val="auto"/>
                <w:sz w:val="18"/>
                <w:szCs w:val="18"/>
              </w:rPr>
            </w:pPr>
            <w:r>
              <w:rPr>
                <w:rFonts w:hint="eastAsia"/>
                <w:color w:val="auto"/>
                <w:sz w:val="18"/>
                <w:szCs w:val="18"/>
              </w:rPr>
              <w:t>数量分析方法</w:t>
            </w:r>
          </w:p>
        </w:tc>
        <w:tc>
          <w:tcPr>
            <w:tcW w:w="1081" w:type="dxa"/>
            <w:tcBorders>
              <w:tl2br w:val="nil"/>
              <w:tr2bl w:val="nil"/>
            </w:tcBorders>
            <w:vAlign w:val="top"/>
          </w:tcPr>
          <w:p w14:paraId="4BECB65D">
            <w:pPr>
              <w:jc w:val="center"/>
              <w:rPr>
                <w:rFonts w:hint="default"/>
                <w:i/>
                <w:color w:val="auto"/>
                <w:sz w:val="18"/>
                <w:szCs w:val="18"/>
                <w:lang w:val="en-US"/>
              </w:rPr>
            </w:pPr>
            <w:r>
              <w:rPr>
                <w:rFonts w:hint="eastAsia"/>
                <w:color w:val="auto"/>
                <w:sz w:val="18"/>
                <w:szCs w:val="18"/>
              </w:rPr>
              <w:t>Z</w:t>
            </w:r>
            <w:r>
              <w:rPr>
                <w:color w:val="auto"/>
                <w:sz w:val="18"/>
                <w:szCs w:val="18"/>
              </w:rPr>
              <w:t>S04161</w:t>
            </w:r>
            <w:r>
              <w:rPr>
                <w:rFonts w:hint="eastAsia"/>
                <w:color w:val="auto"/>
                <w:sz w:val="18"/>
                <w:szCs w:val="18"/>
                <w:lang w:val="en-US" w:eastAsia="zh-CN"/>
              </w:rPr>
              <w:t>09</w:t>
            </w:r>
          </w:p>
        </w:tc>
        <w:tc>
          <w:tcPr>
            <w:tcW w:w="709" w:type="dxa"/>
            <w:tcBorders>
              <w:tl2br w:val="nil"/>
              <w:tr2bl w:val="nil"/>
            </w:tcBorders>
            <w:vAlign w:val="top"/>
          </w:tcPr>
          <w:p w14:paraId="2FEBB158">
            <w:pPr>
              <w:jc w:val="center"/>
              <w:rPr>
                <w:color w:val="auto"/>
                <w:sz w:val="18"/>
                <w:szCs w:val="18"/>
              </w:rPr>
            </w:pPr>
            <w:r>
              <w:rPr>
                <w:rFonts w:hint="eastAsia"/>
                <w:color w:val="auto"/>
                <w:sz w:val="18"/>
                <w:szCs w:val="18"/>
              </w:rPr>
              <w:t>2</w:t>
            </w:r>
          </w:p>
        </w:tc>
        <w:tc>
          <w:tcPr>
            <w:tcW w:w="709" w:type="dxa"/>
            <w:tcBorders>
              <w:tl2br w:val="nil"/>
              <w:tr2bl w:val="nil"/>
            </w:tcBorders>
            <w:vAlign w:val="top"/>
          </w:tcPr>
          <w:p w14:paraId="5B931D97">
            <w:pPr>
              <w:jc w:val="center"/>
              <w:rPr>
                <w:rFonts w:hint="eastAsia" w:eastAsia="宋体"/>
                <w:i/>
                <w:color w:val="auto"/>
                <w:sz w:val="18"/>
                <w:szCs w:val="18"/>
                <w:lang w:eastAsia="zh-CN"/>
              </w:rPr>
            </w:pPr>
            <w:r>
              <w:rPr>
                <w:rFonts w:hint="eastAsia"/>
                <w:color w:val="auto"/>
                <w:sz w:val="18"/>
                <w:szCs w:val="18"/>
                <w:lang w:val="en-US" w:eastAsia="zh-CN"/>
              </w:rPr>
              <w:t>2</w:t>
            </w:r>
          </w:p>
        </w:tc>
        <w:tc>
          <w:tcPr>
            <w:tcW w:w="1146" w:type="dxa"/>
            <w:vMerge w:val="continue"/>
            <w:tcBorders>
              <w:tl2br w:val="nil"/>
              <w:tr2bl w:val="nil"/>
            </w:tcBorders>
            <w:vAlign w:val="center"/>
          </w:tcPr>
          <w:p w14:paraId="73117F7A">
            <w:pPr>
              <w:adjustRightInd w:val="0"/>
              <w:snapToGrid w:val="0"/>
              <w:jc w:val="center"/>
              <w:rPr>
                <w:color w:val="auto"/>
                <w:sz w:val="18"/>
                <w:szCs w:val="18"/>
              </w:rPr>
            </w:pPr>
          </w:p>
        </w:tc>
      </w:tr>
      <w:tr w14:paraId="73D179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049014C2">
            <w:pPr>
              <w:rPr>
                <w:b/>
                <w:color w:val="auto"/>
                <w:sz w:val="18"/>
                <w:szCs w:val="18"/>
              </w:rPr>
            </w:pPr>
            <w:bookmarkStart w:id="3" w:name="_Hlk72079642"/>
          </w:p>
        </w:tc>
        <w:tc>
          <w:tcPr>
            <w:tcW w:w="1413" w:type="dxa"/>
            <w:vMerge w:val="restart"/>
            <w:tcBorders>
              <w:tl2br w:val="nil"/>
              <w:tr2bl w:val="nil"/>
            </w:tcBorders>
            <w:vAlign w:val="center"/>
          </w:tcPr>
          <w:p w14:paraId="458EB847">
            <w:pPr>
              <w:adjustRightInd w:val="0"/>
              <w:snapToGrid w:val="0"/>
              <w:rPr>
                <w:rFonts w:hint="default" w:eastAsia="宋体"/>
                <w:b/>
                <w:color w:val="auto"/>
                <w:sz w:val="18"/>
                <w:szCs w:val="18"/>
                <w:lang w:val="en-US" w:eastAsia="zh-CN"/>
              </w:rPr>
            </w:pPr>
            <w:r>
              <w:rPr>
                <w:rFonts w:hint="eastAsia"/>
                <w:b/>
                <w:color w:val="auto"/>
                <w:sz w:val="18"/>
                <w:szCs w:val="18"/>
                <w:lang w:val="en-US" w:eastAsia="zh-CN"/>
              </w:rPr>
              <w:t>注册会计师方向</w:t>
            </w:r>
          </w:p>
        </w:tc>
        <w:tc>
          <w:tcPr>
            <w:tcW w:w="3912" w:type="dxa"/>
            <w:gridSpan w:val="2"/>
            <w:tcBorders>
              <w:tl2br w:val="nil"/>
              <w:tr2bl w:val="nil"/>
            </w:tcBorders>
            <w:shd w:val="clear" w:color="auto" w:fill="auto"/>
            <w:vAlign w:val="center"/>
          </w:tcPr>
          <w:p w14:paraId="166DE1D2">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基于Python的</w:t>
            </w:r>
            <w:r>
              <w:rPr>
                <w:rFonts w:hint="eastAsia"/>
                <w:color w:val="auto"/>
                <w:sz w:val="18"/>
                <w:szCs w:val="18"/>
              </w:rPr>
              <w:t>财务报表分析</w:t>
            </w:r>
          </w:p>
        </w:tc>
        <w:tc>
          <w:tcPr>
            <w:tcW w:w="1081" w:type="dxa"/>
            <w:tcBorders>
              <w:tl2br w:val="nil"/>
              <w:tr2bl w:val="nil"/>
            </w:tcBorders>
            <w:shd w:val="clear" w:color="auto" w:fill="auto"/>
            <w:vAlign w:val="center"/>
          </w:tcPr>
          <w:p w14:paraId="5839EAEB">
            <w:pPr>
              <w:jc w:val="center"/>
              <w:rPr>
                <w:rFonts w:hint="eastAsia" w:ascii="Times New Roman" w:hAnsi="Times New Roman" w:eastAsia="宋体" w:cs="Times New Roman"/>
                <w:kern w:val="2"/>
                <w:sz w:val="18"/>
                <w:szCs w:val="18"/>
                <w:lang w:val="en-US" w:eastAsia="zh-CN" w:bidi="ar-SA"/>
              </w:rPr>
            </w:pPr>
            <w:r>
              <w:rPr>
                <w:rFonts w:hint="eastAsia"/>
                <w:color w:val="auto"/>
                <w:sz w:val="18"/>
                <w:szCs w:val="18"/>
              </w:rPr>
              <w:t>ZS</w:t>
            </w:r>
            <w:r>
              <w:rPr>
                <w:color w:val="auto"/>
                <w:sz w:val="18"/>
                <w:szCs w:val="18"/>
              </w:rPr>
              <w:t>0411</w:t>
            </w:r>
            <w:r>
              <w:rPr>
                <w:rFonts w:hint="eastAsia"/>
                <w:color w:val="auto"/>
                <w:sz w:val="18"/>
                <w:szCs w:val="18"/>
                <w:lang w:val="en-US" w:eastAsia="zh-CN"/>
              </w:rPr>
              <w:t>102</w:t>
            </w:r>
          </w:p>
        </w:tc>
        <w:tc>
          <w:tcPr>
            <w:tcW w:w="709" w:type="dxa"/>
            <w:tcBorders>
              <w:tl2br w:val="nil"/>
              <w:tr2bl w:val="nil"/>
            </w:tcBorders>
            <w:shd w:val="clear" w:color="auto" w:fill="auto"/>
            <w:vAlign w:val="center"/>
          </w:tcPr>
          <w:p w14:paraId="2DCBB9DB">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tcBorders>
              <w:tl2br w:val="nil"/>
              <w:tr2bl w:val="nil"/>
            </w:tcBorders>
            <w:shd w:val="clear" w:color="auto" w:fill="auto"/>
            <w:vAlign w:val="center"/>
          </w:tcPr>
          <w:p w14:paraId="5F112B50">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1146" w:type="dxa"/>
            <w:vMerge w:val="restart"/>
            <w:tcBorders>
              <w:tl2br w:val="nil"/>
              <w:tr2bl w:val="nil"/>
            </w:tcBorders>
            <w:vAlign w:val="center"/>
          </w:tcPr>
          <w:p w14:paraId="3505D2FA">
            <w:pPr>
              <w:adjustRightInd w:val="0"/>
              <w:snapToGrid w:val="0"/>
              <w:jc w:val="center"/>
              <w:rPr>
                <w:color w:val="auto"/>
                <w:sz w:val="18"/>
                <w:szCs w:val="18"/>
              </w:rPr>
            </w:pPr>
            <w:r>
              <w:rPr>
                <w:rFonts w:hint="eastAsia"/>
                <w:color w:val="auto"/>
                <w:sz w:val="18"/>
                <w:szCs w:val="18"/>
              </w:rPr>
              <w:t>本方向研究生至少选修</w:t>
            </w:r>
          </w:p>
          <w:p w14:paraId="3A3BE137">
            <w:pPr>
              <w:adjustRightInd w:val="0"/>
              <w:snapToGrid w:val="0"/>
              <w:jc w:val="center"/>
              <w:rPr>
                <w:rFonts w:hint="eastAsia"/>
                <w:color w:val="auto"/>
                <w:sz w:val="18"/>
                <w:szCs w:val="18"/>
                <w:lang w:val="en-US" w:eastAsia="zh-CN"/>
              </w:rPr>
            </w:pPr>
            <w:r>
              <w:rPr>
                <w:rFonts w:hint="eastAsia"/>
                <w:color w:val="auto"/>
                <w:sz w:val="18"/>
                <w:szCs w:val="18"/>
                <w:lang w:val="en-US" w:eastAsia="zh-CN"/>
              </w:rPr>
              <w:t>6</w:t>
            </w:r>
            <w:r>
              <w:rPr>
                <w:rFonts w:hint="eastAsia"/>
                <w:color w:val="auto"/>
                <w:sz w:val="18"/>
                <w:szCs w:val="18"/>
              </w:rPr>
              <w:t>学分</w:t>
            </w:r>
          </w:p>
        </w:tc>
      </w:tr>
      <w:tr w14:paraId="58DEC1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6CD3278">
            <w:pPr>
              <w:rPr>
                <w:b/>
                <w:color w:val="auto"/>
                <w:sz w:val="18"/>
                <w:szCs w:val="18"/>
              </w:rPr>
            </w:pPr>
          </w:p>
        </w:tc>
        <w:tc>
          <w:tcPr>
            <w:tcW w:w="1413" w:type="dxa"/>
            <w:vMerge w:val="continue"/>
            <w:tcBorders>
              <w:tl2br w:val="nil"/>
              <w:tr2bl w:val="nil"/>
            </w:tcBorders>
            <w:vAlign w:val="center"/>
          </w:tcPr>
          <w:p w14:paraId="0E02287A">
            <w:pPr>
              <w:adjustRightInd w:val="0"/>
              <w:snapToGrid w:val="0"/>
              <w:rPr>
                <w:b/>
                <w:color w:val="auto"/>
                <w:sz w:val="18"/>
                <w:szCs w:val="18"/>
              </w:rPr>
            </w:pPr>
          </w:p>
        </w:tc>
        <w:tc>
          <w:tcPr>
            <w:tcW w:w="3912" w:type="dxa"/>
            <w:gridSpan w:val="2"/>
            <w:tcBorders>
              <w:tl2br w:val="nil"/>
              <w:tr2bl w:val="nil"/>
            </w:tcBorders>
            <w:shd w:val="clear" w:color="auto" w:fill="auto"/>
            <w:vAlign w:val="center"/>
          </w:tcPr>
          <w:p w14:paraId="5F060378">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大数据审计</w:t>
            </w:r>
          </w:p>
        </w:tc>
        <w:tc>
          <w:tcPr>
            <w:tcW w:w="1081" w:type="dxa"/>
            <w:tcBorders>
              <w:tl2br w:val="nil"/>
              <w:tr2bl w:val="nil"/>
            </w:tcBorders>
            <w:shd w:val="clear" w:color="auto" w:fill="auto"/>
            <w:vAlign w:val="top"/>
          </w:tcPr>
          <w:p w14:paraId="612B8090">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w:t>
            </w:r>
            <w:r>
              <w:rPr>
                <w:color w:val="auto"/>
                <w:sz w:val="18"/>
                <w:szCs w:val="18"/>
              </w:rPr>
              <w:t>S04161</w:t>
            </w:r>
            <w:r>
              <w:rPr>
                <w:rFonts w:hint="eastAsia"/>
                <w:color w:val="auto"/>
                <w:sz w:val="18"/>
                <w:szCs w:val="18"/>
                <w:lang w:val="en-US" w:eastAsia="zh-CN"/>
              </w:rPr>
              <w:t>03</w:t>
            </w:r>
          </w:p>
        </w:tc>
        <w:tc>
          <w:tcPr>
            <w:tcW w:w="709" w:type="dxa"/>
            <w:tcBorders>
              <w:tl2br w:val="nil"/>
              <w:tr2bl w:val="nil"/>
            </w:tcBorders>
            <w:shd w:val="clear" w:color="auto" w:fill="auto"/>
            <w:vAlign w:val="top"/>
          </w:tcPr>
          <w:p w14:paraId="0319E3F9">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18A9F111">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146" w:type="dxa"/>
            <w:vMerge w:val="continue"/>
            <w:tcBorders>
              <w:tl2br w:val="nil"/>
              <w:tr2bl w:val="nil"/>
            </w:tcBorders>
            <w:vAlign w:val="center"/>
          </w:tcPr>
          <w:p w14:paraId="71E6BF5C">
            <w:pPr>
              <w:adjustRightInd w:val="0"/>
              <w:snapToGrid w:val="0"/>
              <w:jc w:val="center"/>
              <w:rPr>
                <w:rFonts w:hint="eastAsia"/>
                <w:color w:val="auto"/>
                <w:sz w:val="18"/>
                <w:szCs w:val="18"/>
                <w:lang w:val="en-US" w:eastAsia="zh-CN"/>
              </w:rPr>
            </w:pPr>
          </w:p>
        </w:tc>
      </w:tr>
      <w:tr w14:paraId="4C3C931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5CD6B71C">
            <w:pPr>
              <w:rPr>
                <w:b/>
                <w:color w:val="auto"/>
                <w:sz w:val="18"/>
                <w:szCs w:val="18"/>
              </w:rPr>
            </w:pPr>
          </w:p>
        </w:tc>
        <w:tc>
          <w:tcPr>
            <w:tcW w:w="1413" w:type="dxa"/>
            <w:vMerge w:val="continue"/>
            <w:tcBorders>
              <w:tl2br w:val="nil"/>
              <w:tr2bl w:val="nil"/>
            </w:tcBorders>
            <w:vAlign w:val="center"/>
          </w:tcPr>
          <w:p w14:paraId="58A48F9F">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1422A508">
            <w:pPr>
              <w:adjustRightInd w:val="0"/>
              <w:snapToGrid w:val="0"/>
              <w:rPr>
                <w:rFonts w:ascii="Times New Roman" w:hAnsi="Times New Roman" w:eastAsia="宋体" w:cs="Times New Roman"/>
                <w:color w:val="auto"/>
                <w:kern w:val="2"/>
                <w:sz w:val="18"/>
                <w:szCs w:val="18"/>
                <w:lang w:val="en-US" w:eastAsia="zh-CN" w:bidi="ar-SA"/>
              </w:rPr>
            </w:pPr>
            <w:r>
              <w:rPr>
                <w:rFonts w:hint="eastAsia"/>
                <w:color w:val="auto"/>
                <w:sz w:val="18"/>
                <w:szCs w:val="18"/>
              </w:rPr>
              <w:t>注册会计师审计专题</w:t>
            </w:r>
          </w:p>
        </w:tc>
        <w:tc>
          <w:tcPr>
            <w:tcW w:w="1081" w:type="dxa"/>
            <w:tcBorders>
              <w:tl2br w:val="nil"/>
              <w:tr2bl w:val="nil"/>
            </w:tcBorders>
            <w:shd w:val="clear" w:color="auto" w:fill="auto"/>
            <w:vAlign w:val="center"/>
          </w:tcPr>
          <w:p w14:paraId="0E160D5E">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w:t>
            </w:r>
            <w:r>
              <w:rPr>
                <w:color w:val="auto"/>
                <w:sz w:val="18"/>
                <w:szCs w:val="18"/>
              </w:rPr>
              <w:t>S04162</w:t>
            </w:r>
            <w:r>
              <w:rPr>
                <w:rFonts w:hint="eastAsia"/>
                <w:color w:val="auto"/>
                <w:sz w:val="18"/>
                <w:szCs w:val="18"/>
                <w:lang w:val="en-US" w:eastAsia="zh-CN"/>
              </w:rPr>
              <w:t>15</w:t>
            </w:r>
          </w:p>
        </w:tc>
        <w:tc>
          <w:tcPr>
            <w:tcW w:w="709" w:type="dxa"/>
            <w:tcBorders>
              <w:tl2br w:val="nil"/>
              <w:tr2bl w:val="nil"/>
            </w:tcBorders>
            <w:shd w:val="clear" w:color="auto" w:fill="auto"/>
            <w:vAlign w:val="top"/>
          </w:tcPr>
          <w:p w14:paraId="094C02DF">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center"/>
          </w:tcPr>
          <w:p w14:paraId="4AE09769">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146" w:type="dxa"/>
            <w:vMerge w:val="continue"/>
            <w:tcBorders>
              <w:tl2br w:val="nil"/>
              <w:tr2bl w:val="nil"/>
            </w:tcBorders>
            <w:vAlign w:val="center"/>
          </w:tcPr>
          <w:p w14:paraId="1864ED32">
            <w:pPr>
              <w:adjustRightInd w:val="0"/>
              <w:snapToGrid w:val="0"/>
              <w:jc w:val="center"/>
              <w:rPr>
                <w:color w:val="auto"/>
                <w:sz w:val="18"/>
                <w:szCs w:val="18"/>
              </w:rPr>
            </w:pPr>
          </w:p>
        </w:tc>
      </w:tr>
      <w:tr w14:paraId="6CF933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21DCEB0A">
            <w:pPr>
              <w:rPr>
                <w:b/>
                <w:color w:val="auto"/>
                <w:sz w:val="18"/>
                <w:szCs w:val="18"/>
              </w:rPr>
            </w:pPr>
          </w:p>
        </w:tc>
        <w:tc>
          <w:tcPr>
            <w:tcW w:w="1413" w:type="dxa"/>
            <w:vMerge w:val="continue"/>
            <w:tcBorders>
              <w:tl2br w:val="nil"/>
              <w:tr2bl w:val="nil"/>
            </w:tcBorders>
            <w:vAlign w:val="center"/>
          </w:tcPr>
          <w:p w14:paraId="1A044C89">
            <w:pPr>
              <w:adjustRightInd w:val="0"/>
              <w:snapToGrid w:val="0"/>
              <w:jc w:val="center"/>
              <w:rPr>
                <w:b/>
                <w:color w:val="auto"/>
                <w:sz w:val="18"/>
                <w:szCs w:val="18"/>
              </w:rPr>
            </w:pPr>
          </w:p>
        </w:tc>
        <w:tc>
          <w:tcPr>
            <w:tcW w:w="3912" w:type="dxa"/>
            <w:gridSpan w:val="2"/>
            <w:tcBorders>
              <w:tl2br w:val="nil"/>
              <w:tr2bl w:val="nil"/>
            </w:tcBorders>
            <w:vAlign w:val="center"/>
          </w:tcPr>
          <w:p w14:paraId="39A0F61F">
            <w:pPr>
              <w:adjustRightInd w:val="0"/>
              <w:snapToGrid w:val="0"/>
              <w:rPr>
                <w:color w:val="auto"/>
                <w:sz w:val="18"/>
                <w:szCs w:val="18"/>
              </w:rPr>
            </w:pPr>
            <w:r>
              <w:rPr>
                <w:rFonts w:hint="eastAsia"/>
                <w:color w:val="auto"/>
                <w:sz w:val="18"/>
                <w:szCs w:val="18"/>
                <w:lang w:val="en-US" w:eastAsia="zh-CN"/>
              </w:rPr>
              <w:t>管理</w:t>
            </w:r>
            <w:r>
              <w:rPr>
                <w:rFonts w:hint="eastAsia"/>
                <w:color w:val="auto"/>
                <w:sz w:val="18"/>
                <w:szCs w:val="18"/>
              </w:rPr>
              <w:t>审计专题</w:t>
            </w:r>
          </w:p>
        </w:tc>
        <w:tc>
          <w:tcPr>
            <w:tcW w:w="1081" w:type="dxa"/>
            <w:tcBorders>
              <w:tl2br w:val="nil"/>
              <w:tr2bl w:val="nil"/>
            </w:tcBorders>
          </w:tcPr>
          <w:p w14:paraId="177C1181">
            <w:pPr>
              <w:jc w:val="center"/>
              <w:rPr>
                <w:rFonts w:hint="default" w:eastAsia="宋体"/>
                <w:i/>
                <w:color w:val="auto"/>
                <w:sz w:val="18"/>
                <w:szCs w:val="18"/>
                <w:lang w:val="en-US" w:eastAsia="zh-CN"/>
              </w:rPr>
            </w:pPr>
            <w:r>
              <w:rPr>
                <w:rFonts w:hint="eastAsia"/>
                <w:color w:val="auto"/>
                <w:sz w:val="18"/>
                <w:szCs w:val="18"/>
              </w:rPr>
              <w:t>Z</w:t>
            </w:r>
            <w:r>
              <w:rPr>
                <w:color w:val="auto"/>
                <w:sz w:val="18"/>
                <w:szCs w:val="18"/>
              </w:rPr>
              <w:t>S04162</w:t>
            </w:r>
            <w:r>
              <w:rPr>
                <w:rFonts w:hint="eastAsia"/>
                <w:color w:val="auto"/>
                <w:sz w:val="18"/>
                <w:szCs w:val="18"/>
                <w:lang w:val="en-US" w:eastAsia="zh-CN"/>
              </w:rPr>
              <w:t>30</w:t>
            </w:r>
          </w:p>
        </w:tc>
        <w:tc>
          <w:tcPr>
            <w:tcW w:w="709" w:type="dxa"/>
            <w:tcBorders>
              <w:tl2br w:val="nil"/>
              <w:tr2bl w:val="nil"/>
            </w:tcBorders>
          </w:tcPr>
          <w:p w14:paraId="7054E062">
            <w:pPr>
              <w:jc w:val="center"/>
              <w:rPr>
                <w:color w:val="auto"/>
                <w:sz w:val="18"/>
                <w:szCs w:val="18"/>
              </w:rPr>
            </w:pPr>
            <w:r>
              <w:rPr>
                <w:rFonts w:hint="eastAsia"/>
                <w:color w:val="auto"/>
                <w:sz w:val="18"/>
                <w:szCs w:val="18"/>
              </w:rPr>
              <w:t>2</w:t>
            </w:r>
          </w:p>
        </w:tc>
        <w:tc>
          <w:tcPr>
            <w:tcW w:w="709" w:type="dxa"/>
            <w:tcBorders>
              <w:tl2br w:val="nil"/>
              <w:tr2bl w:val="nil"/>
            </w:tcBorders>
            <w:vAlign w:val="center"/>
          </w:tcPr>
          <w:p w14:paraId="7F21D0EA">
            <w:pPr>
              <w:jc w:val="center"/>
              <w:rPr>
                <w:color w:val="auto"/>
                <w:sz w:val="18"/>
                <w:szCs w:val="18"/>
              </w:rPr>
            </w:pPr>
            <w:r>
              <w:rPr>
                <w:rFonts w:hint="eastAsia"/>
                <w:color w:val="auto"/>
                <w:sz w:val="18"/>
                <w:szCs w:val="18"/>
              </w:rPr>
              <w:t>2</w:t>
            </w:r>
          </w:p>
        </w:tc>
        <w:tc>
          <w:tcPr>
            <w:tcW w:w="1146" w:type="dxa"/>
            <w:vMerge w:val="continue"/>
            <w:tcBorders>
              <w:tl2br w:val="nil"/>
              <w:tr2bl w:val="nil"/>
            </w:tcBorders>
            <w:vAlign w:val="center"/>
          </w:tcPr>
          <w:p w14:paraId="7DA64854">
            <w:pPr>
              <w:adjustRightInd w:val="0"/>
              <w:snapToGrid w:val="0"/>
              <w:jc w:val="center"/>
              <w:rPr>
                <w:color w:val="auto"/>
                <w:sz w:val="18"/>
                <w:szCs w:val="18"/>
              </w:rPr>
            </w:pPr>
          </w:p>
        </w:tc>
      </w:tr>
      <w:tr w14:paraId="6BC4C5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ED2986C">
            <w:pPr>
              <w:rPr>
                <w:b/>
                <w:color w:val="auto"/>
                <w:sz w:val="18"/>
                <w:szCs w:val="18"/>
              </w:rPr>
            </w:pPr>
          </w:p>
        </w:tc>
        <w:tc>
          <w:tcPr>
            <w:tcW w:w="1413" w:type="dxa"/>
            <w:vMerge w:val="continue"/>
            <w:tcBorders>
              <w:tl2br w:val="nil"/>
              <w:tr2bl w:val="nil"/>
            </w:tcBorders>
            <w:vAlign w:val="center"/>
          </w:tcPr>
          <w:p w14:paraId="1A89FECF">
            <w:pPr>
              <w:adjustRightInd w:val="0"/>
              <w:snapToGrid w:val="0"/>
              <w:jc w:val="center"/>
              <w:rPr>
                <w:b/>
                <w:color w:val="auto"/>
                <w:sz w:val="18"/>
                <w:szCs w:val="18"/>
              </w:rPr>
            </w:pPr>
          </w:p>
        </w:tc>
        <w:tc>
          <w:tcPr>
            <w:tcW w:w="3912" w:type="dxa"/>
            <w:gridSpan w:val="2"/>
            <w:tcBorders>
              <w:tl2br w:val="nil"/>
              <w:tr2bl w:val="nil"/>
            </w:tcBorders>
            <w:vAlign w:val="center"/>
          </w:tcPr>
          <w:p w14:paraId="2EACC3CB">
            <w:pPr>
              <w:adjustRightInd w:val="0"/>
              <w:snapToGrid w:val="0"/>
              <w:rPr>
                <w:color w:val="auto"/>
                <w:sz w:val="18"/>
                <w:szCs w:val="18"/>
              </w:rPr>
            </w:pPr>
            <w:r>
              <w:rPr>
                <w:rFonts w:hint="eastAsia"/>
                <w:color w:val="auto"/>
                <w:sz w:val="18"/>
                <w:szCs w:val="18"/>
              </w:rPr>
              <w:t>舞弊审计专题</w:t>
            </w:r>
          </w:p>
        </w:tc>
        <w:tc>
          <w:tcPr>
            <w:tcW w:w="1081" w:type="dxa"/>
            <w:tcBorders>
              <w:tl2br w:val="nil"/>
              <w:tr2bl w:val="nil"/>
            </w:tcBorders>
          </w:tcPr>
          <w:p w14:paraId="0B943DE6">
            <w:pPr>
              <w:jc w:val="center"/>
              <w:rPr>
                <w:rFonts w:hint="default" w:eastAsia="宋体"/>
                <w:i/>
                <w:color w:val="auto"/>
                <w:sz w:val="18"/>
                <w:szCs w:val="18"/>
                <w:lang w:val="en-US" w:eastAsia="zh-CN"/>
              </w:rPr>
            </w:pPr>
            <w:r>
              <w:rPr>
                <w:rFonts w:hint="eastAsia"/>
                <w:color w:val="auto"/>
                <w:sz w:val="18"/>
                <w:szCs w:val="18"/>
              </w:rPr>
              <w:t>Z</w:t>
            </w:r>
            <w:r>
              <w:rPr>
                <w:color w:val="auto"/>
                <w:sz w:val="18"/>
                <w:szCs w:val="18"/>
              </w:rPr>
              <w:t>S04162</w:t>
            </w:r>
            <w:r>
              <w:rPr>
                <w:rFonts w:hint="eastAsia"/>
                <w:color w:val="auto"/>
                <w:sz w:val="18"/>
                <w:szCs w:val="18"/>
                <w:lang w:val="en-US" w:eastAsia="zh-CN"/>
              </w:rPr>
              <w:t>18</w:t>
            </w:r>
          </w:p>
        </w:tc>
        <w:tc>
          <w:tcPr>
            <w:tcW w:w="709" w:type="dxa"/>
            <w:tcBorders>
              <w:tl2br w:val="nil"/>
              <w:tr2bl w:val="nil"/>
            </w:tcBorders>
          </w:tcPr>
          <w:p w14:paraId="093E79FA">
            <w:pPr>
              <w:jc w:val="center"/>
              <w:rPr>
                <w:color w:val="auto"/>
                <w:sz w:val="18"/>
                <w:szCs w:val="18"/>
              </w:rPr>
            </w:pPr>
            <w:r>
              <w:rPr>
                <w:rFonts w:hint="eastAsia"/>
                <w:color w:val="auto"/>
                <w:sz w:val="18"/>
                <w:szCs w:val="18"/>
              </w:rPr>
              <w:t>2</w:t>
            </w:r>
          </w:p>
        </w:tc>
        <w:tc>
          <w:tcPr>
            <w:tcW w:w="709" w:type="dxa"/>
            <w:tcBorders>
              <w:tl2br w:val="nil"/>
              <w:tr2bl w:val="nil"/>
            </w:tcBorders>
            <w:vAlign w:val="center"/>
          </w:tcPr>
          <w:p w14:paraId="064AC8D5">
            <w:pPr>
              <w:jc w:val="center"/>
              <w:rPr>
                <w:color w:val="auto"/>
                <w:sz w:val="18"/>
                <w:szCs w:val="18"/>
              </w:rPr>
            </w:pPr>
            <w:r>
              <w:rPr>
                <w:rFonts w:hint="eastAsia"/>
                <w:color w:val="auto"/>
                <w:sz w:val="18"/>
                <w:szCs w:val="18"/>
              </w:rPr>
              <w:t>2</w:t>
            </w:r>
          </w:p>
        </w:tc>
        <w:tc>
          <w:tcPr>
            <w:tcW w:w="1146" w:type="dxa"/>
            <w:vMerge w:val="continue"/>
            <w:tcBorders>
              <w:tl2br w:val="nil"/>
              <w:tr2bl w:val="nil"/>
            </w:tcBorders>
            <w:vAlign w:val="center"/>
          </w:tcPr>
          <w:p w14:paraId="201695B1">
            <w:pPr>
              <w:adjustRightInd w:val="0"/>
              <w:snapToGrid w:val="0"/>
              <w:jc w:val="center"/>
              <w:rPr>
                <w:color w:val="auto"/>
                <w:sz w:val="18"/>
                <w:szCs w:val="18"/>
              </w:rPr>
            </w:pPr>
          </w:p>
        </w:tc>
      </w:tr>
      <w:tr w14:paraId="5E305A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06BCC301">
            <w:pPr>
              <w:rPr>
                <w:b/>
                <w:color w:val="auto"/>
                <w:sz w:val="18"/>
                <w:szCs w:val="18"/>
              </w:rPr>
            </w:pPr>
          </w:p>
        </w:tc>
        <w:tc>
          <w:tcPr>
            <w:tcW w:w="1413" w:type="dxa"/>
            <w:vMerge w:val="continue"/>
            <w:tcBorders>
              <w:tl2br w:val="nil"/>
              <w:tr2bl w:val="nil"/>
            </w:tcBorders>
            <w:vAlign w:val="center"/>
          </w:tcPr>
          <w:p w14:paraId="2645FC53">
            <w:pPr>
              <w:adjustRightInd w:val="0"/>
              <w:snapToGrid w:val="0"/>
              <w:jc w:val="center"/>
              <w:rPr>
                <w:b/>
                <w:color w:val="auto"/>
                <w:sz w:val="18"/>
                <w:szCs w:val="18"/>
              </w:rPr>
            </w:pPr>
          </w:p>
        </w:tc>
        <w:tc>
          <w:tcPr>
            <w:tcW w:w="3912" w:type="dxa"/>
            <w:gridSpan w:val="2"/>
            <w:tcBorders>
              <w:tl2br w:val="nil"/>
              <w:tr2bl w:val="nil"/>
            </w:tcBorders>
            <w:vAlign w:val="center"/>
          </w:tcPr>
          <w:p w14:paraId="7A41370F">
            <w:pPr>
              <w:adjustRightInd w:val="0"/>
              <w:snapToGrid w:val="0"/>
              <w:rPr>
                <w:color w:val="auto"/>
                <w:sz w:val="18"/>
                <w:szCs w:val="18"/>
              </w:rPr>
            </w:pPr>
            <w:r>
              <w:rPr>
                <w:rFonts w:hint="eastAsia"/>
                <w:color w:val="auto"/>
                <w:sz w:val="18"/>
                <w:szCs w:val="18"/>
              </w:rPr>
              <w:t>战略管理与公司治理</w:t>
            </w:r>
          </w:p>
        </w:tc>
        <w:tc>
          <w:tcPr>
            <w:tcW w:w="1081" w:type="dxa"/>
            <w:tcBorders>
              <w:tl2br w:val="nil"/>
              <w:tr2bl w:val="nil"/>
            </w:tcBorders>
          </w:tcPr>
          <w:p w14:paraId="49F6665F">
            <w:pPr>
              <w:jc w:val="center"/>
              <w:rPr>
                <w:rFonts w:hint="default" w:eastAsia="宋体"/>
                <w:i/>
                <w:color w:val="auto"/>
                <w:sz w:val="18"/>
                <w:szCs w:val="18"/>
                <w:lang w:val="en-US" w:eastAsia="zh-CN"/>
              </w:rPr>
            </w:pPr>
            <w:r>
              <w:rPr>
                <w:rFonts w:hint="eastAsia"/>
                <w:color w:val="auto"/>
                <w:sz w:val="18"/>
                <w:szCs w:val="18"/>
              </w:rPr>
              <w:t>Z</w:t>
            </w:r>
            <w:r>
              <w:rPr>
                <w:color w:val="auto"/>
                <w:sz w:val="18"/>
                <w:szCs w:val="18"/>
              </w:rPr>
              <w:t>S04162</w:t>
            </w:r>
            <w:r>
              <w:rPr>
                <w:rFonts w:hint="eastAsia"/>
                <w:color w:val="auto"/>
                <w:sz w:val="18"/>
                <w:szCs w:val="18"/>
                <w:lang w:val="en-US" w:eastAsia="zh-CN"/>
              </w:rPr>
              <w:t>21</w:t>
            </w:r>
          </w:p>
        </w:tc>
        <w:tc>
          <w:tcPr>
            <w:tcW w:w="709" w:type="dxa"/>
            <w:tcBorders>
              <w:tl2br w:val="nil"/>
              <w:tr2bl w:val="nil"/>
            </w:tcBorders>
          </w:tcPr>
          <w:p w14:paraId="4455B103">
            <w:pPr>
              <w:jc w:val="center"/>
              <w:rPr>
                <w:color w:val="auto"/>
                <w:sz w:val="18"/>
                <w:szCs w:val="18"/>
              </w:rPr>
            </w:pPr>
            <w:r>
              <w:rPr>
                <w:rFonts w:hint="eastAsia"/>
                <w:color w:val="auto"/>
                <w:sz w:val="18"/>
                <w:szCs w:val="18"/>
              </w:rPr>
              <w:t>2</w:t>
            </w:r>
          </w:p>
        </w:tc>
        <w:tc>
          <w:tcPr>
            <w:tcW w:w="709" w:type="dxa"/>
            <w:tcBorders>
              <w:tl2br w:val="nil"/>
              <w:tr2bl w:val="nil"/>
            </w:tcBorders>
            <w:vAlign w:val="center"/>
          </w:tcPr>
          <w:p w14:paraId="73B2A6CE">
            <w:pPr>
              <w:jc w:val="center"/>
              <w:rPr>
                <w:color w:val="auto"/>
                <w:sz w:val="18"/>
                <w:szCs w:val="18"/>
              </w:rPr>
            </w:pPr>
            <w:r>
              <w:rPr>
                <w:rFonts w:hint="eastAsia"/>
                <w:color w:val="auto"/>
                <w:sz w:val="18"/>
                <w:szCs w:val="18"/>
              </w:rPr>
              <w:t>1</w:t>
            </w:r>
          </w:p>
        </w:tc>
        <w:tc>
          <w:tcPr>
            <w:tcW w:w="1146" w:type="dxa"/>
            <w:vMerge w:val="continue"/>
            <w:tcBorders>
              <w:tl2br w:val="nil"/>
              <w:tr2bl w:val="nil"/>
            </w:tcBorders>
            <w:vAlign w:val="center"/>
          </w:tcPr>
          <w:p w14:paraId="23312D71">
            <w:pPr>
              <w:adjustRightInd w:val="0"/>
              <w:snapToGrid w:val="0"/>
              <w:jc w:val="center"/>
              <w:rPr>
                <w:color w:val="auto"/>
                <w:sz w:val="18"/>
                <w:szCs w:val="18"/>
              </w:rPr>
            </w:pPr>
          </w:p>
        </w:tc>
      </w:tr>
      <w:bookmarkEnd w:id="3"/>
      <w:tr w14:paraId="69ABE1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1FCE357C">
            <w:pPr>
              <w:rPr>
                <w:b/>
                <w:color w:val="auto"/>
                <w:sz w:val="18"/>
                <w:szCs w:val="18"/>
              </w:rPr>
            </w:pPr>
            <w:bookmarkStart w:id="4" w:name="_Hlk72079810"/>
          </w:p>
        </w:tc>
        <w:tc>
          <w:tcPr>
            <w:tcW w:w="1413" w:type="dxa"/>
            <w:vMerge w:val="continue"/>
            <w:tcBorders>
              <w:tl2br w:val="nil"/>
              <w:tr2bl w:val="nil"/>
            </w:tcBorders>
            <w:vAlign w:val="center"/>
          </w:tcPr>
          <w:p w14:paraId="3FA5C5E9">
            <w:pPr>
              <w:adjustRightInd w:val="0"/>
              <w:snapToGrid w:val="0"/>
              <w:jc w:val="center"/>
              <w:rPr>
                <w:b/>
                <w:color w:val="auto"/>
                <w:sz w:val="18"/>
                <w:szCs w:val="18"/>
              </w:rPr>
            </w:pPr>
          </w:p>
        </w:tc>
        <w:tc>
          <w:tcPr>
            <w:tcW w:w="3912" w:type="dxa"/>
            <w:gridSpan w:val="2"/>
            <w:tcBorders>
              <w:tl2br w:val="nil"/>
              <w:tr2bl w:val="nil"/>
            </w:tcBorders>
            <w:vAlign w:val="center"/>
          </w:tcPr>
          <w:p w14:paraId="2F692560">
            <w:pPr>
              <w:adjustRightInd w:val="0"/>
              <w:snapToGrid w:val="0"/>
              <w:rPr>
                <w:color w:val="auto"/>
                <w:sz w:val="18"/>
                <w:szCs w:val="18"/>
              </w:rPr>
            </w:pPr>
            <w:r>
              <w:rPr>
                <w:rFonts w:hint="eastAsia"/>
                <w:color w:val="auto"/>
                <w:sz w:val="18"/>
                <w:szCs w:val="18"/>
              </w:rPr>
              <w:t>审计法律与案例</w:t>
            </w:r>
          </w:p>
        </w:tc>
        <w:tc>
          <w:tcPr>
            <w:tcW w:w="1081" w:type="dxa"/>
            <w:tcBorders>
              <w:tl2br w:val="nil"/>
              <w:tr2bl w:val="nil"/>
            </w:tcBorders>
            <w:vAlign w:val="top"/>
          </w:tcPr>
          <w:p w14:paraId="4EE405DB">
            <w:pPr>
              <w:jc w:val="center"/>
              <w:rPr>
                <w:rFonts w:hint="default" w:eastAsia="宋体"/>
                <w:i/>
                <w:color w:val="auto"/>
                <w:sz w:val="18"/>
                <w:szCs w:val="18"/>
                <w:lang w:val="en-US" w:eastAsia="zh-CN"/>
              </w:rPr>
            </w:pPr>
            <w:r>
              <w:rPr>
                <w:rFonts w:hint="eastAsia"/>
                <w:color w:val="auto"/>
                <w:sz w:val="18"/>
                <w:szCs w:val="18"/>
              </w:rPr>
              <w:t>Z</w:t>
            </w:r>
            <w:r>
              <w:rPr>
                <w:color w:val="auto"/>
                <w:sz w:val="18"/>
                <w:szCs w:val="18"/>
              </w:rPr>
              <w:t>S0416</w:t>
            </w:r>
            <w:r>
              <w:rPr>
                <w:rFonts w:hint="eastAsia"/>
                <w:color w:val="auto"/>
                <w:sz w:val="18"/>
                <w:szCs w:val="18"/>
                <w:lang w:val="en-US" w:eastAsia="zh-CN"/>
              </w:rPr>
              <w:t>105</w:t>
            </w:r>
          </w:p>
        </w:tc>
        <w:tc>
          <w:tcPr>
            <w:tcW w:w="709" w:type="dxa"/>
            <w:tcBorders>
              <w:tl2br w:val="nil"/>
              <w:tr2bl w:val="nil"/>
            </w:tcBorders>
            <w:vAlign w:val="top"/>
          </w:tcPr>
          <w:p w14:paraId="1966DEFC">
            <w:pPr>
              <w:jc w:val="center"/>
              <w:rPr>
                <w:color w:val="auto"/>
                <w:sz w:val="18"/>
                <w:szCs w:val="18"/>
              </w:rPr>
            </w:pPr>
            <w:r>
              <w:rPr>
                <w:rFonts w:hint="eastAsia"/>
                <w:color w:val="auto"/>
                <w:sz w:val="18"/>
                <w:szCs w:val="18"/>
              </w:rPr>
              <w:t>2</w:t>
            </w:r>
          </w:p>
        </w:tc>
        <w:tc>
          <w:tcPr>
            <w:tcW w:w="709" w:type="dxa"/>
            <w:tcBorders>
              <w:tl2br w:val="nil"/>
              <w:tr2bl w:val="nil"/>
            </w:tcBorders>
            <w:vAlign w:val="top"/>
          </w:tcPr>
          <w:p w14:paraId="79F89002">
            <w:pPr>
              <w:jc w:val="center"/>
              <w:rPr>
                <w:rFonts w:hint="eastAsia" w:eastAsia="宋体"/>
                <w:color w:val="auto"/>
                <w:sz w:val="18"/>
                <w:szCs w:val="18"/>
                <w:lang w:eastAsia="zh-CN"/>
              </w:rPr>
            </w:pPr>
            <w:r>
              <w:rPr>
                <w:rFonts w:hint="eastAsia"/>
                <w:color w:val="auto"/>
                <w:sz w:val="18"/>
                <w:szCs w:val="18"/>
                <w:lang w:val="en-US" w:eastAsia="zh-CN"/>
              </w:rPr>
              <w:t>2</w:t>
            </w:r>
          </w:p>
        </w:tc>
        <w:tc>
          <w:tcPr>
            <w:tcW w:w="1146" w:type="dxa"/>
            <w:vMerge w:val="continue"/>
            <w:tcBorders>
              <w:tl2br w:val="nil"/>
              <w:tr2bl w:val="nil"/>
            </w:tcBorders>
            <w:vAlign w:val="center"/>
          </w:tcPr>
          <w:p w14:paraId="5D612E6D">
            <w:pPr>
              <w:adjustRightInd w:val="0"/>
              <w:snapToGrid w:val="0"/>
              <w:jc w:val="center"/>
              <w:rPr>
                <w:color w:val="auto"/>
                <w:sz w:val="18"/>
                <w:szCs w:val="18"/>
              </w:rPr>
            </w:pPr>
          </w:p>
        </w:tc>
      </w:tr>
      <w:tr w14:paraId="441EC4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48084121">
            <w:pPr>
              <w:rPr>
                <w:b/>
                <w:color w:val="auto"/>
                <w:sz w:val="18"/>
                <w:szCs w:val="18"/>
              </w:rPr>
            </w:pPr>
          </w:p>
        </w:tc>
        <w:tc>
          <w:tcPr>
            <w:tcW w:w="1413" w:type="dxa"/>
            <w:vMerge w:val="continue"/>
            <w:tcBorders>
              <w:tl2br w:val="nil"/>
              <w:tr2bl w:val="nil"/>
            </w:tcBorders>
            <w:vAlign w:val="center"/>
          </w:tcPr>
          <w:p w14:paraId="7842AC19">
            <w:pPr>
              <w:adjustRightInd w:val="0"/>
              <w:snapToGrid w:val="0"/>
              <w:jc w:val="center"/>
              <w:rPr>
                <w:b/>
                <w:color w:val="auto"/>
                <w:sz w:val="18"/>
                <w:szCs w:val="18"/>
              </w:rPr>
            </w:pPr>
          </w:p>
        </w:tc>
        <w:tc>
          <w:tcPr>
            <w:tcW w:w="3912" w:type="dxa"/>
            <w:gridSpan w:val="2"/>
            <w:tcBorders>
              <w:tl2br w:val="nil"/>
              <w:tr2bl w:val="nil"/>
            </w:tcBorders>
            <w:vAlign w:val="center"/>
          </w:tcPr>
          <w:p w14:paraId="4519636C">
            <w:pPr>
              <w:adjustRightInd w:val="0"/>
              <w:snapToGrid w:val="0"/>
              <w:rPr>
                <w:color w:val="auto"/>
                <w:sz w:val="18"/>
                <w:szCs w:val="18"/>
              </w:rPr>
            </w:pPr>
            <w:r>
              <w:rPr>
                <w:rFonts w:hint="eastAsia"/>
                <w:color w:val="auto"/>
                <w:sz w:val="18"/>
                <w:szCs w:val="18"/>
              </w:rPr>
              <w:t>审计史</w:t>
            </w:r>
          </w:p>
        </w:tc>
        <w:tc>
          <w:tcPr>
            <w:tcW w:w="1081" w:type="dxa"/>
            <w:tcBorders>
              <w:tl2br w:val="nil"/>
              <w:tr2bl w:val="nil"/>
            </w:tcBorders>
            <w:vAlign w:val="top"/>
          </w:tcPr>
          <w:p w14:paraId="7DC2C78D">
            <w:pPr>
              <w:jc w:val="center"/>
              <w:rPr>
                <w:rFonts w:hint="default" w:eastAsia="宋体"/>
                <w:i/>
                <w:color w:val="auto"/>
                <w:sz w:val="18"/>
                <w:szCs w:val="18"/>
                <w:lang w:val="en-US" w:eastAsia="zh-CN"/>
              </w:rPr>
            </w:pPr>
            <w:r>
              <w:rPr>
                <w:rFonts w:hint="eastAsia"/>
                <w:color w:val="auto"/>
                <w:sz w:val="18"/>
                <w:szCs w:val="18"/>
              </w:rPr>
              <w:t>Z</w:t>
            </w:r>
            <w:r>
              <w:rPr>
                <w:color w:val="auto"/>
                <w:sz w:val="18"/>
                <w:szCs w:val="18"/>
              </w:rPr>
              <w:t>S0416</w:t>
            </w:r>
            <w:r>
              <w:rPr>
                <w:rFonts w:hint="eastAsia"/>
                <w:color w:val="auto"/>
                <w:sz w:val="18"/>
                <w:szCs w:val="18"/>
                <w:lang w:val="en-US" w:eastAsia="zh-CN"/>
              </w:rPr>
              <w:t>107</w:t>
            </w:r>
          </w:p>
        </w:tc>
        <w:tc>
          <w:tcPr>
            <w:tcW w:w="709" w:type="dxa"/>
            <w:tcBorders>
              <w:tl2br w:val="nil"/>
              <w:tr2bl w:val="nil"/>
            </w:tcBorders>
            <w:vAlign w:val="top"/>
          </w:tcPr>
          <w:p w14:paraId="4BB63613">
            <w:pPr>
              <w:jc w:val="center"/>
              <w:rPr>
                <w:color w:val="auto"/>
                <w:sz w:val="18"/>
                <w:szCs w:val="18"/>
              </w:rPr>
            </w:pPr>
            <w:r>
              <w:rPr>
                <w:rFonts w:hint="eastAsia"/>
                <w:color w:val="auto"/>
                <w:sz w:val="18"/>
                <w:szCs w:val="18"/>
              </w:rPr>
              <w:t>2</w:t>
            </w:r>
          </w:p>
        </w:tc>
        <w:tc>
          <w:tcPr>
            <w:tcW w:w="709" w:type="dxa"/>
            <w:tcBorders>
              <w:tl2br w:val="nil"/>
              <w:tr2bl w:val="nil"/>
            </w:tcBorders>
            <w:vAlign w:val="top"/>
          </w:tcPr>
          <w:p w14:paraId="5A5A79AC">
            <w:pPr>
              <w:jc w:val="center"/>
              <w:rPr>
                <w:color w:val="auto"/>
                <w:sz w:val="18"/>
                <w:szCs w:val="18"/>
              </w:rPr>
            </w:pPr>
            <w:r>
              <w:rPr>
                <w:rFonts w:hint="eastAsia"/>
                <w:color w:val="auto"/>
                <w:sz w:val="18"/>
                <w:szCs w:val="18"/>
              </w:rPr>
              <w:t>1</w:t>
            </w:r>
          </w:p>
        </w:tc>
        <w:tc>
          <w:tcPr>
            <w:tcW w:w="1146" w:type="dxa"/>
            <w:vMerge w:val="continue"/>
            <w:tcBorders>
              <w:tl2br w:val="nil"/>
              <w:tr2bl w:val="nil"/>
            </w:tcBorders>
            <w:vAlign w:val="center"/>
          </w:tcPr>
          <w:p w14:paraId="5B854A25">
            <w:pPr>
              <w:adjustRightInd w:val="0"/>
              <w:snapToGrid w:val="0"/>
              <w:jc w:val="center"/>
              <w:rPr>
                <w:color w:val="auto"/>
                <w:sz w:val="18"/>
                <w:szCs w:val="18"/>
              </w:rPr>
            </w:pPr>
          </w:p>
        </w:tc>
      </w:tr>
      <w:tr w14:paraId="6A29A5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0BE49280">
            <w:pPr>
              <w:rPr>
                <w:b/>
                <w:color w:val="auto"/>
                <w:sz w:val="18"/>
                <w:szCs w:val="18"/>
              </w:rPr>
            </w:pPr>
          </w:p>
        </w:tc>
        <w:tc>
          <w:tcPr>
            <w:tcW w:w="1413" w:type="dxa"/>
            <w:vMerge w:val="continue"/>
            <w:tcBorders>
              <w:tl2br w:val="nil"/>
              <w:tr2bl w:val="nil"/>
            </w:tcBorders>
            <w:vAlign w:val="center"/>
          </w:tcPr>
          <w:p w14:paraId="56740DB3">
            <w:pPr>
              <w:adjustRightInd w:val="0"/>
              <w:snapToGrid w:val="0"/>
              <w:jc w:val="center"/>
              <w:rPr>
                <w:b/>
                <w:color w:val="auto"/>
                <w:sz w:val="18"/>
                <w:szCs w:val="18"/>
              </w:rPr>
            </w:pPr>
          </w:p>
        </w:tc>
        <w:tc>
          <w:tcPr>
            <w:tcW w:w="3912" w:type="dxa"/>
            <w:gridSpan w:val="2"/>
            <w:tcBorders>
              <w:tl2br w:val="nil"/>
              <w:tr2bl w:val="nil"/>
            </w:tcBorders>
            <w:vAlign w:val="center"/>
          </w:tcPr>
          <w:p w14:paraId="29AD3859">
            <w:pPr>
              <w:adjustRightInd w:val="0"/>
              <w:snapToGrid w:val="0"/>
              <w:rPr>
                <w:color w:val="auto"/>
                <w:sz w:val="18"/>
                <w:szCs w:val="18"/>
              </w:rPr>
            </w:pPr>
            <w:r>
              <w:rPr>
                <w:rFonts w:hint="eastAsia"/>
                <w:color w:val="auto"/>
                <w:sz w:val="18"/>
                <w:szCs w:val="18"/>
                <w:highlight w:val="yellow"/>
              </w:rPr>
              <w:t>企业价值评估</w:t>
            </w:r>
          </w:p>
        </w:tc>
        <w:tc>
          <w:tcPr>
            <w:tcW w:w="1081" w:type="dxa"/>
            <w:tcBorders>
              <w:tl2br w:val="nil"/>
              <w:tr2bl w:val="nil"/>
            </w:tcBorders>
            <w:vAlign w:val="top"/>
          </w:tcPr>
          <w:p w14:paraId="6606ABFE">
            <w:pPr>
              <w:jc w:val="center"/>
              <w:rPr>
                <w:rFonts w:hint="default"/>
                <w:i/>
                <w:color w:val="auto"/>
                <w:sz w:val="18"/>
                <w:szCs w:val="18"/>
                <w:lang w:val="en-US"/>
              </w:rPr>
            </w:pPr>
            <w:r>
              <w:rPr>
                <w:rFonts w:hint="eastAsia"/>
                <w:color w:val="auto"/>
                <w:sz w:val="18"/>
                <w:szCs w:val="18"/>
                <w:highlight w:val="yellow"/>
              </w:rPr>
              <w:t>ZS</w:t>
            </w:r>
            <w:r>
              <w:rPr>
                <w:color w:val="auto"/>
                <w:sz w:val="18"/>
                <w:szCs w:val="18"/>
                <w:highlight w:val="yellow"/>
              </w:rPr>
              <w:t>04112</w:t>
            </w:r>
            <w:r>
              <w:rPr>
                <w:rFonts w:hint="eastAsia"/>
                <w:color w:val="auto"/>
                <w:sz w:val="18"/>
                <w:szCs w:val="18"/>
                <w:highlight w:val="yellow"/>
                <w:lang w:val="en-US" w:eastAsia="zh-CN"/>
              </w:rPr>
              <w:t>05</w:t>
            </w:r>
          </w:p>
        </w:tc>
        <w:tc>
          <w:tcPr>
            <w:tcW w:w="709" w:type="dxa"/>
            <w:tcBorders>
              <w:tl2br w:val="nil"/>
              <w:tr2bl w:val="nil"/>
            </w:tcBorders>
            <w:vAlign w:val="top"/>
          </w:tcPr>
          <w:p w14:paraId="2CF4D1EA">
            <w:pPr>
              <w:jc w:val="center"/>
              <w:rPr>
                <w:color w:val="auto"/>
                <w:sz w:val="18"/>
                <w:szCs w:val="18"/>
              </w:rPr>
            </w:pPr>
            <w:r>
              <w:rPr>
                <w:rFonts w:hint="eastAsia"/>
                <w:color w:val="auto"/>
                <w:sz w:val="18"/>
                <w:szCs w:val="18"/>
              </w:rPr>
              <w:t>2</w:t>
            </w:r>
          </w:p>
        </w:tc>
        <w:tc>
          <w:tcPr>
            <w:tcW w:w="709" w:type="dxa"/>
            <w:tcBorders>
              <w:tl2br w:val="nil"/>
              <w:tr2bl w:val="nil"/>
            </w:tcBorders>
            <w:vAlign w:val="top"/>
          </w:tcPr>
          <w:p w14:paraId="1C7EABD2">
            <w:pPr>
              <w:jc w:val="center"/>
              <w:rPr>
                <w:rFonts w:hint="eastAsia" w:eastAsia="宋体"/>
                <w:color w:val="auto"/>
                <w:sz w:val="18"/>
                <w:szCs w:val="18"/>
                <w:lang w:eastAsia="zh-CN"/>
              </w:rPr>
            </w:pPr>
            <w:r>
              <w:rPr>
                <w:rFonts w:hint="eastAsia"/>
                <w:color w:val="auto"/>
                <w:sz w:val="18"/>
                <w:szCs w:val="18"/>
                <w:lang w:val="en-US" w:eastAsia="zh-CN"/>
              </w:rPr>
              <w:t>2</w:t>
            </w:r>
          </w:p>
        </w:tc>
        <w:tc>
          <w:tcPr>
            <w:tcW w:w="1146" w:type="dxa"/>
            <w:vMerge w:val="continue"/>
            <w:tcBorders>
              <w:tl2br w:val="nil"/>
              <w:tr2bl w:val="nil"/>
            </w:tcBorders>
            <w:vAlign w:val="center"/>
          </w:tcPr>
          <w:p w14:paraId="79A0CB6E">
            <w:pPr>
              <w:adjustRightInd w:val="0"/>
              <w:snapToGrid w:val="0"/>
              <w:jc w:val="center"/>
              <w:rPr>
                <w:color w:val="auto"/>
                <w:sz w:val="18"/>
                <w:szCs w:val="18"/>
              </w:rPr>
            </w:pPr>
          </w:p>
        </w:tc>
      </w:tr>
      <w:tr w14:paraId="4B525C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42B9E5AE">
            <w:pPr>
              <w:rPr>
                <w:b/>
                <w:color w:val="auto"/>
                <w:sz w:val="18"/>
                <w:szCs w:val="18"/>
              </w:rPr>
            </w:pPr>
          </w:p>
        </w:tc>
        <w:tc>
          <w:tcPr>
            <w:tcW w:w="1413" w:type="dxa"/>
            <w:vMerge w:val="continue"/>
            <w:tcBorders>
              <w:tl2br w:val="nil"/>
              <w:tr2bl w:val="nil"/>
            </w:tcBorders>
            <w:vAlign w:val="center"/>
          </w:tcPr>
          <w:p w14:paraId="7CE55874">
            <w:pPr>
              <w:adjustRightInd w:val="0"/>
              <w:snapToGrid w:val="0"/>
              <w:jc w:val="center"/>
              <w:rPr>
                <w:b/>
                <w:color w:val="auto"/>
                <w:sz w:val="18"/>
                <w:szCs w:val="18"/>
              </w:rPr>
            </w:pPr>
          </w:p>
        </w:tc>
        <w:tc>
          <w:tcPr>
            <w:tcW w:w="3912" w:type="dxa"/>
            <w:gridSpan w:val="2"/>
            <w:tcBorders>
              <w:tl2br w:val="nil"/>
              <w:tr2bl w:val="nil"/>
            </w:tcBorders>
            <w:vAlign w:val="center"/>
          </w:tcPr>
          <w:p w14:paraId="524EAD38">
            <w:pPr>
              <w:adjustRightInd w:val="0"/>
              <w:snapToGrid w:val="0"/>
              <w:rPr>
                <w:color w:val="auto"/>
                <w:sz w:val="18"/>
                <w:szCs w:val="18"/>
              </w:rPr>
            </w:pPr>
            <w:r>
              <w:rPr>
                <w:rFonts w:hint="eastAsia"/>
                <w:color w:val="auto"/>
                <w:sz w:val="18"/>
                <w:szCs w:val="18"/>
              </w:rPr>
              <w:t>数量分析方法</w:t>
            </w:r>
          </w:p>
        </w:tc>
        <w:tc>
          <w:tcPr>
            <w:tcW w:w="1081" w:type="dxa"/>
            <w:tcBorders>
              <w:tl2br w:val="nil"/>
              <w:tr2bl w:val="nil"/>
            </w:tcBorders>
            <w:vAlign w:val="top"/>
          </w:tcPr>
          <w:p w14:paraId="2C61F0E1">
            <w:pPr>
              <w:jc w:val="center"/>
              <w:rPr>
                <w:rFonts w:hint="default" w:eastAsia="宋体"/>
                <w:i/>
                <w:color w:val="auto"/>
                <w:sz w:val="18"/>
                <w:szCs w:val="18"/>
                <w:lang w:val="en-US" w:eastAsia="zh-CN"/>
              </w:rPr>
            </w:pPr>
            <w:r>
              <w:rPr>
                <w:rFonts w:hint="eastAsia"/>
                <w:color w:val="auto"/>
                <w:sz w:val="18"/>
                <w:szCs w:val="18"/>
              </w:rPr>
              <w:t>Z</w:t>
            </w:r>
            <w:r>
              <w:rPr>
                <w:color w:val="auto"/>
                <w:sz w:val="18"/>
                <w:szCs w:val="18"/>
              </w:rPr>
              <w:t>S04161</w:t>
            </w:r>
            <w:r>
              <w:rPr>
                <w:rFonts w:hint="eastAsia"/>
                <w:color w:val="auto"/>
                <w:sz w:val="18"/>
                <w:szCs w:val="18"/>
                <w:lang w:val="en-US" w:eastAsia="zh-CN"/>
              </w:rPr>
              <w:t>09</w:t>
            </w:r>
          </w:p>
        </w:tc>
        <w:tc>
          <w:tcPr>
            <w:tcW w:w="709" w:type="dxa"/>
            <w:tcBorders>
              <w:tl2br w:val="nil"/>
              <w:tr2bl w:val="nil"/>
            </w:tcBorders>
            <w:vAlign w:val="top"/>
          </w:tcPr>
          <w:p w14:paraId="2DD09A73">
            <w:pPr>
              <w:jc w:val="center"/>
              <w:rPr>
                <w:color w:val="auto"/>
                <w:sz w:val="18"/>
                <w:szCs w:val="18"/>
              </w:rPr>
            </w:pPr>
            <w:r>
              <w:rPr>
                <w:rFonts w:hint="eastAsia"/>
                <w:color w:val="auto"/>
                <w:sz w:val="18"/>
                <w:szCs w:val="18"/>
              </w:rPr>
              <w:t>2</w:t>
            </w:r>
          </w:p>
        </w:tc>
        <w:tc>
          <w:tcPr>
            <w:tcW w:w="709" w:type="dxa"/>
            <w:tcBorders>
              <w:tl2br w:val="nil"/>
              <w:tr2bl w:val="nil"/>
            </w:tcBorders>
            <w:vAlign w:val="top"/>
          </w:tcPr>
          <w:p w14:paraId="06EE5EDC">
            <w:pPr>
              <w:jc w:val="center"/>
              <w:rPr>
                <w:rFonts w:hint="eastAsia" w:eastAsia="宋体"/>
                <w:color w:val="auto"/>
                <w:sz w:val="18"/>
                <w:szCs w:val="18"/>
                <w:lang w:eastAsia="zh-CN"/>
              </w:rPr>
            </w:pPr>
            <w:r>
              <w:rPr>
                <w:rFonts w:hint="eastAsia"/>
                <w:color w:val="auto"/>
                <w:sz w:val="18"/>
                <w:szCs w:val="18"/>
                <w:lang w:val="en-US" w:eastAsia="zh-CN"/>
              </w:rPr>
              <w:t>2</w:t>
            </w:r>
          </w:p>
        </w:tc>
        <w:tc>
          <w:tcPr>
            <w:tcW w:w="1146" w:type="dxa"/>
            <w:vMerge w:val="continue"/>
            <w:tcBorders>
              <w:tl2br w:val="nil"/>
              <w:tr2bl w:val="nil"/>
            </w:tcBorders>
            <w:vAlign w:val="center"/>
          </w:tcPr>
          <w:p w14:paraId="29AB715D">
            <w:pPr>
              <w:adjustRightInd w:val="0"/>
              <w:snapToGrid w:val="0"/>
              <w:jc w:val="center"/>
              <w:rPr>
                <w:color w:val="auto"/>
                <w:sz w:val="18"/>
                <w:szCs w:val="18"/>
              </w:rPr>
            </w:pPr>
          </w:p>
        </w:tc>
      </w:tr>
      <w:tr w14:paraId="120611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jc w:val="center"/>
        </w:trPr>
        <w:tc>
          <w:tcPr>
            <w:tcW w:w="571" w:type="dxa"/>
            <w:vMerge w:val="restart"/>
            <w:tcBorders>
              <w:tl2br w:val="nil"/>
              <w:tr2bl w:val="nil"/>
            </w:tcBorders>
          </w:tcPr>
          <w:p w14:paraId="3D86428A">
            <w:pPr>
              <w:rPr>
                <w:b/>
                <w:color w:val="auto"/>
                <w:sz w:val="18"/>
                <w:szCs w:val="18"/>
              </w:rPr>
            </w:pPr>
          </w:p>
        </w:tc>
        <w:tc>
          <w:tcPr>
            <w:tcW w:w="1413" w:type="dxa"/>
            <w:vMerge w:val="restart"/>
            <w:tcBorders>
              <w:tl2br w:val="nil"/>
              <w:tr2bl w:val="nil"/>
            </w:tcBorders>
            <w:vAlign w:val="center"/>
          </w:tcPr>
          <w:p w14:paraId="5D053E2E">
            <w:pPr>
              <w:adjustRightInd w:val="0"/>
              <w:snapToGrid w:val="0"/>
              <w:jc w:val="center"/>
              <w:rPr>
                <w:rFonts w:hint="default" w:eastAsia="宋体"/>
                <w:b/>
                <w:color w:val="auto"/>
                <w:sz w:val="18"/>
                <w:szCs w:val="18"/>
                <w:lang w:val="en-US" w:eastAsia="zh-CN"/>
              </w:rPr>
            </w:pPr>
            <w:r>
              <w:rPr>
                <w:rFonts w:hint="eastAsia"/>
                <w:b/>
                <w:color w:val="auto"/>
                <w:sz w:val="18"/>
                <w:szCs w:val="18"/>
                <w:lang w:val="en-US" w:eastAsia="zh-CN"/>
              </w:rPr>
              <w:t>大数据审计方向</w:t>
            </w:r>
          </w:p>
        </w:tc>
        <w:tc>
          <w:tcPr>
            <w:tcW w:w="3912" w:type="dxa"/>
            <w:gridSpan w:val="2"/>
            <w:tcBorders>
              <w:tl2br w:val="nil"/>
              <w:tr2bl w:val="nil"/>
            </w:tcBorders>
            <w:shd w:val="clear" w:color="auto" w:fill="auto"/>
            <w:vAlign w:val="center"/>
          </w:tcPr>
          <w:p w14:paraId="0EF3E8C5">
            <w:pPr>
              <w:rPr>
                <w:rFonts w:hint="eastAsia" w:ascii="Times New Roman" w:hAnsi="Times New Roman" w:eastAsia="宋体" w:cs="Times New Roman"/>
                <w:color w:val="auto"/>
                <w:kern w:val="2"/>
                <w:sz w:val="18"/>
                <w:szCs w:val="18"/>
                <w:lang w:val="en-US" w:eastAsia="zh-CN" w:bidi="ar-SA"/>
              </w:rPr>
            </w:pPr>
            <w:r>
              <w:rPr>
                <w:rFonts w:hint="eastAsia" w:ascii="Times New Roman" w:hAnsi="Times New Roman" w:cs="Times New Roman"/>
                <w:color w:val="auto"/>
                <w:sz w:val="18"/>
                <w:szCs w:val="18"/>
              </w:rPr>
              <w:t>大数据与财务决策</w:t>
            </w:r>
          </w:p>
        </w:tc>
        <w:tc>
          <w:tcPr>
            <w:tcW w:w="1081" w:type="dxa"/>
            <w:tcBorders>
              <w:tl2br w:val="nil"/>
              <w:tr2bl w:val="nil"/>
            </w:tcBorders>
            <w:shd w:val="clear" w:color="auto" w:fill="auto"/>
            <w:vAlign w:val="center"/>
          </w:tcPr>
          <w:p w14:paraId="7F834DEE">
            <w:pPr>
              <w:jc w:val="center"/>
              <w:rPr>
                <w:rFonts w:hint="eastAsia" w:ascii="Times New Roman" w:hAnsi="Times New Roman" w:eastAsia="宋体" w:cs="Times New Roman"/>
                <w:kern w:val="2"/>
                <w:sz w:val="18"/>
                <w:szCs w:val="18"/>
                <w:lang w:val="en-US" w:eastAsia="zh-CN" w:bidi="ar-SA"/>
              </w:rPr>
            </w:pPr>
            <w:r>
              <w:rPr>
                <w:rFonts w:hint="eastAsia"/>
                <w:color w:val="auto"/>
                <w:sz w:val="18"/>
                <w:szCs w:val="18"/>
              </w:rPr>
              <w:t>ZS</w:t>
            </w:r>
            <w:r>
              <w:rPr>
                <w:color w:val="auto"/>
                <w:sz w:val="18"/>
                <w:szCs w:val="18"/>
              </w:rPr>
              <w:t>0411</w:t>
            </w:r>
            <w:r>
              <w:rPr>
                <w:rFonts w:hint="eastAsia"/>
                <w:color w:val="auto"/>
                <w:sz w:val="18"/>
                <w:szCs w:val="18"/>
                <w:lang w:val="en-US" w:eastAsia="zh-CN"/>
              </w:rPr>
              <w:t>10</w:t>
            </w:r>
            <w:r>
              <w:rPr>
                <w:color w:val="auto"/>
                <w:sz w:val="18"/>
                <w:szCs w:val="18"/>
              </w:rPr>
              <w:t>1</w:t>
            </w:r>
          </w:p>
        </w:tc>
        <w:tc>
          <w:tcPr>
            <w:tcW w:w="709" w:type="dxa"/>
            <w:tcBorders>
              <w:tl2br w:val="nil"/>
              <w:tr2bl w:val="nil"/>
            </w:tcBorders>
            <w:shd w:val="clear" w:color="auto" w:fill="auto"/>
            <w:vAlign w:val="center"/>
          </w:tcPr>
          <w:p w14:paraId="25C24ED1">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tcBorders>
              <w:tl2br w:val="nil"/>
              <w:tr2bl w:val="nil"/>
            </w:tcBorders>
            <w:shd w:val="clear" w:color="auto" w:fill="auto"/>
            <w:vAlign w:val="center"/>
          </w:tcPr>
          <w:p w14:paraId="66AAB829">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1146" w:type="dxa"/>
            <w:vMerge w:val="restart"/>
            <w:tcBorders>
              <w:tl2br w:val="nil"/>
              <w:tr2bl w:val="nil"/>
            </w:tcBorders>
            <w:vAlign w:val="center"/>
          </w:tcPr>
          <w:p w14:paraId="12A5587E">
            <w:pPr>
              <w:adjustRightInd w:val="0"/>
              <w:snapToGrid w:val="0"/>
              <w:rPr>
                <w:color w:val="auto"/>
                <w:sz w:val="18"/>
                <w:szCs w:val="18"/>
              </w:rPr>
            </w:pPr>
            <w:r>
              <w:rPr>
                <w:rFonts w:hint="eastAsia"/>
                <w:color w:val="auto"/>
                <w:sz w:val="18"/>
                <w:szCs w:val="18"/>
              </w:rPr>
              <w:t>本方向研究生至少选修</w:t>
            </w:r>
          </w:p>
          <w:p w14:paraId="07604499">
            <w:pPr>
              <w:adjustRightInd w:val="0"/>
              <w:snapToGrid w:val="0"/>
              <w:jc w:val="center"/>
              <w:rPr>
                <w:color w:val="auto"/>
                <w:sz w:val="18"/>
                <w:szCs w:val="18"/>
              </w:rPr>
            </w:pPr>
            <w:r>
              <w:rPr>
                <w:rFonts w:hint="eastAsia"/>
                <w:color w:val="auto"/>
                <w:sz w:val="18"/>
                <w:szCs w:val="18"/>
                <w:lang w:val="en-US" w:eastAsia="zh-CN"/>
              </w:rPr>
              <w:t>6</w:t>
            </w:r>
            <w:r>
              <w:rPr>
                <w:rFonts w:hint="eastAsia"/>
                <w:color w:val="auto"/>
                <w:sz w:val="18"/>
                <w:szCs w:val="18"/>
              </w:rPr>
              <w:t>学分</w:t>
            </w:r>
          </w:p>
        </w:tc>
      </w:tr>
      <w:tr w14:paraId="2B9B8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566DBEBF">
            <w:pPr>
              <w:rPr>
                <w:b/>
                <w:color w:val="auto"/>
                <w:sz w:val="18"/>
                <w:szCs w:val="18"/>
              </w:rPr>
            </w:pPr>
          </w:p>
        </w:tc>
        <w:tc>
          <w:tcPr>
            <w:tcW w:w="1413" w:type="dxa"/>
            <w:vMerge w:val="continue"/>
            <w:tcBorders>
              <w:tl2br w:val="nil"/>
              <w:tr2bl w:val="nil"/>
            </w:tcBorders>
            <w:vAlign w:val="center"/>
          </w:tcPr>
          <w:p w14:paraId="61093999">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766CB031">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基于Python的</w:t>
            </w:r>
            <w:r>
              <w:rPr>
                <w:rFonts w:hint="eastAsia"/>
                <w:color w:val="auto"/>
                <w:sz w:val="18"/>
                <w:szCs w:val="18"/>
              </w:rPr>
              <w:t>财务报表分析</w:t>
            </w:r>
          </w:p>
        </w:tc>
        <w:tc>
          <w:tcPr>
            <w:tcW w:w="1081" w:type="dxa"/>
            <w:tcBorders>
              <w:tl2br w:val="nil"/>
              <w:tr2bl w:val="nil"/>
            </w:tcBorders>
            <w:shd w:val="clear" w:color="auto" w:fill="auto"/>
            <w:vAlign w:val="center"/>
          </w:tcPr>
          <w:p w14:paraId="76083716">
            <w:pPr>
              <w:jc w:val="center"/>
              <w:rPr>
                <w:rFonts w:hint="eastAsia" w:ascii="Times New Roman" w:hAnsi="Times New Roman" w:eastAsia="宋体" w:cs="Times New Roman"/>
                <w:kern w:val="2"/>
                <w:sz w:val="18"/>
                <w:szCs w:val="18"/>
                <w:lang w:val="en-US" w:eastAsia="zh-CN" w:bidi="ar-SA"/>
              </w:rPr>
            </w:pPr>
            <w:r>
              <w:rPr>
                <w:rFonts w:hint="eastAsia"/>
                <w:color w:val="auto"/>
                <w:sz w:val="18"/>
                <w:szCs w:val="18"/>
              </w:rPr>
              <w:t>ZS</w:t>
            </w:r>
            <w:r>
              <w:rPr>
                <w:color w:val="auto"/>
                <w:sz w:val="18"/>
                <w:szCs w:val="18"/>
              </w:rPr>
              <w:t>0411</w:t>
            </w:r>
            <w:r>
              <w:rPr>
                <w:rFonts w:hint="eastAsia"/>
                <w:color w:val="auto"/>
                <w:sz w:val="18"/>
                <w:szCs w:val="18"/>
                <w:lang w:val="en-US" w:eastAsia="zh-CN"/>
              </w:rPr>
              <w:t>102</w:t>
            </w:r>
          </w:p>
        </w:tc>
        <w:tc>
          <w:tcPr>
            <w:tcW w:w="709" w:type="dxa"/>
            <w:tcBorders>
              <w:tl2br w:val="nil"/>
              <w:tr2bl w:val="nil"/>
            </w:tcBorders>
            <w:shd w:val="clear" w:color="auto" w:fill="auto"/>
            <w:vAlign w:val="center"/>
          </w:tcPr>
          <w:p w14:paraId="54FF901B">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tcBorders>
              <w:tl2br w:val="nil"/>
              <w:tr2bl w:val="nil"/>
            </w:tcBorders>
            <w:shd w:val="clear" w:color="auto" w:fill="auto"/>
            <w:vAlign w:val="center"/>
          </w:tcPr>
          <w:p w14:paraId="0B4A8157">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1146" w:type="dxa"/>
            <w:vMerge w:val="continue"/>
            <w:tcBorders>
              <w:tl2br w:val="nil"/>
              <w:tr2bl w:val="nil"/>
            </w:tcBorders>
            <w:vAlign w:val="center"/>
          </w:tcPr>
          <w:p w14:paraId="15B26303">
            <w:pPr>
              <w:adjustRightInd w:val="0"/>
              <w:snapToGrid w:val="0"/>
              <w:jc w:val="center"/>
              <w:rPr>
                <w:color w:val="auto"/>
                <w:sz w:val="18"/>
                <w:szCs w:val="18"/>
              </w:rPr>
            </w:pPr>
          </w:p>
        </w:tc>
      </w:tr>
      <w:tr w14:paraId="10A4B2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5DB3A787">
            <w:pPr>
              <w:rPr>
                <w:b/>
                <w:color w:val="auto"/>
                <w:sz w:val="18"/>
                <w:szCs w:val="18"/>
              </w:rPr>
            </w:pPr>
          </w:p>
        </w:tc>
        <w:tc>
          <w:tcPr>
            <w:tcW w:w="1413" w:type="dxa"/>
            <w:vMerge w:val="continue"/>
            <w:tcBorders>
              <w:tl2br w:val="nil"/>
              <w:tr2bl w:val="nil"/>
            </w:tcBorders>
            <w:vAlign w:val="center"/>
          </w:tcPr>
          <w:p w14:paraId="3A8E6911">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5E10B78A">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大数据审计</w:t>
            </w:r>
          </w:p>
        </w:tc>
        <w:tc>
          <w:tcPr>
            <w:tcW w:w="1081" w:type="dxa"/>
            <w:tcBorders>
              <w:tl2br w:val="nil"/>
              <w:tr2bl w:val="nil"/>
            </w:tcBorders>
            <w:shd w:val="clear" w:color="auto" w:fill="auto"/>
            <w:vAlign w:val="top"/>
          </w:tcPr>
          <w:p w14:paraId="53A21EEB">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S04161</w:t>
            </w:r>
            <w:r>
              <w:rPr>
                <w:rFonts w:hint="eastAsia"/>
                <w:color w:val="auto"/>
                <w:sz w:val="18"/>
                <w:szCs w:val="18"/>
                <w:lang w:val="en-US" w:eastAsia="zh-CN"/>
              </w:rPr>
              <w:t>03</w:t>
            </w:r>
          </w:p>
        </w:tc>
        <w:tc>
          <w:tcPr>
            <w:tcW w:w="709" w:type="dxa"/>
            <w:tcBorders>
              <w:tl2br w:val="nil"/>
              <w:tr2bl w:val="nil"/>
            </w:tcBorders>
            <w:shd w:val="clear" w:color="auto" w:fill="auto"/>
            <w:vAlign w:val="top"/>
          </w:tcPr>
          <w:p w14:paraId="7D0DEAED">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4646073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1146" w:type="dxa"/>
            <w:vMerge w:val="continue"/>
            <w:tcBorders>
              <w:tl2br w:val="nil"/>
              <w:tr2bl w:val="nil"/>
            </w:tcBorders>
            <w:vAlign w:val="center"/>
          </w:tcPr>
          <w:p w14:paraId="443192FB">
            <w:pPr>
              <w:adjustRightInd w:val="0"/>
              <w:snapToGrid w:val="0"/>
              <w:jc w:val="center"/>
              <w:rPr>
                <w:color w:val="auto"/>
                <w:sz w:val="18"/>
                <w:szCs w:val="18"/>
              </w:rPr>
            </w:pPr>
          </w:p>
        </w:tc>
      </w:tr>
      <w:tr w14:paraId="302D7E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A2D7B6E">
            <w:pPr>
              <w:rPr>
                <w:b/>
                <w:color w:val="auto"/>
                <w:sz w:val="18"/>
                <w:szCs w:val="18"/>
              </w:rPr>
            </w:pPr>
          </w:p>
        </w:tc>
        <w:tc>
          <w:tcPr>
            <w:tcW w:w="1413" w:type="dxa"/>
            <w:vMerge w:val="continue"/>
            <w:tcBorders>
              <w:tl2br w:val="nil"/>
              <w:tr2bl w:val="nil"/>
            </w:tcBorders>
            <w:vAlign w:val="center"/>
          </w:tcPr>
          <w:p w14:paraId="3A566B06">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76A11625">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区块链与</w:t>
            </w:r>
            <w:r>
              <w:rPr>
                <w:rFonts w:hint="eastAsia"/>
                <w:color w:val="auto"/>
                <w:sz w:val="18"/>
                <w:szCs w:val="18"/>
                <w:lang w:val="en-US" w:eastAsia="zh-CN"/>
              </w:rPr>
              <w:t>智能审计</w:t>
            </w:r>
          </w:p>
        </w:tc>
        <w:tc>
          <w:tcPr>
            <w:tcW w:w="1081" w:type="dxa"/>
            <w:tcBorders>
              <w:tl2br w:val="nil"/>
              <w:tr2bl w:val="nil"/>
            </w:tcBorders>
            <w:shd w:val="clear" w:color="auto" w:fill="auto"/>
            <w:vAlign w:val="top"/>
          </w:tcPr>
          <w:p w14:paraId="5202DEF5">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w:t>
            </w:r>
            <w:r>
              <w:rPr>
                <w:rFonts w:hint="eastAsia"/>
                <w:color w:val="auto"/>
                <w:sz w:val="18"/>
                <w:szCs w:val="18"/>
                <w:lang w:val="en-US" w:eastAsia="zh-CN"/>
              </w:rPr>
              <w:t>226</w:t>
            </w:r>
          </w:p>
        </w:tc>
        <w:tc>
          <w:tcPr>
            <w:tcW w:w="709" w:type="dxa"/>
            <w:tcBorders>
              <w:tl2br w:val="nil"/>
              <w:tr2bl w:val="nil"/>
            </w:tcBorders>
            <w:shd w:val="clear" w:color="auto" w:fill="auto"/>
            <w:vAlign w:val="top"/>
          </w:tcPr>
          <w:p w14:paraId="4B494AF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center"/>
          </w:tcPr>
          <w:p w14:paraId="0C92335F">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1146" w:type="dxa"/>
            <w:vMerge w:val="continue"/>
            <w:tcBorders>
              <w:tl2br w:val="nil"/>
              <w:tr2bl w:val="nil"/>
            </w:tcBorders>
            <w:vAlign w:val="center"/>
          </w:tcPr>
          <w:p w14:paraId="23D34F13">
            <w:pPr>
              <w:adjustRightInd w:val="0"/>
              <w:snapToGrid w:val="0"/>
              <w:jc w:val="center"/>
              <w:rPr>
                <w:color w:val="auto"/>
                <w:sz w:val="18"/>
                <w:szCs w:val="18"/>
              </w:rPr>
            </w:pPr>
          </w:p>
        </w:tc>
      </w:tr>
      <w:tr w14:paraId="045661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2456A077">
            <w:pPr>
              <w:rPr>
                <w:b/>
                <w:color w:val="auto"/>
                <w:sz w:val="18"/>
                <w:szCs w:val="18"/>
              </w:rPr>
            </w:pPr>
          </w:p>
        </w:tc>
        <w:tc>
          <w:tcPr>
            <w:tcW w:w="1413" w:type="dxa"/>
            <w:vMerge w:val="continue"/>
            <w:tcBorders>
              <w:tl2br w:val="nil"/>
              <w:tr2bl w:val="nil"/>
            </w:tcBorders>
            <w:vAlign w:val="center"/>
          </w:tcPr>
          <w:p w14:paraId="7E4114F7">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71BE17C1">
            <w:pP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机器学习与数据挖掘</w:t>
            </w:r>
          </w:p>
        </w:tc>
        <w:tc>
          <w:tcPr>
            <w:tcW w:w="1081" w:type="dxa"/>
            <w:tcBorders>
              <w:tl2br w:val="nil"/>
              <w:tr2bl w:val="nil"/>
            </w:tcBorders>
            <w:shd w:val="clear" w:color="auto" w:fill="auto"/>
            <w:vAlign w:val="top"/>
          </w:tcPr>
          <w:p w14:paraId="65C25E59">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w:t>
            </w:r>
            <w:r>
              <w:rPr>
                <w:rFonts w:hint="eastAsia"/>
                <w:color w:val="auto"/>
                <w:sz w:val="18"/>
                <w:szCs w:val="18"/>
                <w:lang w:val="en-US" w:eastAsia="zh-CN"/>
              </w:rPr>
              <w:t>227</w:t>
            </w:r>
          </w:p>
        </w:tc>
        <w:tc>
          <w:tcPr>
            <w:tcW w:w="709" w:type="dxa"/>
            <w:tcBorders>
              <w:tl2br w:val="nil"/>
              <w:tr2bl w:val="nil"/>
            </w:tcBorders>
            <w:shd w:val="clear" w:color="auto" w:fill="auto"/>
            <w:vAlign w:val="top"/>
          </w:tcPr>
          <w:p w14:paraId="3C8C9BA6">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center"/>
          </w:tcPr>
          <w:p w14:paraId="7283B8E3">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1146" w:type="dxa"/>
            <w:vMerge w:val="continue"/>
            <w:tcBorders>
              <w:tl2br w:val="nil"/>
              <w:tr2bl w:val="nil"/>
            </w:tcBorders>
            <w:vAlign w:val="center"/>
          </w:tcPr>
          <w:p w14:paraId="4D5D6144">
            <w:pPr>
              <w:adjustRightInd w:val="0"/>
              <w:snapToGrid w:val="0"/>
              <w:jc w:val="center"/>
              <w:rPr>
                <w:color w:val="auto"/>
                <w:sz w:val="18"/>
                <w:szCs w:val="18"/>
              </w:rPr>
            </w:pPr>
          </w:p>
        </w:tc>
      </w:tr>
      <w:tr w14:paraId="6EA9CB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04C68FCC">
            <w:pPr>
              <w:rPr>
                <w:b/>
                <w:color w:val="auto"/>
                <w:sz w:val="18"/>
                <w:szCs w:val="18"/>
              </w:rPr>
            </w:pPr>
          </w:p>
        </w:tc>
        <w:tc>
          <w:tcPr>
            <w:tcW w:w="1413" w:type="dxa"/>
            <w:vMerge w:val="continue"/>
            <w:tcBorders>
              <w:tl2br w:val="nil"/>
              <w:tr2bl w:val="nil"/>
            </w:tcBorders>
            <w:vAlign w:val="center"/>
          </w:tcPr>
          <w:p w14:paraId="72D990A1">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534493BC">
            <w:pP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数据可视化与审计报告</w:t>
            </w:r>
          </w:p>
        </w:tc>
        <w:tc>
          <w:tcPr>
            <w:tcW w:w="1081" w:type="dxa"/>
            <w:tcBorders>
              <w:tl2br w:val="nil"/>
              <w:tr2bl w:val="nil"/>
            </w:tcBorders>
            <w:shd w:val="clear" w:color="auto" w:fill="auto"/>
            <w:vAlign w:val="top"/>
          </w:tcPr>
          <w:p w14:paraId="607FB81D">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w:t>
            </w:r>
            <w:r>
              <w:rPr>
                <w:rFonts w:hint="eastAsia"/>
                <w:color w:val="auto"/>
                <w:sz w:val="18"/>
                <w:szCs w:val="18"/>
                <w:lang w:val="en-US" w:eastAsia="zh-CN"/>
              </w:rPr>
              <w:t>228</w:t>
            </w:r>
          </w:p>
        </w:tc>
        <w:tc>
          <w:tcPr>
            <w:tcW w:w="709" w:type="dxa"/>
            <w:tcBorders>
              <w:tl2br w:val="nil"/>
              <w:tr2bl w:val="nil"/>
            </w:tcBorders>
            <w:shd w:val="clear" w:color="auto" w:fill="auto"/>
            <w:vAlign w:val="top"/>
          </w:tcPr>
          <w:p w14:paraId="06D5EB8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center"/>
          </w:tcPr>
          <w:p w14:paraId="2ABAC65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1146" w:type="dxa"/>
            <w:vMerge w:val="continue"/>
            <w:tcBorders>
              <w:tl2br w:val="nil"/>
              <w:tr2bl w:val="nil"/>
            </w:tcBorders>
            <w:vAlign w:val="center"/>
          </w:tcPr>
          <w:p w14:paraId="64ED8207">
            <w:pPr>
              <w:adjustRightInd w:val="0"/>
              <w:snapToGrid w:val="0"/>
              <w:jc w:val="center"/>
              <w:rPr>
                <w:color w:val="auto"/>
                <w:sz w:val="18"/>
                <w:szCs w:val="18"/>
              </w:rPr>
            </w:pPr>
          </w:p>
        </w:tc>
      </w:tr>
      <w:tr w14:paraId="1CB7B8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430196C6">
            <w:pPr>
              <w:rPr>
                <w:b/>
                <w:color w:val="auto"/>
                <w:sz w:val="18"/>
                <w:szCs w:val="18"/>
              </w:rPr>
            </w:pPr>
          </w:p>
        </w:tc>
        <w:tc>
          <w:tcPr>
            <w:tcW w:w="1413" w:type="dxa"/>
            <w:vMerge w:val="continue"/>
            <w:tcBorders>
              <w:tl2br w:val="nil"/>
              <w:tr2bl w:val="nil"/>
            </w:tcBorders>
            <w:vAlign w:val="center"/>
          </w:tcPr>
          <w:p w14:paraId="4CD38D42">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78FAEBEF">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机器学习与智能</w:t>
            </w:r>
            <w:r>
              <w:rPr>
                <w:rFonts w:hint="eastAsia"/>
                <w:color w:val="auto"/>
                <w:sz w:val="18"/>
                <w:szCs w:val="18"/>
                <w:lang w:val="en-US" w:eastAsia="zh-CN"/>
              </w:rPr>
              <w:t>审计</w:t>
            </w:r>
          </w:p>
        </w:tc>
        <w:tc>
          <w:tcPr>
            <w:tcW w:w="1081" w:type="dxa"/>
            <w:tcBorders>
              <w:tl2br w:val="nil"/>
              <w:tr2bl w:val="nil"/>
            </w:tcBorders>
            <w:shd w:val="clear" w:color="auto" w:fill="auto"/>
            <w:vAlign w:val="top"/>
          </w:tcPr>
          <w:p w14:paraId="27E74CE9">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w:t>
            </w:r>
            <w:r>
              <w:rPr>
                <w:rFonts w:hint="eastAsia"/>
                <w:color w:val="auto"/>
                <w:sz w:val="18"/>
                <w:szCs w:val="18"/>
                <w:lang w:val="en-US" w:eastAsia="zh-CN"/>
              </w:rPr>
              <w:t>229</w:t>
            </w:r>
          </w:p>
        </w:tc>
        <w:tc>
          <w:tcPr>
            <w:tcW w:w="709" w:type="dxa"/>
            <w:tcBorders>
              <w:tl2br w:val="nil"/>
              <w:tr2bl w:val="nil"/>
            </w:tcBorders>
            <w:shd w:val="clear" w:color="auto" w:fill="auto"/>
            <w:vAlign w:val="top"/>
          </w:tcPr>
          <w:p w14:paraId="0D681BB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2283754B">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1146" w:type="dxa"/>
            <w:vMerge w:val="continue"/>
            <w:tcBorders>
              <w:tl2br w:val="nil"/>
              <w:tr2bl w:val="nil"/>
            </w:tcBorders>
            <w:vAlign w:val="center"/>
          </w:tcPr>
          <w:p w14:paraId="300A8423">
            <w:pPr>
              <w:adjustRightInd w:val="0"/>
              <w:snapToGrid w:val="0"/>
              <w:jc w:val="center"/>
              <w:rPr>
                <w:color w:val="auto"/>
                <w:sz w:val="18"/>
                <w:szCs w:val="18"/>
              </w:rPr>
            </w:pPr>
          </w:p>
        </w:tc>
      </w:tr>
      <w:tr w14:paraId="427BEE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39071842">
            <w:pPr>
              <w:rPr>
                <w:b/>
                <w:color w:val="auto"/>
                <w:sz w:val="18"/>
                <w:szCs w:val="18"/>
              </w:rPr>
            </w:pPr>
          </w:p>
        </w:tc>
        <w:tc>
          <w:tcPr>
            <w:tcW w:w="1413" w:type="dxa"/>
            <w:vMerge w:val="continue"/>
            <w:tcBorders>
              <w:tl2br w:val="nil"/>
              <w:tr2bl w:val="nil"/>
            </w:tcBorders>
            <w:vAlign w:val="center"/>
          </w:tcPr>
          <w:p w14:paraId="024178AD">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6169D376">
            <w:pPr>
              <w:adjustRightInd w:val="0"/>
              <w:snapToGrid w:val="0"/>
              <w:rPr>
                <w:rFonts w:hint="eastAsia" w:ascii="Times New Roman" w:hAnsi="Times New Roman" w:eastAsia="宋体" w:cs="Times New Roman"/>
                <w:color w:val="auto"/>
                <w:kern w:val="2"/>
                <w:sz w:val="18"/>
                <w:szCs w:val="18"/>
                <w:lang w:val="en-US" w:eastAsia="zh-CN" w:bidi="ar-SA"/>
              </w:rPr>
            </w:pPr>
            <w:r>
              <w:rPr>
                <w:color w:val="auto"/>
                <w:sz w:val="18"/>
                <w:szCs w:val="18"/>
              </w:rPr>
              <w:t>内部控制</w:t>
            </w:r>
            <w:r>
              <w:rPr>
                <w:rFonts w:hint="eastAsia"/>
                <w:color w:val="auto"/>
                <w:sz w:val="18"/>
                <w:szCs w:val="18"/>
              </w:rPr>
              <w:t>与</w:t>
            </w:r>
            <w:r>
              <w:rPr>
                <w:color w:val="auto"/>
                <w:sz w:val="18"/>
                <w:szCs w:val="18"/>
              </w:rPr>
              <w:t>风险管理</w:t>
            </w:r>
          </w:p>
        </w:tc>
        <w:tc>
          <w:tcPr>
            <w:tcW w:w="1081" w:type="dxa"/>
            <w:tcBorders>
              <w:tl2br w:val="nil"/>
              <w:tr2bl w:val="nil"/>
            </w:tcBorders>
            <w:shd w:val="clear" w:color="auto" w:fill="auto"/>
            <w:vAlign w:val="top"/>
          </w:tcPr>
          <w:p w14:paraId="1AA38A73">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S041621</w:t>
            </w:r>
            <w:r>
              <w:rPr>
                <w:rFonts w:hint="eastAsia"/>
                <w:color w:val="auto"/>
                <w:sz w:val="18"/>
                <w:szCs w:val="18"/>
                <w:lang w:val="en-US" w:eastAsia="zh-CN"/>
              </w:rPr>
              <w:t>7</w:t>
            </w:r>
          </w:p>
        </w:tc>
        <w:tc>
          <w:tcPr>
            <w:tcW w:w="709" w:type="dxa"/>
            <w:tcBorders>
              <w:tl2br w:val="nil"/>
              <w:tr2bl w:val="nil"/>
            </w:tcBorders>
            <w:shd w:val="clear" w:color="auto" w:fill="auto"/>
            <w:vAlign w:val="top"/>
          </w:tcPr>
          <w:p w14:paraId="78923DA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0BA5042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w:t>
            </w:r>
          </w:p>
        </w:tc>
        <w:tc>
          <w:tcPr>
            <w:tcW w:w="1146" w:type="dxa"/>
            <w:vMerge w:val="continue"/>
            <w:tcBorders>
              <w:tl2br w:val="nil"/>
              <w:tr2bl w:val="nil"/>
            </w:tcBorders>
            <w:vAlign w:val="center"/>
          </w:tcPr>
          <w:p w14:paraId="167570A9">
            <w:pPr>
              <w:adjustRightInd w:val="0"/>
              <w:snapToGrid w:val="0"/>
              <w:jc w:val="center"/>
              <w:rPr>
                <w:color w:val="auto"/>
                <w:sz w:val="18"/>
                <w:szCs w:val="18"/>
              </w:rPr>
            </w:pPr>
          </w:p>
        </w:tc>
      </w:tr>
      <w:tr w14:paraId="04CA46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4B23BF85">
            <w:pPr>
              <w:rPr>
                <w:b/>
                <w:color w:val="auto"/>
                <w:sz w:val="18"/>
                <w:szCs w:val="18"/>
              </w:rPr>
            </w:pPr>
          </w:p>
        </w:tc>
        <w:tc>
          <w:tcPr>
            <w:tcW w:w="1413" w:type="dxa"/>
            <w:vMerge w:val="continue"/>
            <w:tcBorders>
              <w:tl2br w:val="nil"/>
              <w:tr2bl w:val="nil"/>
            </w:tcBorders>
            <w:vAlign w:val="center"/>
          </w:tcPr>
          <w:p w14:paraId="3714071B">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6EA04F9E">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企业价值评估</w:t>
            </w:r>
          </w:p>
        </w:tc>
        <w:tc>
          <w:tcPr>
            <w:tcW w:w="1081" w:type="dxa"/>
            <w:tcBorders>
              <w:tl2br w:val="nil"/>
              <w:tr2bl w:val="nil"/>
            </w:tcBorders>
            <w:shd w:val="clear" w:color="auto" w:fill="auto"/>
            <w:vAlign w:val="top"/>
          </w:tcPr>
          <w:p w14:paraId="299B32CE">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ZS</w:t>
            </w:r>
            <w:r>
              <w:rPr>
                <w:color w:val="auto"/>
                <w:sz w:val="18"/>
                <w:szCs w:val="18"/>
              </w:rPr>
              <w:t>04112</w:t>
            </w:r>
            <w:r>
              <w:rPr>
                <w:rFonts w:hint="eastAsia"/>
                <w:color w:val="auto"/>
                <w:sz w:val="18"/>
                <w:szCs w:val="18"/>
                <w:lang w:val="en-US" w:eastAsia="zh-CN"/>
              </w:rPr>
              <w:t>05</w:t>
            </w:r>
          </w:p>
        </w:tc>
        <w:tc>
          <w:tcPr>
            <w:tcW w:w="709" w:type="dxa"/>
            <w:tcBorders>
              <w:tl2br w:val="nil"/>
              <w:tr2bl w:val="nil"/>
            </w:tcBorders>
            <w:shd w:val="clear" w:color="auto" w:fill="auto"/>
            <w:vAlign w:val="top"/>
          </w:tcPr>
          <w:p w14:paraId="608BAC8F">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201F6145">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1146" w:type="dxa"/>
            <w:vMerge w:val="continue"/>
            <w:tcBorders>
              <w:tl2br w:val="nil"/>
              <w:tr2bl w:val="nil"/>
            </w:tcBorders>
            <w:vAlign w:val="center"/>
          </w:tcPr>
          <w:p w14:paraId="6ED77A63">
            <w:pPr>
              <w:adjustRightInd w:val="0"/>
              <w:snapToGrid w:val="0"/>
              <w:jc w:val="center"/>
              <w:rPr>
                <w:color w:val="auto"/>
                <w:sz w:val="18"/>
                <w:szCs w:val="18"/>
              </w:rPr>
            </w:pPr>
          </w:p>
        </w:tc>
      </w:tr>
      <w:tr w14:paraId="41CD91A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6F3808B">
            <w:pPr>
              <w:rPr>
                <w:b/>
                <w:color w:val="auto"/>
                <w:sz w:val="18"/>
                <w:szCs w:val="18"/>
              </w:rPr>
            </w:pPr>
          </w:p>
        </w:tc>
        <w:tc>
          <w:tcPr>
            <w:tcW w:w="1413" w:type="dxa"/>
            <w:vMerge w:val="continue"/>
            <w:tcBorders>
              <w:tl2br w:val="nil"/>
              <w:tr2bl w:val="nil"/>
            </w:tcBorders>
            <w:vAlign w:val="center"/>
          </w:tcPr>
          <w:p w14:paraId="5EC473AB">
            <w:pPr>
              <w:adjustRightInd w:val="0"/>
              <w:snapToGrid w:val="0"/>
              <w:jc w:val="center"/>
              <w:rPr>
                <w:b/>
                <w:color w:val="auto"/>
                <w:sz w:val="18"/>
                <w:szCs w:val="18"/>
              </w:rPr>
            </w:pPr>
          </w:p>
        </w:tc>
        <w:tc>
          <w:tcPr>
            <w:tcW w:w="3912" w:type="dxa"/>
            <w:gridSpan w:val="2"/>
            <w:tcBorders>
              <w:tl2br w:val="nil"/>
              <w:tr2bl w:val="nil"/>
            </w:tcBorders>
            <w:shd w:val="clear" w:color="auto" w:fill="auto"/>
            <w:vAlign w:val="center"/>
          </w:tcPr>
          <w:p w14:paraId="2D5905C5">
            <w:pPr>
              <w:adjustRightInd w:val="0"/>
              <w:snapToGrid w:val="0"/>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数量分析方法</w:t>
            </w:r>
          </w:p>
        </w:tc>
        <w:tc>
          <w:tcPr>
            <w:tcW w:w="1081" w:type="dxa"/>
            <w:tcBorders>
              <w:tl2br w:val="nil"/>
              <w:tr2bl w:val="nil"/>
            </w:tcBorders>
            <w:shd w:val="clear" w:color="auto" w:fill="auto"/>
            <w:vAlign w:val="top"/>
          </w:tcPr>
          <w:p w14:paraId="67DD98B2">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w:t>
            </w:r>
            <w:r>
              <w:rPr>
                <w:color w:val="auto"/>
                <w:sz w:val="18"/>
                <w:szCs w:val="18"/>
              </w:rPr>
              <w:t>S04161</w:t>
            </w:r>
            <w:r>
              <w:rPr>
                <w:rFonts w:hint="eastAsia"/>
                <w:color w:val="auto"/>
                <w:sz w:val="18"/>
                <w:szCs w:val="18"/>
                <w:lang w:val="en-US" w:eastAsia="zh-CN"/>
              </w:rPr>
              <w:t>09</w:t>
            </w:r>
          </w:p>
        </w:tc>
        <w:tc>
          <w:tcPr>
            <w:tcW w:w="709" w:type="dxa"/>
            <w:tcBorders>
              <w:tl2br w:val="nil"/>
              <w:tr2bl w:val="nil"/>
            </w:tcBorders>
            <w:shd w:val="clear" w:color="auto" w:fill="auto"/>
            <w:vAlign w:val="top"/>
          </w:tcPr>
          <w:p w14:paraId="5457F80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tcBorders>
              <w:tl2br w:val="nil"/>
              <w:tr2bl w:val="nil"/>
            </w:tcBorders>
            <w:shd w:val="clear" w:color="auto" w:fill="auto"/>
            <w:vAlign w:val="top"/>
          </w:tcPr>
          <w:p w14:paraId="7BF94BE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1146" w:type="dxa"/>
            <w:vMerge w:val="continue"/>
            <w:tcBorders>
              <w:tl2br w:val="nil"/>
              <w:tr2bl w:val="nil"/>
            </w:tcBorders>
            <w:vAlign w:val="center"/>
          </w:tcPr>
          <w:p w14:paraId="368F0FC4">
            <w:pPr>
              <w:adjustRightInd w:val="0"/>
              <w:snapToGrid w:val="0"/>
              <w:jc w:val="center"/>
              <w:rPr>
                <w:color w:val="auto"/>
                <w:sz w:val="18"/>
                <w:szCs w:val="18"/>
              </w:rPr>
            </w:pPr>
          </w:p>
        </w:tc>
      </w:tr>
      <w:tr w14:paraId="04FBF2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restart"/>
            <w:tcBorders>
              <w:tl2br w:val="nil"/>
              <w:tr2bl w:val="nil"/>
            </w:tcBorders>
          </w:tcPr>
          <w:p w14:paraId="2AB98EF2">
            <w:pPr>
              <w:jc w:val="center"/>
              <w:rPr>
                <w:b/>
                <w:color w:val="auto"/>
                <w:sz w:val="18"/>
                <w:szCs w:val="18"/>
              </w:rPr>
            </w:pPr>
            <w:bookmarkStart w:id="5" w:name="_GoBack" w:colFirst="7" w:colLast="7"/>
            <w:r>
              <w:rPr>
                <w:b/>
                <w:color w:val="auto"/>
                <w:sz w:val="18"/>
                <w:szCs w:val="18"/>
              </w:rPr>
              <w:t>必修环节</w:t>
            </w:r>
          </w:p>
          <w:p w14:paraId="47C6A294">
            <w:pPr>
              <w:jc w:val="center"/>
              <w:rPr>
                <w:b/>
                <w:color w:val="auto"/>
                <w:sz w:val="18"/>
                <w:szCs w:val="18"/>
              </w:rPr>
            </w:pPr>
          </w:p>
        </w:tc>
        <w:tc>
          <w:tcPr>
            <w:tcW w:w="1413" w:type="dxa"/>
            <w:vMerge w:val="restart"/>
            <w:tcBorders>
              <w:tl2br w:val="nil"/>
              <w:tr2bl w:val="nil"/>
            </w:tcBorders>
            <w:vAlign w:val="center"/>
          </w:tcPr>
          <w:p w14:paraId="376D6BAA">
            <w:pPr>
              <w:jc w:val="center"/>
              <w:rPr>
                <w:rFonts w:hint="default" w:eastAsia="宋体"/>
                <w:b/>
                <w:color w:val="auto"/>
                <w:sz w:val="18"/>
                <w:szCs w:val="18"/>
                <w:lang w:val="en-US" w:eastAsia="zh-CN"/>
              </w:rPr>
            </w:pPr>
            <w:r>
              <w:rPr>
                <w:rFonts w:hint="eastAsia"/>
                <w:b/>
                <w:color w:val="auto"/>
                <w:sz w:val="18"/>
                <w:szCs w:val="18"/>
                <w:lang w:val="en-US" w:eastAsia="zh-CN"/>
              </w:rPr>
              <w:t>素质拓展</w:t>
            </w:r>
          </w:p>
        </w:tc>
        <w:tc>
          <w:tcPr>
            <w:tcW w:w="3912" w:type="dxa"/>
            <w:gridSpan w:val="2"/>
            <w:tcBorders>
              <w:tl2br w:val="nil"/>
              <w:tr2bl w:val="nil"/>
            </w:tcBorders>
            <w:shd w:val="clear" w:color="auto" w:fill="auto"/>
            <w:vAlign w:val="center"/>
          </w:tcPr>
          <w:p w14:paraId="1C7C91C3">
            <w:pPr>
              <w:rPr>
                <w:rFonts w:hint="eastAsia" w:ascii="Times New Roman" w:hAnsi="Times New Roman" w:eastAsia="宋体" w:cs="Times New Roman"/>
                <w:color w:val="auto"/>
                <w:kern w:val="2"/>
                <w:sz w:val="18"/>
                <w:szCs w:val="18"/>
                <w:lang w:val="en-US" w:eastAsia="zh-CN" w:bidi="ar-SA"/>
              </w:rPr>
            </w:pPr>
            <w:r>
              <w:rPr>
                <w:color w:val="auto"/>
                <w:sz w:val="18"/>
                <w:szCs w:val="18"/>
              </w:rPr>
              <w:t>入学教育与学术规范</w:t>
            </w:r>
          </w:p>
        </w:tc>
        <w:tc>
          <w:tcPr>
            <w:tcW w:w="1081" w:type="dxa"/>
            <w:tcBorders>
              <w:tl2br w:val="nil"/>
              <w:tr2bl w:val="nil"/>
            </w:tcBorders>
            <w:shd w:val="clear" w:color="auto" w:fill="auto"/>
            <w:vAlign w:val="center"/>
          </w:tcPr>
          <w:p w14:paraId="2E7C02E9">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w:t>
            </w:r>
          </w:p>
        </w:tc>
        <w:tc>
          <w:tcPr>
            <w:tcW w:w="709" w:type="dxa"/>
            <w:tcBorders>
              <w:tl2br w:val="nil"/>
              <w:tr2bl w:val="nil"/>
            </w:tcBorders>
            <w:shd w:val="clear" w:color="auto" w:fill="auto"/>
            <w:vAlign w:val="center"/>
          </w:tcPr>
          <w:p w14:paraId="49DEFDC3">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w:t>
            </w:r>
          </w:p>
        </w:tc>
        <w:tc>
          <w:tcPr>
            <w:tcW w:w="709" w:type="dxa"/>
            <w:tcBorders>
              <w:tl2br w:val="nil"/>
              <w:tr2bl w:val="nil"/>
            </w:tcBorders>
            <w:shd w:val="clear" w:color="auto" w:fill="auto"/>
            <w:vAlign w:val="center"/>
          </w:tcPr>
          <w:p w14:paraId="4ABED09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146" w:type="dxa"/>
            <w:vMerge w:val="restart"/>
            <w:tcBorders>
              <w:tl2br w:val="nil"/>
              <w:tr2bl w:val="nil"/>
            </w:tcBorders>
            <w:vAlign w:val="center"/>
          </w:tcPr>
          <w:p w14:paraId="20414F97">
            <w:pPr>
              <w:adjustRightInd w:val="0"/>
              <w:snapToGrid w:val="0"/>
              <w:jc w:val="center"/>
              <w:rPr>
                <w:color w:val="auto"/>
                <w:sz w:val="18"/>
                <w:szCs w:val="18"/>
              </w:rPr>
            </w:pPr>
          </w:p>
        </w:tc>
      </w:tr>
      <w:bookmarkEnd w:id="5"/>
      <w:tr w14:paraId="246121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546642BC">
            <w:pPr>
              <w:jc w:val="center"/>
              <w:rPr>
                <w:b/>
                <w:color w:val="auto"/>
                <w:sz w:val="18"/>
                <w:szCs w:val="18"/>
              </w:rPr>
            </w:pPr>
          </w:p>
        </w:tc>
        <w:tc>
          <w:tcPr>
            <w:tcW w:w="1413" w:type="dxa"/>
            <w:vMerge w:val="continue"/>
            <w:tcBorders>
              <w:tl2br w:val="nil"/>
              <w:tr2bl w:val="nil"/>
            </w:tcBorders>
            <w:vAlign w:val="center"/>
          </w:tcPr>
          <w:p w14:paraId="47310C04">
            <w:pPr>
              <w:jc w:val="center"/>
              <w:rPr>
                <w:rFonts w:hint="eastAsia"/>
                <w:b/>
                <w:color w:val="auto"/>
                <w:sz w:val="18"/>
                <w:szCs w:val="18"/>
                <w:lang w:val="en-US" w:eastAsia="zh-CN"/>
              </w:rPr>
            </w:pPr>
          </w:p>
        </w:tc>
        <w:tc>
          <w:tcPr>
            <w:tcW w:w="1956" w:type="dxa"/>
            <w:vMerge w:val="restart"/>
            <w:tcBorders>
              <w:tl2br w:val="nil"/>
              <w:tr2bl w:val="nil"/>
            </w:tcBorders>
            <w:shd w:val="clear" w:color="auto" w:fill="auto"/>
            <w:vAlign w:val="center"/>
          </w:tcPr>
          <w:p w14:paraId="769D4B6D">
            <w:pPr>
              <w:rPr>
                <w:color w:val="auto"/>
                <w:sz w:val="18"/>
                <w:szCs w:val="18"/>
              </w:rPr>
            </w:pPr>
            <w:r>
              <w:rPr>
                <w:color w:val="auto"/>
                <w:sz w:val="18"/>
                <w:szCs w:val="18"/>
              </w:rPr>
              <w:t>学术/实践活动</w:t>
            </w:r>
          </w:p>
        </w:tc>
        <w:tc>
          <w:tcPr>
            <w:tcW w:w="1956" w:type="dxa"/>
            <w:tcBorders>
              <w:tl2br w:val="nil"/>
              <w:tr2bl w:val="nil"/>
            </w:tcBorders>
            <w:shd w:val="clear" w:color="auto" w:fill="auto"/>
            <w:vAlign w:val="center"/>
          </w:tcPr>
          <w:p w14:paraId="41BC0421">
            <w:pPr>
              <w:rPr>
                <w:rFonts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highlight w:val="none"/>
              </w:rPr>
              <w:t>实践实务课</w:t>
            </w:r>
          </w:p>
        </w:tc>
        <w:tc>
          <w:tcPr>
            <w:tcW w:w="1081" w:type="dxa"/>
            <w:tcBorders>
              <w:tl2br w:val="nil"/>
              <w:tr2bl w:val="nil"/>
            </w:tcBorders>
            <w:shd w:val="clear" w:color="auto" w:fill="auto"/>
            <w:vAlign w:val="center"/>
          </w:tcPr>
          <w:p w14:paraId="3E348DBA">
            <w:pPr>
              <w:jc w:val="center"/>
              <w:rPr>
                <w:rFonts w:hint="eastAsia"/>
                <w:color w:val="auto"/>
                <w:sz w:val="18"/>
                <w:szCs w:val="18"/>
              </w:rPr>
            </w:pPr>
          </w:p>
        </w:tc>
        <w:tc>
          <w:tcPr>
            <w:tcW w:w="709" w:type="dxa"/>
            <w:tcBorders>
              <w:tl2br w:val="nil"/>
              <w:tr2bl w:val="nil"/>
            </w:tcBorders>
            <w:shd w:val="clear" w:color="auto" w:fill="auto"/>
            <w:vAlign w:val="center"/>
          </w:tcPr>
          <w:p w14:paraId="714BE734">
            <w:pPr>
              <w:jc w:val="center"/>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3</w:t>
            </w:r>
          </w:p>
        </w:tc>
        <w:tc>
          <w:tcPr>
            <w:tcW w:w="709" w:type="dxa"/>
            <w:tcBorders>
              <w:tl2br w:val="nil"/>
              <w:tr2bl w:val="nil"/>
            </w:tcBorders>
            <w:shd w:val="clear" w:color="auto" w:fill="auto"/>
            <w:vAlign w:val="center"/>
          </w:tcPr>
          <w:p w14:paraId="68C648E9">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r>
              <w:rPr>
                <w:sz w:val="18"/>
                <w:szCs w:val="18"/>
              </w:rPr>
              <w:t>-3</w:t>
            </w:r>
          </w:p>
        </w:tc>
        <w:tc>
          <w:tcPr>
            <w:tcW w:w="1146" w:type="dxa"/>
            <w:vMerge w:val="continue"/>
            <w:tcBorders>
              <w:tl2br w:val="nil"/>
              <w:tr2bl w:val="nil"/>
            </w:tcBorders>
            <w:vAlign w:val="center"/>
          </w:tcPr>
          <w:p w14:paraId="388BE3D8">
            <w:pPr>
              <w:adjustRightInd w:val="0"/>
              <w:snapToGrid w:val="0"/>
              <w:jc w:val="center"/>
              <w:rPr>
                <w:color w:val="auto"/>
                <w:sz w:val="18"/>
                <w:szCs w:val="18"/>
              </w:rPr>
            </w:pPr>
          </w:p>
        </w:tc>
      </w:tr>
      <w:tr w14:paraId="543B8C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2AF6A2D">
            <w:pPr>
              <w:jc w:val="center"/>
              <w:rPr>
                <w:b/>
                <w:color w:val="auto"/>
                <w:sz w:val="18"/>
                <w:szCs w:val="18"/>
              </w:rPr>
            </w:pPr>
          </w:p>
        </w:tc>
        <w:tc>
          <w:tcPr>
            <w:tcW w:w="1413" w:type="dxa"/>
            <w:vMerge w:val="continue"/>
            <w:tcBorders>
              <w:tl2br w:val="nil"/>
              <w:tr2bl w:val="nil"/>
            </w:tcBorders>
            <w:vAlign w:val="center"/>
          </w:tcPr>
          <w:p w14:paraId="55CF0590">
            <w:pPr>
              <w:jc w:val="center"/>
              <w:rPr>
                <w:rFonts w:hint="eastAsia"/>
                <w:b/>
                <w:color w:val="auto"/>
                <w:sz w:val="18"/>
                <w:szCs w:val="18"/>
                <w:lang w:val="en-US" w:eastAsia="zh-CN"/>
              </w:rPr>
            </w:pPr>
          </w:p>
        </w:tc>
        <w:tc>
          <w:tcPr>
            <w:tcW w:w="1956" w:type="dxa"/>
            <w:vMerge w:val="continue"/>
            <w:tcBorders>
              <w:tl2br w:val="nil"/>
              <w:tr2bl w:val="nil"/>
            </w:tcBorders>
            <w:shd w:val="clear" w:color="auto" w:fill="auto"/>
            <w:vAlign w:val="center"/>
          </w:tcPr>
          <w:p w14:paraId="454A9C55">
            <w:pPr>
              <w:rPr>
                <w:color w:val="auto"/>
                <w:sz w:val="18"/>
                <w:szCs w:val="18"/>
              </w:rPr>
            </w:pPr>
          </w:p>
        </w:tc>
        <w:tc>
          <w:tcPr>
            <w:tcW w:w="1956" w:type="dxa"/>
            <w:tcBorders>
              <w:tl2br w:val="nil"/>
              <w:tr2bl w:val="nil"/>
            </w:tcBorders>
            <w:shd w:val="clear" w:color="auto" w:fill="auto"/>
            <w:vAlign w:val="center"/>
          </w:tcPr>
          <w:p w14:paraId="4DA13676">
            <w:pPr>
              <w:rPr>
                <w:rFonts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highlight w:val="none"/>
              </w:rPr>
              <w:t>第二课堂</w:t>
            </w:r>
          </w:p>
        </w:tc>
        <w:tc>
          <w:tcPr>
            <w:tcW w:w="1081" w:type="dxa"/>
            <w:tcBorders>
              <w:tl2br w:val="nil"/>
              <w:tr2bl w:val="nil"/>
            </w:tcBorders>
            <w:shd w:val="clear" w:color="auto" w:fill="auto"/>
            <w:vAlign w:val="center"/>
          </w:tcPr>
          <w:p w14:paraId="5BA80768">
            <w:pPr>
              <w:jc w:val="center"/>
              <w:rPr>
                <w:rFonts w:hint="eastAsia"/>
                <w:color w:val="auto"/>
                <w:sz w:val="18"/>
                <w:szCs w:val="18"/>
              </w:rPr>
            </w:pPr>
          </w:p>
        </w:tc>
        <w:tc>
          <w:tcPr>
            <w:tcW w:w="709" w:type="dxa"/>
            <w:tcBorders>
              <w:tl2br w:val="nil"/>
              <w:tr2bl w:val="nil"/>
            </w:tcBorders>
            <w:shd w:val="clear" w:color="auto" w:fill="auto"/>
            <w:vAlign w:val="center"/>
          </w:tcPr>
          <w:p w14:paraId="1A60D18A">
            <w:pPr>
              <w:jc w:val="center"/>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1</w:t>
            </w:r>
          </w:p>
        </w:tc>
        <w:tc>
          <w:tcPr>
            <w:tcW w:w="709" w:type="dxa"/>
            <w:tcBorders>
              <w:tl2br w:val="nil"/>
              <w:tr2bl w:val="nil"/>
            </w:tcBorders>
            <w:shd w:val="clear" w:color="auto" w:fill="auto"/>
            <w:vAlign w:val="center"/>
          </w:tcPr>
          <w:p w14:paraId="461007AB">
            <w:pPr>
              <w:jc w:val="center"/>
              <w:rPr>
                <w:rFonts w:hint="eastAsia"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highlight w:val="none"/>
                <w:lang w:val="en-US" w:eastAsia="zh-CN"/>
              </w:rPr>
              <w:t>1-2</w:t>
            </w:r>
          </w:p>
        </w:tc>
        <w:tc>
          <w:tcPr>
            <w:tcW w:w="1146" w:type="dxa"/>
            <w:vMerge w:val="continue"/>
            <w:tcBorders>
              <w:tl2br w:val="nil"/>
              <w:tr2bl w:val="nil"/>
            </w:tcBorders>
            <w:vAlign w:val="center"/>
          </w:tcPr>
          <w:p w14:paraId="0111ED22">
            <w:pPr>
              <w:adjustRightInd w:val="0"/>
              <w:snapToGrid w:val="0"/>
              <w:jc w:val="center"/>
              <w:rPr>
                <w:color w:val="auto"/>
                <w:sz w:val="18"/>
                <w:szCs w:val="18"/>
              </w:rPr>
            </w:pPr>
          </w:p>
        </w:tc>
      </w:tr>
      <w:tr w14:paraId="5430F7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08DC7679">
            <w:pPr>
              <w:jc w:val="center"/>
              <w:rPr>
                <w:b/>
                <w:color w:val="auto"/>
                <w:sz w:val="18"/>
                <w:szCs w:val="18"/>
              </w:rPr>
            </w:pPr>
          </w:p>
        </w:tc>
        <w:tc>
          <w:tcPr>
            <w:tcW w:w="1413" w:type="dxa"/>
            <w:vMerge w:val="continue"/>
            <w:tcBorders>
              <w:tl2br w:val="nil"/>
              <w:tr2bl w:val="nil"/>
            </w:tcBorders>
            <w:vAlign w:val="center"/>
          </w:tcPr>
          <w:p w14:paraId="56FD416A">
            <w:pPr>
              <w:jc w:val="center"/>
              <w:rPr>
                <w:rFonts w:hint="eastAsia"/>
                <w:b/>
                <w:color w:val="auto"/>
                <w:sz w:val="18"/>
                <w:szCs w:val="18"/>
                <w:lang w:val="en-US" w:eastAsia="zh-CN"/>
              </w:rPr>
            </w:pPr>
          </w:p>
        </w:tc>
        <w:tc>
          <w:tcPr>
            <w:tcW w:w="1956" w:type="dxa"/>
            <w:vMerge w:val="continue"/>
            <w:tcBorders>
              <w:tl2br w:val="nil"/>
              <w:tr2bl w:val="nil"/>
            </w:tcBorders>
            <w:shd w:val="clear" w:color="auto" w:fill="auto"/>
            <w:vAlign w:val="center"/>
          </w:tcPr>
          <w:p w14:paraId="0A5D8F0E">
            <w:pPr>
              <w:rPr>
                <w:color w:val="auto"/>
                <w:sz w:val="18"/>
                <w:szCs w:val="18"/>
              </w:rPr>
            </w:pPr>
          </w:p>
        </w:tc>
        <w:tc>
          <w:tcPr>
            <w:tcW w:w="1956" w:type="dxa"/>
            <w:tcBorders>
              <w:tl2br w:val="nil"/>
              <w:tr2bl w:val="nil"/>
            </w:tcBorders>
            <w:shd w:val="clear" w:color="auto" w:fill="auto"/>
            <w:vAlign w:val="center"/>
          </w:tcPr>
          <w:p w14:paraId="54694655">
            <w:pPr>
              <w:rPr>
                <w:rFonts w:ascii="Times New Roman" w:hAnsi="Times New Roman" w:eastAsia="宋体" w:cs="Times New Roman"/>
                <w:color w:val="auto"/>
                <w:kern w:val="2"/>
                <w:sz w:val="18"/>
                <w:szCs w:val="18"/>
                <w:lang w:val="en-US" w:eastAsia="zh-CN" w:bidi="ar-SA"/>
              </w:rPr>
            </w:pPr>
            <w:r>
              <w:rPr>
                <w:rFonts w:hint="default" w:ascii="Times New Roman" w:hAnsi="Times New Roman" w:eastAsia="宋体" w:cs="Times New Roman"/>
                <w:color w:val="auto"/>
                <w:sz w:val="18"/>
                <w:szCs w:val="18"/>
                <w:highlight w:val="none"/>
              </w:rPr>
              <w:t>学术报告</w:t>
            </w:r>
          </w:p>
        </w:tc>
        <w:tc>
          <w:tcPr>
            <w:tcW w:w="1081" w:type="dxa"/>
            <w:tcBorders>
              <w:tl2br w:val="nil"/>
              <w:tr2bl w:val="nil"/>
            </w:tcBorders>
            <w:shd w:val="clear" w:color="auto" w:fill="auto"/>
            <w:vAlign w:val="center"/>
          </w:tcPr>
          <w:p w14:paraId="4328E06D">
            <w:pPr>
              <w:jc w:val="center"/>
              <w:rPr>
                <w:rFonts w:hint="eastAsia"/>
                <w:color w:val="auto"/>
                <w:sz w:val="18"/>
                <w:szCs w:val="18"/>
              </w:rPr>
            </w:pPr>
          </w:p>
        </w:tc>
        <w:tc>
          <w:tcPr>
            <w:tcW w:w="709" w:type="dxa"/>
            <w:tcBorders>
              <w:tl2br w:val="nil"/>
              <w:tr2bl w:val="nil"/>
            </w:tcBorders>
            <w:shd w:val="clear" w:color="auto" w:fill="auto"/>
            <w:vAlign w:val="center"/>
          </w:tcPr>
          <w:p w14:paraId="44B978AC">
            <w:pPr>
              <w:jc w:val="center"/>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1</w:t>
            </w:r>
          </w:p>
        </w:tc>
        <w:tc>
          <w:tcPr>
            <w:tcW w:w="709" w:type="dxa"/>
            <w:tcBorders>
              <w:tl2br w:val="nil"/>
              <w:tr2bl w:val="nil"/>
            </w:tcBorders>
            <w:shd w:val="clear" w:color="auto" w:fill="auto"/>
            <w:vAlign w:val="center"/>
          </w:tcPr>
          <w:p w14:paraId="71DFBC3D">
            <w:pPr>
              <w:jc w:val="center"/>
              <w:rPr>
                <w:rFonts w:hint="eastAsia" w:ascii="Times New Roman" w:hAnsi="Times New Roman" w:eastAsia="宋体" w:cs="Times New Roman"/>
                <w:kern w:val="2"/>
                <w:sz w:val="18"/>
                <w:szCs w:val="18"/>
                <w:lang w:val="en-US" w:eastAsia="zh-CN" w:bidi="ar-SA"/>
              </w:rPr>
            </w:pPr>
            <w:r>
              <w:rPr>
                <w:rFonts w:hint="default" w:ascii="Times New Roman" w:hAnsi="Times New Roman" w:eastAsia="宋体" w:cs="Times New Roman"/>
                <w:sz w:val="18"/>
                <w:szCs w:val="18"/>
                <w:highlight w:val="none"/>
              </w:rPr>
              <w:t>1-3</w:t>
            </w:r>
          </w:p>
        </w:tc>
        <w:tc>
          <w:tcPr>
            <w:tcW w:w="1146" w:type="dxa"/>
            <w:vMerge w:val="continue"/>
            <w:tcBorders>
              <w:tl2br w:val="nil"/>
              <w:tr2bl w:val="nil"/>
            </w:tcBorders>
            <w:vAlign w:val="center"/>
          </w:tcPr>
          <w:p w14:paraId="42E6121F">
            <w:pPr>
              <w:adjustRightInd w:val="0"/>
              <w:snapToGrid w:val="0"/>
              <w:jc w:val="center"/>
              <w:rPr>
                <w:color w:val="auto"/>
                <w:sz w:val="18"/>
                <w:szCs w:val="18"/>
              </w:rPr>
            </w:pPr>
          </w:p>
        </w:tc>
      </w:tr>
      <w:tr w14:paraId="146F32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1AFB41F4">
            <w:pPr>
              <w:jc w:val="center"/>
              <w:rPr>
                <w:b/>
                <w:color w:val="auto"/>
                <w:sz w:val="18"/>
                <w:szCs w:val="18"/>
              </w:rPr>
            </w:pPr>
          </w:p>
        </w:tc>
        <w:tc>
          <w:tcPr>
            <w:tcW w:w="1413" w:type="dxa"/>
            <w:vMerge w:val="continue"/>
            <w:tcBorders>
              <w:tl2br w:val="nil"/>
              <w:tr2bl w:val="nil"/>
            </w:tcBorders>
            <w:vAlign w:val="center"/>
          </w:tcPr>
          <w:p w14:paraId="789FD353">
            <w:pPr>
              <w:jc w:val="center"/>
              <w:rPr>
                <w:rFonts w:hint="eastAsia"/>
                <w:b/>
                <w:color w:val="auto"/>
                <w:sz w:val="18"/>
                <w:szCs w:val="18"/>
                <w:lang w:val="en-US" w:eastAsia="zh-CN"/>
              </w:rPr>
            </w:pPr>
          </w:p>
        </w:tc>
        <w:tc>
          <w:tcPr>
            <w:tcW w:w="3912" w:type="dxa"/>
            <w:gridSpan w:val="2"/>
            <w:tcBorders>
              <w:tl2br w:val="nil"/>
              <w:tr2bl w:val="nil"/>
            </w:tcBorders>
            <w:shd w:val="clear" w:color="auto" w:fill="auto"/>
            <w:vAlign w:val="center"/>
          </w:tcPr>
          <w:p w14:paraId="12FEE83C">
            <w:pPr>
              <w:rPr>
                <w:rFonts w:hint="default" w:ascii="Times New Roman" w:hAnsi="Times New Roman" w:eastAsia="宋体" w:cs="Times New Roman"/>
                <w:sz w:val="18"/>
                <w:szCs w:val="18"/>
                <w:highlight w:val="none"/>
              </w:rPr>
            </w:pPr>
            <w:r>
              <w:rPr>
                <w:rFonts w:hint="eastAsia"/>
                <w:color w:val="000000" w:themeColor="text1"/>
                <w:sz w:val="18"/>
                <w:szCs w:val="18"/>
                <w14:textFill>
                  <w14:solidFill>
                    <w14:schemeClr w14:val="tx1"/>
                  </w14:solidFill>
                </w14:textFill>
              </w:rPr>
              <w:t>案例研究与开发</w:t>
            </w:r>
          </w:p>
        </w:tc>
        <w:tc>
          <w:tcPr>
            <w:tcW w:w="1081" w:type="dxa"/>
            <w:tcBorders>
              <w:tl2br w:val="nil"/>
              <w:tr2bl w:val="nil"/>
            </w:tcBorders>
            <w:shd w:val="clear" w:color="auto" w:fill="auto"/>
            <w:vAlign w:val="center"/>
          </w:tcPr>
          <w:p w14:paraId="716D6F00">
            <w:pPr>
              <w:jc w:val="center"/>
              <w:rPr>
                <w:rFonts w:hint="eastAsia"/>
                <w:color w:val="auto"/>
                <w:sz w:val="18"/>
                <w:szCs w:val="18"/>
              </w:rPr>
            </w:pPr>
          </w:p>
        </w:tc>
        <w:tc>
          <w:tcPr>
            <w:tcW w:w="709" w:type="dxa"/>
            <w:tcBorders>
              <w:tl2br w:val="nil"/>
              <w:tr2bl w:val="nil"/>
            </w:tcBorders>
            <w:shd w:val="clear" w:color="auto" w:fill="auto"/>
            <w:vAlign w:val="center"/>
          </w:tcPr>
          <w:p w14:paraId="1F000D46">
            <w:pPr>
              <w:jc w:val="center"/>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2</w:t>
            </w:r>
          </w:p>
        </w:tc>
        <w:tc>
          <w:tcPr>
            <w:tcW w:w="709" w:type="dxa"/>
            <w:tcBorders>
              <w:tl2br w:val="nil"/>
              <w:tr2bl w:val="nil"/>
            </w:tcBorders>
            <w:shd w:val="clear" w:color="auto" w:fill="auto"/>
            <w:vAlign w:val="center"/>
          </w:tcPr>
          <w:p w14:paraId="31D5F7FB">
            <w:pPr>
              <w:jc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1</w:t>
            </w:r>
            <w:r>
              <w:rPr>
                <w:rFonts w:hint="eastAsia"/>
                <w:sz w:val="18"/>
                <w:szCs w:val="18"/>
              </w:rPr>
              <w:t>-</w:t>
            </w:r>
            <w:r>
              <w:rPr>
                <w:rFonts w:hint="eastAsia"/>
                <w:sz w:val="18"/>
                <w:szCs w:val="18"/>
                <w:lang w:val="en-US" w:eastAsia="zh-CN"/>
              </w:rPr>
              <w:t>3</w:t>
            </w:r>
          </w:p>
        </w:tc>
        <w:tc>
          <w:tcPr>
            <w:tcW w:w="1146" w:type="dxa"/>
            <w:vMerge w:val="continue"/>
            <w:tcBorders>
              <w:tl2br w:val="nil"/>
              <w:tr2bl w:val="nil"/>
            </w:tcBorders>
            <w:vAlign w:val="center"/>
          </w:tcPr>
          <w:p w14:paraId="6FA38995">
            <w:pPr>
              <w:adjustRightInd w:val="0"/>
              <w:snapToGrid w:val="0"/>
              <w:jc w:val="center"/>
              <w:rPr>
                <w:color w:val="auto"/>
                <w:sz w:val="18"/>
                <w:szCs w:val="18"/>
              </w:rPr>
            </w:pPr>
          </w:p>
        </w:tc>
      </w:tr>
      <w:bookmarkEnd w:id="4"/>
      <w:tr w14:paraId="40687B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648A1AE7">
            <w:pPr>
              <w:jc w:val="center"/>
              <w:rPr>
                <w:b/>
                <w:color w:val="auto"/>
                <w:sz w:val="18"/>
                <w:szCs w:val="18"/>
              </w:rPr>
            </w:pPr>
          </w:p>
        </w:tc>
        <w:tc>
          <w:tcPr>
            <w:tcW w:w="1413" w:type="dxa"/>
            <w:vMerge w:val="restart"/>
            <w:tcBorders>
              <w:tl2br w:val="nil"/>
              <w:tr2bl w:val="nil"/>
            </w:tcBorders>
            <w:vAlign w:val="center"/>
          </w:tcPr>
          <w:p w14:paraId="7FF91672">
            <w:pPr>
              <w:jc w:val="center"/>
              <w:rPr>
                <w:rFonts w:hint="default" w:eastAsia="宋体"/>
                <w:b/>
                <w:color w:val="auto"/>
                <w:sz w:val="18"/>
                <w:szCs w:val="18"/>
                <w:lang w:val="en-US" w:eastAsia="zh-CN"/>
              </w:rPr>
            </w:pPr>
            <w:r>
              <w:rPr>
                <w:rFonts w:hint="eastAsia"/>
                <w:b/>
                <w:color w:val="auto"/>
                <w:sz w:val="18"/>
                <w:szCs w:val="18"/>
                <w:lang w:val="en-US" w:eastAsia="zh-CN"/>
              </w:rPr>
              <w:t>学术训练</w:t>
            </w:r>
          </w:p>
        </w:tc>
        <w:tc>
          <w:tcPr>
            <w:tcW w:w="3912" w:type="dxa"/>
            <w:gridSpan w:val="2"/>
            <w:tcBorders>
              <w:tl2br w:val="nil"/>
              <w:tr2bl w:val="nil"/>
            </w:tcBorders>
            <w:shd w:val="clear" w:color="auto" w:fill="auto"/>
            <w:vAlign w:val="center"/>
          </w:tcPr>
          <w:p w14:paraId="0D5A01A3">
            <w:pPr>
              <w:rPr>
                <w:rFonts w:hint="eastAsia" w:ascii="Times New Roman" w:hAnsi="Times New Roman" w:eastAsia="宋体" w:cs="Times New Roman"/>
                <w:kern w:val="2"/>
                <w:sz w:val="18"/>
                <w:szCs w:val="18"/>
                <w:lang w:val="en-US" w:eastAsia="zh-CN" w:bidi="ar-SA"/>
              </w:rPr>
            </w:pPr>
            <w:r>
              <w:rPr>
                <w:color w:val="000000" w:themeColor="text1"/>
                <w:sz w:val="18"/>
                <w:szCs w:val="18"/>
                <w14:textFill>
                  <w14:solidFill>
                    <w14:schemeClr w14:val="tx1"/>
                  </w14:solidFill>
                </w14:textFill>
              </w:rPr>
              <w:t>中期筛选</w:t>
            </w:r>
          </w:p>
        </w:tc>
        <w:tc>
          <w:tcPr>
            <w:tcW w:w="1081" w:type="dxa"/>
            <w:tcBorders>
              <w:tl2br w:val="nil"/>
              <w:tr2bl w:val="nil"/>
            </w:tcBorders>
            <w:shd w:val="clear" w:color="auto" w:fill="auto"/>
            <w:vAlign w:val="center"/>
          </w:tcPr>
          <w:p w14:paraId="78A4D67E">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rPr>
              <w:t>-</w:t>
            </w:r>
          </w:p>
        </w:tc>
        <w:tc>
          <w:tcPr>
            <w:tcW w:w="709" w:type="dxa"/>
            <w:tcBorders>
              <w:tl2br w:val="nil"/>
              <w:tr2bl w:val="nil"/>
            </w:tcBorders>
            <w:shd w:val="clear" w:color="auto" w:fill="auto"/>
            <w:vAlign w:val="center"/>
          </w:tcPr>
          <w:p w14:paraId="2033BDC1">
            <w:pPr>
              <w:jc w:val="center"/>
              <w:rPr>
                <w:rFonts w:ascii="Times New Roman" w:hAnsi="Times New Roman" w:eastAsia="宋体" w:cs="Times New Roman"/>
                <w:color w:val="auto"/>
                <w:kern w:val="2"/>
                <w:sz w:val="18"/>
                <w:szCs w:val="18"/>
                <w:lang w:val="en-US" w:eastAsia="zh-CN" w:bidi="ar-SA"/>
              </w:rPr>
            </w:pPr>
            <w:r>
              <w:rPr>
                <w:rFonts w:hint="eastAsia"/>
                <w:sz w:val="18"/>
                <w:szCs w:val="18"/>
              </w:rPr>
              <w:t>-</w:t>
            </w:r>
          </w:p>
        </w:tc>
        <w:tc>
          <w:tcPr>
            <w:tcW w:w="709" w:type="dxa"/>
            <w:tcBorders>
              <w:tl2br w:val="nil"/>
              <w:tr2bl w:val="nil"/>
            </w:tcBorders>
            <w:shd w:val="clear" w:color="auto" w:fill="auto"/>
            <w:vAlign w:val="center"/>
          </w:tcPr>
          <w:p w14:paraId="27C43342">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lang w:val="en-US" w:eastAsia="zh-CN"/>
              </w:rPr>
              <w:t>2</w:t>
            </w:r>
          </w:p>
        </w:tc>
        <w:tc>
          <w:tcPr>
            <w:tcW w:w="1146" w:type="dxa"/>
            <w:vMerge w:val="restart"/>
            <w:tcBorders>
              <w:tl2br w:val="nil"/>
              <w:tr2bl w:val="nil"/>
            </w:tcBorders>
            <w:vAlign w:val="center"/>
          </w:tcPr>
          <w:p w14:paraId="2D6872A5">
            <w:pPr>
              <w:jc w:val="center"/>
              <w:rPr>
                <w:color w:val="auto"/>
                <w:sz w:val="18"/>
                <w:szCs w:val="18"/>
              </w:rPr>
            </w:pPr>
            <w:r>
              <w:rPr>
                <w:color w:val="auto"/>
                <w:sz w:val="18"/>
                <w:szCs w:val="18"/>
              </w:rPr>
              <w:t>过程管理</w:t>
            </w:r>
          </w:p>
          <w:p w14:paraId="27CE5A5F">
            <w:pPr>
              <w:jc w:val="center"/>
              <w:rPr>
                <w:color w:val="auto"/>
                <w:sz w:val="18"/>
                <w:szCs w:val="18"/>
              </w:rPr>
            </w:pPr>
            <w:r>
              <w:rPr>
                <w:color w:val="auto"/>
                <w:sz w:val="18"/>
                <w:szCs w:val="18"/>
              </w:rPr>
              <w:t>无学分</w:t>
            </w:r>
          </w:p>
        </w:tc>
      </w:tr>
      <w:tr w14:paraId="12E23F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1AF18BA2">
            <w:pPr>
              <w:jc w:val="center"/>
              <w:rPr>
                <w:b/>
                <w:color w:val="auto"/>
                <w:sz w:val="18"/>
                <w:szCs w:val="18"/>
              </w:rPr>
            </w:pPr>
          </w:p>
        </w:tc>
        <w:tc>
          <w:tcPr>
            <w:tcW w:w="1413" w:type="dxa"/>
            <w:vMerge w:val="continue"/>
            <w:tcBorders>
              <w:tl2br w:val="nil"/>
              <w:tr2bl w:val="nil"/>
            </w:tcBorders>
            <w:vAlign w:val="center"/>
          </w:tcPr>
          <w:p w14:paraId="7F02ABE3">
            <w:pPr>
              <w:jc w:val="center"/>
              <w:rPr>
                <w:b/>
                <w:color w:val="auto"/>
                <w:sz w:val="18"/>
                <w:szCs w:val="18"/>
              </w:rPr>
            </w:pPr>
          </w:p>
        </w:tc>
        <w:tc>
          <w:tcPr>
            <w:tcW w:w="3912" w:type="dxa"/>
            <w:gridSpan w:val="2"/>
            <w:tcBorders>
              <w:tl2br w:val="nil"/>
              <w:tr2bl w:val="nil"/>
            </w:tcBorders>
            <w:shd w:val="clear" w:color="auto" w:fill="auto"/>
            <w:vAlign w:val="center"/>
          </w:tcPr>
          <w:p w14:paraId="11EA9783">
            <w:pPr>
              <w:rPr>
                <w:rFonts w:hint="eastAsia" w:ascii="Times New Roman" w:hAnsi="Times New Roman" w:eastAsia="宋体" w:cs="Times New Roman"/>
                <w:kern w:val="2"/>
                <w:sz w:val="18"/>
                <w:szCs w:val="18"/>
                <w:lang w:val="en-US" w:eastAsia="zh-CN" w:bidi="ar-SA"/>
              </w:rPr>
            </w:pPr>
            <w:r>
              <w:rPr>
                <w:color w:val="000000" w:themeColor="text1"/>
                <w:sz w:val="18"/>
                <w:szCs w:val="18"/>
                <w14:textFill>
                  <w14:solidFill>
                    <w14:schemeClr w14:val="tx1"/>
                  </w14:solidFill>
                </w14:textFill>
              </w:rPr>
              <w:t>论文开题</w:t>
            </w:r>
          </w:p>
        </w:tc>
        <w:tc>
          <w:tcPr>
            <w:tcW w:w="1081" w:type="dxa"/>
            <w:tcBorders>
              <w:tl2br w:val="nil"/>
              <w:tr2bl w:val="nil"/>
            </w:tcBorders>
            <w:shd w:val="clear" w:color="auto" w:fill="auto"/>
            <w:vAlign w:val="center"/>
          </w:tcPr>
          <w:p w14:paraId="351C0CB7">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rPr>
              <w:t>-</w:t>
            </w:r>
          </w:p>
        </w:tc>
        <w:tc>
          <w:tcPr>
            <w:tcW w:w="709" w:type="dxa"/>
            <w:tcBorders>
              <w:tl2br w:val="nil"/>
              <w:tr2bl w:val="nil"/>
            </w:tcBorders>
            <w:shd w:val="clear" w:color="auto" w:fill="auto"/>
            <w:vAlign w:val="center"/>
          </w:tcPr>
          <w:p w14:paraId="5ED1E4A0">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rPr>
              <w:t>-</w:t>
            </w:r>
          </w:p>
        </w:tc>
        <w:tc>
          <w:tcPr>
            <w:tcW w:w="709" w:type="dxa"/>
            <w:tcBorders>
              <w:tl2br w:val="nil"/>
              <w:tr2bl w:val="nil"/>
            </w:tcBorders>
            <w:shd w:val="clear" w:color="auto" w:fill="auto"/>
            <w:vAlign w:val="center"/>
          </w:tcPr>
          <w:p w14:paraId="1094E736">
            <w:pPr>
              <w:jc w:val="center"/>
              <w:rPr>
                <w:rFonts w:hint="eastAsia" w:ascii="Times New Roman" w:hAnsi="Times New Roman" w:eastAsia="宋体" w:cs="Times New Roman"/>
                <w:color w:val="auto"/>
                <w:kern w:val="2"/>
                <w:sz w:val="18"/>
                <w:szCs w:val="18"/>
                <w:lang w:val="en-US" w:eastAsia="zh-CN" w:bidi="ar-SA"/>
              </w:rPr>
            </w:pPr>
            <w:r>
              <w:rPr>
                <w:rFonts w:hint="eastAsia"/>
                <w:sz w:val="18"/>
                <w:szCs w:val="18"/>
                <w:lang w:val="en-US" w:eastAsia="zh-CN"/>
              </w:rPr>
              <w:t>2</w:t>
            </w:r>
          </w:p>
        </w:tc>
        <w:tc>
          <w:tcPr>
            <w:tcW w:w="1146" w:type="dxa"/>
            <w:vMerge w:val="continue"/>
            <w:tcBorders>
              <w:tl2br w:val="nil"/>
              <w:tr2bl w:val="nil"/>
            </w:tcBorders>
            <w:vAlign w:val="center"/>
          </w:tcPr>
          <w:p w14:paraId="7184DAA9">
            <w:pPr>
              <w:jc w:val="center"/>
              <w:rPr>
                <w:color w:val="auto"/>
                <w:sz w:val="18"/>
                <w:szCs w:val="18"/>
              </w:rPr>
            </w:pPr>
          </w:p>
        </w:tc>
      </w:tr>
      <w:tr w14:paraId="72A3AA6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050069D9">
            <w:pPr>
              <w:jc w:val="center"/>
              <w:rPr>
                <w:b/>
                <w:color w:val="auto"/>
                <w:sz w:val="18"/>
                <w:szCs w:val="18"/>
              </w:rPr>
            </w:pPr>
          </w:p>
        </w:tc>
        <w:tc>
          <w:tcPr>
            <w:tcW w:w="1413" w:type="dxa"/>
            <w:vMerge w:val="continue"/>
            <w:tcBorders>
              <w:tl2br w:val="nil"/>
              <w:tr2bl w:val="nil"/>
            </w:tcBorders>
            <w:vAlign w:val="center"/>
          </w:tcPr>
          <w:p w14:paraId="1070A1FE">
            <w:pPr>
              <w:jc w:val="center"/>
              <w:rPr>
                <w:b/>
                <w:color w:val="auto"/>
                <w:sz w:val="18"/>
                <w:szCs w:val="18"/>
              </w:rPr>
            </w:pPr>
          </w:p>
        </w:tc>
        <w:tc>
          <w:tcPr>
            <w:tcW w:w="3912" w:type="dxa"/>
            <w:gridSpan w:val="2"/>
            <w:tcBorders>
              <w:tl2br w:val="nil"/>
              <w:tr2bl w:val="nil"/>
            </w:tcBorders>
            <w:shd w:val="clear" w:color="auto" w:fill="auto"/>
            <w:vAlign w:val="center"/>
          </w:tcPr>
          <w:p w14:paraId="3EBD932B">
            <w:pPr>
              <w:rPr>
                <w:rFonts w:hint="eastAsia" w:ascii="Times New Roman" w:hAnsi="Times New Roman" w:eastAsia="宋体" w:cs="Times New Roman"/>
                <w:kern w:val="2"/>
                <w:sz w:val="18"/>
                <w:szCs w:val="18"/>
                <w:lang w:val="en-US" w:eastAsia="zh-CN" w:bidi="ar-SA"/>
              </w:rPr>
            </w:pPr>
            <w:r>
              <w:rPr>
                <w:sz w:val="18"/>
                <w:szCs w:val="18"/>
              </w:rPr>
              <w:t>论文中期进展报告</w:t>
            </w:r>
          </w:p>
        </w:tc>
        <w:tc>
          <w:tcPr>
            <w:tcW w:w="1081" w:type="dxa"/>
            <w:tcBorders>
              <w:tl2br w:val="nil"/>
              <w:tr2bl w:val="nil"/>
            </w:tcBorders>
            <w:shd w:val="clear" w:color="auto" w:fill="auto"/>
            <w:vAlign w:val="center"/>
          </w:tcPr>
          <w:p w14:paraId="6126C1A4">
            <w:pPr>
              <w:jc w:val="center"/>
              <w:rPr>
                <w:rFonts w:hint="eastAsia" w:ascii="Times New Roman" w:hAnsi="Times New Roman" w:eastAsia="宋体" w:cs="Times New Roman"/>
                <w:kern w:val="2"/>
                <w:sz w:val="18"/>
                <w:szCs w:val="18"/>
                <w:lang w:val="en-US" w:eastAsia="zh-CN" w:bidi="ar-SA"/>
              </w:rPr>
            </w:pPr>
            <w:r>
              <w:rPr>
                <w:rFonts w:hint="eastAsia"/>
                <w:sz w:val="18"/>
                <w:szCs w:val="18"/>
              </w:rPr>
              <w:t>-</w:t>
            </w:r>
          </w:p>
        </w:tc>
        <w:tc>
          <w:tcPr>
            <w:tcW w:w="709" w:type="dxa"/>
            <w:tcBorders>
              <w:tl2br w:val="nil"/>
              <w:tr2bl w:val="nil"/>
            </w:tcBorders>
            <w:shd w:val="clear" w:color="auto" w:fill="auto"/>
            <w:vAlign w:val="center"/>
          </w:tcPr>
          <w:p w14:paraId="0B15BC8C">
            <w:pPr>
              <w:jc w:val="center"/>
              <w:rPr>
                <w:rFonts w:hint="eastAsia" w:ascii="Times New Roman" w:hAnsi="Times New Roman" w:eastAsia="宋体" w:cs="Times New Roman"/>
                <w:kern w:val="2"/>
                <w:sz w:val="18"/>
                <w:szCs w:val="18"/>
                <w:lang w:val="en-US" w:eastAsia="zh-CN" w:bidi="ar-SA"/>
              </w:rPr>
            </w:pPr>
            <w:r>
              <w:rPr>
                <w:rFonts w:hint="eastAsia"/>
                <w:sz w:val="18"/>
                <w:szCs w:val="18"/>
              </w:rPr>
              <w:t>-</w:t>
            </w:r>
          </w:p>
        </w:tc>
        <w:tc>
          <w:tcPr>
            <w:tcW w:w="709" w:type="dxa"/>
            <w:tcBorders>
              <w:tl2br w:val="nil"/>
              <w:tr2bl w:val="nil"/>
            </w:tcBorders>
            <w:shd w:val="clear" w:color="auto" w:fill="auto"/>
            <w:vAlign w:val="center"/>
          </w:tcPr>
          <w:p w14:paraId="3DA784C6">
            <w:pPr>
              <w:jc w:val="center"/>
              <w:rPr>
                <w:rFonts w:hint="default" w:ascii="Times New Roman" w:hAnsi="Times New Roman" w:eastAsia="宋体" w:cs="Times New Roman"/>
                <w:kern w:val="2"/>
                <w:sz w:val="18"/>
                <w:szCs w:val="18"/>
                <w:lang w:val="en-US" w:eastAsia="zh-CN" w:bidi="ar-SA"/>
              </w:rPr>
            </w:pPr>
            <w:r>
              <w:rPr>
                <w:rFonts w:hint="eastAsia"/>
                <w:sz w:val="18"/>
                <w:szCs w:val="18"/>
                <w:lang w:val="en-US" w:eastAsia="zh-CN"/>
              </w:rPr>
              <w:t>2-3</w:t>
            </w:r>
          </w:p>
        </w:tc>
        <w:tc>
          <w:tcPr>
            <w:tcW w:w="1146" w:type="dxa"/>
            <w:vMerge w:val="continue"/>
            <w:tcBorders>
              <w:tl2br w:val="nil"/>
              <w:tr2bl w:val="nil"/>
            </w:tcBorders>
            <w:vAlign w:val="center"/>
          </w:tcPr>
          <w:p w14:paraId="7EA6C1E0">
            <w:pPr>
              <w:jc w:val="center"/>
              <w:rPr>
                <w:color w:val="auto"/>
                <w:sz w:val="18"/>
                <w:szCs w:val="18"/>
              </w:rPr>
            </w:pPr>
          </w:p>
        </w:tc>
      </w:tr>
      <w:tr w14:paraId="780A66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6922FAD5">
            <w:pPr>
              <w:jc w:val="center"/>
              <w:rPr>
                <w:b/>
                <w:color w:val="auto"/>
                <w:sz w:val="18"/>
                <w:szCs w:val="18"/>
              </w:rPr>
            </w:pPr>
          </w:p>
        </w:tc>
        <w:tc>
          <w:tcPr>
            <w:tcW w:w="1413" w:type="dxa"/>
            <w:vMerge w:val="continue"/>
            <w:tcBorders>
              <w:tl2br w:val="nil"/>
              <w:tr2bl w:val="nil"/>
            </w:tcBorders>
            <w:vAlign w:val="center"/>
          </w:tcPr>
          <w:p w14:paraId="6EE4C116">
            <w:pPr>
              <w:jc w:val="center"/>
              <w:rPr>
                <w:b/>
                <w:color w:val="auto"/>
                <w:sz w:val="18"/>
                <w:szCs w:val="18"/>
              </w:rPr>
            </w:pPr>
          </w:p>
        </w:tc>
        <w:tc>
          <w:tcPr>
            <w:tcW w:w="3912" w:type="dxa"/>
            <w:gridSpan w:val="2"/>
            <w:tcBorders>
              <w:tl2br w:val="nil"/>
              <w:tr2bl w:val="nil"/>
            </w:tcBorders>
            <w:shd w:val="clear" w:color="auto" w:fill="auto"/>
            <w:vAlign w:val="center"/>
          </w:tcPr>
          <w:p w14:paraId="73F9CE7B">
            <w:pPr>
              <w:rPr>
                <w:rFonts w:hint="eastAsia" w:ascii="Times New Roman" w:hAnsi="Times New Roman" w:eastAsia="宋体" w:cs="Times New Roman"/>
                <w:kern w:val="2"/>
                <w:sz w:val="18"/>
                <w:szCs w:val="18"/>
                <w:lang w:val="en-US" w:eastAsia="zh-CN" w:bidi="ar-SA"/>
              </w:rPr>
            </w:pPr>
            <w:r>
              <w:rPr>
                <w:color w:val="000000" w:themeColor="text1"/>
                <w:sz w:val="18"/>
                <w:szCs w:val="18"/>
                <w14:textFill>
                  <w14:solidFill>
                    <w14:schemeClr w14:val="tx1"/>
                  </w14:solidFill>
                </w14:textFill>
              </w:rPr>
              <w:t>论文预答辩</w:t>
            </w:r>
          </w:p>
        </w:tc>
        <w:tc>
          <w:tcPr>
            <w:tcW w:w="1081" w:type="dxa"/>
            <w:tcBorders>
              <w:tl2br w:val="nil"/>
              <w:tr2bl w:val="nil"/>
            </w:tcBorders>
            <w:shd w:val="clear" w:color="auto" w:fill="auto"/>
            <w:vAlign w:val="center"/>
          </w:tcPr>
          <w:p w14:paraId="4CF4FB01">
            <w:pPr>
              <w:jc w:val="center"/>
              <w:rPr>
                <w:rFonts w:hint="eastAsia"/>
                <w:sz w:val="18"/>
                <w:szCs w:val="18"/>
              </w:rPr>
            </w:pPr>
          </w:p>
        </w:tc>
        <w:tc>
          <w:tcPr>
            <w:tcW w:w="709" w:type="dxa"/>
            <w:tcBorders>
              <w:tl2br w:val="nil"/>
              <w:tr2bl w:val="nil"/>
            </w:tcBorders>
            <w:shd w:val="clear" w:color="auto" w:fill="auto"/>
            <w:vAlign w:val="center"/>
          </w:tcPr>
          <w:p w14:paraId="5538F4A1">
            <w:pPr>
              <w:jc w:val="center"/>
              <w:rPr>
                <w:rFonts w:hint="eastAsia"/>
                <w:sz w:val="18"/>
                <w:szCs w:val="18"/>
              </w:rPr>
            </w:pPr>
          </w:p>
        </w:tc>
        <w:tc>
          <w:tcPr>
            <w:tcW w:w="709" w:type="dxa"/>
            <w:tcBorders>
              <w:tl2br w:val="nil"/>
              <w:tr2bl w:val="nil"/>
            </w:tcBorders>
            <w:shd w:val="clear" w:color="auto" w:fill="auto"/>
            <w:vAlign w:val="center"/>
          </w:tcPr>
          <w:p w14:paraId="0D67B167">
            <w:pPr>
              <w:jc w:val="center"/>
              <w:rPr>
                <w:rFonts w:hint="eastAsia"/>
                <w:sz w:val="18"/>
                <w:szCs w:val="18"/>
              </w:rPr>
            </w:pPr>
            <w:r>
              <w:rPr>
                <w:rFonts w:hint="eastAsia"/>
                <w:sz w:val="18"/>
                <w:szCs w:val="18"/>
                <w:lang w:val="en-US" w:eastAsia="zh-CN"/>
              </w:rPr>
              <w:t>4</w:t>
            </w:r>
          </w:p>
        </w:tc>
        <w:tc>
          <w:tcPr>
            <w:tcW w:w="1146" w:type="dxa"/>
            <w:vMerge w:val="continue"/>
            <w:tcBorders>
              <w:tl2br w:val="nil"/>
              <w:tr2bl w:val="nil"/>
            </w:tcBorders>
            <w:vAlign w:val="center"/>
          </w:tcPr>
          <w:p w14:paraId="68D67A6F">
            <w:pPr>
              <w:jc w:val="center"/>
              <w:rPr>
                <w:color w:val="auto"/>
                <w:sz w:val="18"/>
                <w:szCs w:val="18"/>
              </w:rPr>
            </w:pPr>
          </w:p>
        </w:tc>
      </w:tr>
      <w:tr w14:paraId="39FE6B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7A57434A">
            <w:pPr>
              <w:jc w:val="center"/>
              <w:rPr>
                <w:b/>
                <w:color w:val="auto"/>
                <w:sz w:val="18"/>
                <w:szCs w:val="18"/>
              </w:rPr>
            </w:pPr>
          </w:p>
        </w:tc>
        <w:tc>
          <w:tcPr>
            <w:tcW w:w="1413" w:type="dxa"/>
            <w:vMerge w:val="continue"/>
            <w:tcBorders>
              <w:tl2br w:val="nil"/>
              <w:tr2bl w:val="nil"/>
            </w:tcBorders>
            <w:vAlign w:val="center"/>
          </w:tcPr>
          <w:p w14:paraId="18FAC5EE">
            <w:pPr>
              <w:jc w:val="center"/>
              <w:rPr>
                <w:b/>
                <w:color w:val="auto"/>
                <w:sz w:val="18"/>
                <w:szCs w:val="18"/>
              </w:rPr>
            </w:pPr>
          </w:p>
        </w:tc>
        <w:tc>
          <w:tcPr>
            <w:tcW w:w="3912" w:type="dxa"/>
            <w:gridSpan w:val="2"/>
            <w:tcBorders>
              <w:tl2br w:val="nil"/>
              <w:tr2bl w:val="nil"/>
            </w:tcBorders>
            <w:shd w:val="clear" w:color="auto" w:fill="auto"/>
            <w:vAlign w:val="center"/>
          </w:tcPr>
          <w:p w14:paraId="7FA5F94D">
            <w:pPr>
              <w:rPr>
                <w:rFonts w:hint="eastAsia" w:ascii="Times New Roman" w:hAnsi="Times New Roman" w:eastAsia="宋体" w:cs="Times New Roman"/>
                <w:kern w:val="2"/>
                <w:sz w:val="18"/>
                <w:szCs w:val="18"/>
                <w:lang w:val="en-US" w:eastAsia="zh-CN" w:bidi="ar-SA"/>
              </w:rPr>
            </w:pPr>
            <w:r>
              <w:rPr>
                <w:color w:val="000000" w:themeColor="text1"/>
                <w:sz w:val="18"/>
                <w:szCs w:val="18"/>
                <w14:textFill>
                  <w14:solidFill>
                    <w14:schemeClr w14:val="tx1"/>
                  </w14:solidFill>
                </w14:textFill>
              </w:rPr>
              <w:t>论文评审</w:t>
            </w:r>
          </w:p>
        </w:tc>
        <w:tc>
          <w:tcPr>
            <w:tcW w:w="1081" w:type="dxa"/>
            <w:tcBorders>
              <w:tl2br w:val="nil"/>
              <w:tr2bl w:val="nil"/>
            </w:tcBorders>
            <w:shd w:val="clear" w:color="auto" w:fill="auto"/>
            <w:vAlign w:val="center"/>
          </w:tcPr>
          <w:p w14:paraId="4B0476EA">
            <w:pPr>
              <w:jc w:val="center"/>
              <w:rPr>
                <w:rFonts w:hint="eastAsia"/>
                <w:sz w:val="18"/>
                <w:szCs w:val="18"/>
              </w:rPr>
            </w:pPr>
          </w:p>
        </w:tc>
        <w:tc>
          <w:tcPr>
            <w:tcW w:w="709" w:type="dxa"/>
            <w:tcBorders>
              <w:tl2br w:val="nil"/>
              <w:tr2bl w:val="nil"/>
            </w:tcBorders>
            <w:shd w:val="clear" w:color="auto" w:fill="auto"/>
            <w:vAlign w:val="center"/>
          </w:tcPr>
          <w:p w14:paraId="38CC28B9">
            <w:pPr>
              <w:jc w:val="center"/>
              <w:rPr>
                <w:rFonts w:hint="eastAsia"/>
                <w:sz w:val="18"/>
                <w:szCs w:val="18"/>
              </w:rPr>
            </w:pPr>
          </w:p>
        </w:tc>
        <w:tc>
          <w:tcPr>
            <w:tcW w:w="709" w:type="dxa"/>
            <w:tcBorders>
              <w:tl2br w:val="nil"/>
              <w:tr2bl w:val="nil"/>
            </w:tcBorders>
            <w:shd w:val="clear" w:color="auto" w:fill="auto"/>
            <w:vAlign w:val="center"/>
          </w:tcPr>
          <w:p w14:paraId="1D89211E">
            <w:pPr>
              <w:jc w:val="center"/>
              <w:rPr>
                <w:rFonts w:hint="eastAsia"/>
                <w:sz w:val="18"/>
                <w:szCs w:val="18"/>
              </w:rPr>
            </w:pPr>
            <w:r>
              <w:rPr>
                <w:rFonts w:hint="eastAsia"/>
                <w:sz w:val="18"/>
                <w:szCs w:val="18"/>
                <w:lang w:val="en-US" w:eastAsia="zh-CN"/>
              </w:rPr>
              <w:t>4</w:t>
            </w:r>
          </w:p>
        </w:tc>
        <w:tc>
          <w:tcPr>
            <w:tcW w:w="1146" w:type="dxa"/>
            <w:vMerge w:val="continue"/>
            <w:tcBorders>
              <w:tl2br w:val="nil"/>
              <w:tr2bl w:val="nil"/>
            </w:tcBorders>
            <w:vAlign w:val="center"/>
          </w:tcPr>
          <w:p w14:paraId="76BDA51B">
            <w:pPr>
              <w:jc w:val="center"/>
              <w:rPr>
                <w:color w:val="auto"/>
                <w:sz w:val="18"/>
                <w:szCs w:val="18"/>
              </w:rPr>
            </w:pPr>
          </w:p>
        </w:tc>
      </w:tr>
      <w:tr w14:paraId="56FDE2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23E59101">
            <w:pPr>
              <w:rPr>
                <w:b/>
                <w:color w:val="auto"/>
                <w:sz w:val="18"/>
                <w:szCs w:val="18"/>
              </w:rPr>
            </w:pPr>
          </w:p>
        </w:tc>
        <w:tc>
          <w:tcPr>
            <w:tcW w:w="1413" w:type="dxa"/>
            <w:vMerge w:val="continue"/>
            <w:tcBorders>
              <w:tl2br w:val="nil"/>
              <w:tr2bl w:val="nil"/>
            </w:tcBorders>
            <w:vAlign w:val="center"/>
          </w:tcPr>
          <w:p w14:paraId="3E7EBB0F">
            <w:pPr>
              <w:jc w:val="center"/>
              <w:rPr>
                <w:b/>
                <w:color w:val="auto"/>
                <w:sz w:val="18"/>
                <w:szCs w:val="18"/>
              </w:rPr>
            </w:pPr>
          </w:p>
        </w:tc>
        <w:tc>
          <w:tcPr>
            <w:tcW w:w="3912" w:type="dxa"/>
            <w:gridSpan w:val="2"/>
            <w:tcBorders>
              <w:tl2br w:val="nil"/>
              <w:tr2bl w:val="nil"/>
            </w:tcBorders>
            <w:shd w:val="clear" w:color="auto" w:fill="auto"/>
            <w:vAlign w:val="center"/>
          </w:tcPr>
          <w:p w14:paraId="01A36F7C">
            <w:pPr>
              <w:rPr>
                <w:rFonts w:ascii="Times New Roman" w:hAnsi="Times New Roman" w:eastAsia="宋体" w:cs="Times New Roman"/>
                <w:kern w:val="2"/>
                <w:sz w:val="18"/>
                <w:szCs w:val="18"/>
                <w:lang w:val="en-US" w:eastAsia="zh-CN" w:bidi="ar-SA"/>
              </w:rPr>
            </w:pPr>
            <w:r>
              <w:rPr>
                <w:color w:val="000000" w:themeColor="text1"/>
                <w:sz w:val="18"/>
                <w:szCs w:val="18"/>
                <w14:textFill>
                  <w14:solidFill>
                    <w14:schemeClr w14:val="tx1"/>
                  </w14:solidFill>
                </w14:textFill>
              </w:rPr>
              <w:t>论文答辩</w:t>
            </w:r>
          </w:p>
        </w:tc>
        <w:tc>
          <w:tcPr>
            <w:tcW w:w="1081" w:type="dxa"/>
            <w:tcBorders>
              <w:tl2br w:val="nil"/>
              <w:tr2bl w:val="nil"/>
            </w:tcBorders>
            <w:vAlign w:val="center"/>
          </w:tcPr>
          <w:p w14:paraId="32781981">
            <w:pPr>
              <w:jc w:val="center"/>
              <w:rPr>
                <w:color w:val="auto"/>
                <w:sz w:val="18"/>
                <w:szCs w:val="18"/>
              </w:rPr>
            </w:pPr>
            <w:r>
              <w:rPr>
                <w:rFonts w:hint="eastAsia"/>
                <w:sz w:val="18"/>
                <w:szCs w:val="18"/>
              </w:rPr>
              <w:t>-</w:t>
            </w:r>
          </w:p>
        </w:tc>
        <w:tc>
          <w:tcPr>
            <w:tcW w:w="709" w:type="dxa"/>
            <w:tcBorders>
              <w:tl2br w:val="nil"/>
              <w:tr2bl w:val="nil"/>
            </w:tcBorders>
            <w:vAlign w:val="center"/>
          </w:tcPr>
          <w:p w14:paraId="793F2C5B">
            <w:pPr>
              <w:jc w:val="center"/>
              <w:rPr>
                <w:color w:val="auto"/>
                <w:sz w:val="18"/>
                <w:szCs w:val="18"/>
              </w:rPr>
            </w:pPr>
            <w:r>
              <w:rPr>
                <w:rFonts w:hint="eastAsia"/>
                <w:sz w:val="18"/>
                <w:szCs w:val="18"/>
              </w:rPr>
              <w:t>-</w:t>
            </w:r>
          </w:p>
        </w:tc>
        <w:tc>
          <w:tcPr>
            <w:tcW w:w="709" w:type="dxa"/>
            <w:tcBorders>
              <w:tl2br w:val="nil"/>
              <w:tr2bl w:val="nil"/>
            </w:tcBorders>
            <w:vAlign w:val="center"/>
          </w:tcPr>
          <w:p w14:paraId="44F57BD1">
            <w:pPr>
              <w:jc w:val="center"/>
              <w:rPr>
                <w:rFonts w:hint="eastAsia" w:eastAsia="宋体"/>
                <w:color w:val="0000FF"/>
                <w:sz w:val="18"/>
                <w:szCs w:val="18"/>
                <w:lang w:eastAsia="zh-CN"/>
              </w:rPr>
            </w:pPr>
            <w:r>
              <w:rPr>
                <w:rFonts w:hint="eastAsia"/>
                <w:sz w:val="18"/>
                <w:szCs w:val="18"/>
                <w:lang w:val="en-US" w:eastAsia="zh-CN"/>
              </w:rPr>
              <w:t>4</w:t>
            </w:r>
          </w:p>
        </w:tc>
        <w:tc>
          <w:tcPr>
            <w:tcW w:w="1146" w:type="dxa"/>
            <w:vMerge w:val="continue"/>
            <w:tcBorders>
              <w:tl2br w:val="nil"/>
              <w:tr2bl w:val="nil"/>
            </w:tcBorders>
            <w:vAlign w:val="center"/>
          </w:tcPr>
          <w:p w14:paraId="6CCDD590">
            <w:pPr>
              <w:jc w:val="center"/>
              <w:rPr>
                <w:color w:val="auto"/>
                <w:sz w:val="18"/>
                <w:szCs w:val="18"/>
              </w:rPr>
            </w:pPr>
          </w:p>
        </w:tc>
      </w:tr>
    </w:tbl>
    <w:p w14:paraId="6D3872F9">
      <w:pPr>
        <w:spacing w:line="440" w:lineRule="exact"/>
        <w:ind w:firstLine="480" w:firstLineChars="200"/>
        <w:rPr>
          <w:rFonts w:eastAsiaTheme="minorEastAsia"/>
          <w:bCs/>
          <w:sz w:val="24"/>
        </w:rPr>
      </w:pPr>
      <w:r>
        <w:rPr>
          <w:rFonts w:eastAsiaTheme="minorEastAsia"/>
          <w:bCs/>
          <w:sz w:val="24"/>
        </w:rPr>
        <w:t>*</w:t>
      </w:r>
      <w:r>
        <w:rPr>
          <w:rFonts w:hint="eastAsia" w:ascii="宋体" w:hAnsi="宋体" w:eastAsia="宋体" w:cs="宋体"/>
          <w:bCs/>
          <w:sz w:val="24"/>
        </w:rPr>
        <w:t>公共外语课程按入学时的外国语考试科目修读相关语种</w:t>
      </w:r>
      <w:r>
        <w:rPr>
          <w:rFonts w:eastAsiaTheme="minorEastAsia"/>
          <w:bCs/>
          <w:sz w:val="24"/>
        </w:rPr>
        <w:t>。</w:t>
      </w:r>
    </w:p>
    <w:p w14:paraId="3B254C3E">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046EFF3D">
      <w:pPr>
        <w:spacing w:line="440" w:lineRule="exact"/>
        <w:ind w:firstLine="480" w:firstLineChars="200"/>
        <w:rPr>
          <w:rFonts w:hint="eastAsia" w:ascii="宋体" w:hAnsi="宋体" w:eastAsia="宋体" w:cs="宋体"/>
          <w:bCs/>
          <w:sz w:val="24"/>
        </w:rPr>
      </w:pPr>
      <w:r>
        <w:rPr>
          <w:rFonts w:hint="eastAsia" w:ascii="宋体" w:hAnsi="宋体" w:eastAsia="宋体" w:cs="宋体"/>
          <w:bCs/>
          <w:sz w:val="24"/>
        </w:rPr>
        <w:t>1. 非学位课中的方向选修课模块由各培养单位自行设置，并给出具体选修学分要求。</w:t>
      </w:r>
    </w:p>
    <w:p w14:paraId="2AE3D7FC">
      <w:pPr>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bCs/>
          <w:sz w:val="24"/>
        </w:rPr>
        <w:t>2. 毕业总学分：学位课+非学位课+必修环节。</w:t>
      </w:r>
    </w:p>
    <w:p w14:paraId="0ADC2BF2">
      <w:pPr>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3.学术/实践活动：实践活动必须保证不少于半年的实习实践，可采用集中实践与分段实践相结合的方式。应提交实践计划，撰写实践总结报告，实践表由实践单位盖章认定通过后获得相应学分。学术报告必须参加</w:t>
      </w:r>
      <w:r>
        <w:rPr>
          <w:rFonts w:hint="eastAsia" w:ascii="宋体" w:hAnsi="宋体" w:cs="宋体"/>
          <w:color w:val="auto"/>
          <w:sz w:val="24"/>
          <w:lang w:val="en-US" w:eastAsia="zh-CN"/>
        </w:rPr>
        <w:t>6</w:t>
      </w:r>
      <w:r>
        <w:rPr>
          <w:rFonts w:hint="eastAsia" w:ascii="宋体" w:hAnsi="宋体" w:eastAsia="宋体" w:cs="宋体"/>
          <w:color w:val="auto"/>
          <w:sz w:val="24"/>
        </w:rPr>
        <w:t>次并提交总结方可获得相应学分。其中以主讲人或宣讲人身份，参加在校内外举行的学术报告或学术讲座不少于1次。</w:t>
      </w:r>
    </w:p>
    <w:p w14:paraId="136C3260">
      <w:pPr>
        <w:adjustRightInd w:val="0"/>
        <w:snapToGrid w:val="0"/>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4.案例研究与开发：在学习期间必须参与案例研究与开发活动，包括但不限于参加</w:t>
      </w:r>
      <w:r>
        <w:rPr>
          <w:rFonts w:hint="eastAsia" w:ascii="宋体" w:hAnsi="宋体" w:cs="宋体"/>
          <w:color w:val="auto"/>
          <w:sz w:val="24"/>
          <w:lang w:val="en-US" w:eastAsia="zh-CN"/>
        </w:rPr>
        <w:t>导师组认可的各类</w:t>
      </w:r>
      <w:r>
        <w:rPr>
          <w:rFonts w:hint="eastAsia" w:ascii="宋体" w:hAnsi="宋体" w:eastAsia="宋体" w:cs="宋体"/>
          <w:color w:val="auto"/>
          <w:sz w:val="24"/>
        </w:rPr>
        <w:t>案例大赛、独立或协助指导老师通过实地调研形成教学案例、发表案例研究方面的学术成果。案例研究与开发由指导教师根据学生参与的案例开发工作情况或科研成果评定成绩，学生取得相应学分。</w:t>
      </w:r>
    </w:p>
    <w:sectPr>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286256"/>
    </w:sdtPr>
    <w:sdtContent>
      <w:p w14:paraId="31008CE3">
        <w:pPr>
          <w:pStyle w:val="2"/>
          <w:jc w:val="center"/>
        </w:pPr>
        <w:r>
          <w:fldChar w:fldCharType="begin"/>
        </w:r>
        <w:r>
          <w:instrText xml:space="preserve">PAGE   \* MERGEFORMAT</w:instrText>
        </w:r>
        <w:r>
          <w:fldChar w:fldCharType="separate"/>
        </w:r>
        <w:r>
          <w:rPr>
            <w:lang w:val="zh-CN"/>
          </w:rPr>
          <w:t>2</w:t>
        </w:r>
        <w:r>
          <w:fldChar w:fldCharType="end"/>
        </w:r>
      </w:p>
    </w:sdtContent>
  </w:sdt>
  <w:p w14:paraId="5879A10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JjN2E2YzRiNDkwMWU3OWM2NGY4ODJiYzNhNjlkNjkifQ=="/>
  </w:docVars>
  <w:rsids>
    <w:rsidRoot w:val="00681E42"/>
    <w:rsid w:val="00011543"/>
    <w:rsid w:val="00047D61"/>
    <w:rsid w:val="00047E06"/>
    <w:rsid w:val="000539CF"/>
    <w:rsid w:val="000B43B7"/>
    <w:rsid w:val="000B47D5"/>
    <w:rsid w:val="0010155D"/>
    <w:rsid w:val="001253EC"/>
    <w:rsid w:val="00131DCB"/>
    <w:rsid w:val="00172DC9"/>
    <w:rsid w:val="002672C7"/>
    <w:rsid w:val="00281814"/>
    <w:rsid w:val="002B346D"/>
    <w:rsid w:val="002B7977"/>
    <w:rsid w:val="002C1001"/>
    <w:rsid w:val="002F1E4F"/>
    <w:rsid w:val="002F2346"/>
    <w:rsid w:val="00314AF0"/>
    <w:rsid w:val="00325F32"/>
    <w:rsid w:val="00330C2A"/>
    <w:rsid w:val="00344381"/>
    <w:rsid w:val="003D7611"/>
    <w:rsid w:val="003E6EF7"/>
    <w:rsid w:val="003E77E1"/>
    <w:rsid w:val="003F639B"/>
    <w:rsid w:val="00436A44"/>
    <w:rsid w:val="004524EE"/>
    <w:rsid w:val="00460F45"/>
    <w:rsid w:val="00462311"/>
    <w:rsid w:val="004627D6"/>
    <w:rsid w:val="0049475D"/>
    <w:rsid w:val="004A2CEE"/>
    <w:rsid w:val="004D00DA"/>
    <w:rsid w:val="005177FD"/>
    <w:rsid w:val="005A4BB8"/>
    <w:rsid w:val="005B693D"/>
    <w:rsid w:val="005C6A1C"/>
    <w:rsid w:val="005D436E"/>
    <w:rsid w:val="00607385"/>
    <w:rsid w:val="00607BA1"/>
    <w:rsid w:val="00632D42"/>
    <w:rsid w:val="00661C49"/>
    <w:rsid w:val="00674AEC"/>
    <w:rsid w:val="00676C58"/>
    <w:rsid w:val="00681E42"/>
    <w:rsid w:val="00693438"/>
    <w:rsid w:val="006941D1"/>
    <w:rsid w:val="006B2001"/>
    <w:rsid w:val="007130FF"/>
    <w:rsid w:val="00727813"/>
    <w:rsid w:val="00746163"/>
    <w:rsid w:val="00753673"/>
    <w:rsid w:val="0079189C"/>
    <w:rsid w:val="007A0856"/>
    <w:rsid w:val="007C3450"/>
    <w:rsid w:val="007C3D5D"/>
    <w:rsid w:val="008004A7"/>
    <w:rsid w:val="00805B1D"/>
    <w:rsid w:val="00806914"/>
    <w:rsid w:val="008247FE"/>
    <w:rsid w:val="00863CDE"/>
    <w:rsid w:val="0087590D"/>
    <w:rsid w:val="008770D1"/>
    <w:rsid w:val="008B39E6"/>
    <w:rsid w:val="008D173B"/>
    <w:rsid w:val="008D4BE9"/>
    <w:rsid w:val="008F25D3"/>
    <w:rsid w:val="008F5676"/>
    <w:rsid w:val="00910CA7"/>
    <w:rsid w:val="0092276B"/>
    <w:rsid w:val="00935E0B"/>
    <w:rsid w:val="00946075"/>
    <w:rsid w:val="00954CF7"/>
    <w:rsid w:val="009655A7"/>
    <w:rsid w:val="0098726C"/>
    <w:rsid w:val="00997972"/>
    <w:rsid w:val="009D5109"/>
    <w:rsid w:val="009E3BAB"/>
    <w:rsid w:val="009F00DE"/>
    <w:rsid w:val="00A0043A"/>
    <w:rsid w:val="00A359EC"/>
    <w:rsid w:val="00A376F0"/>
    <w:rsid w:val="00AB23C2"/>
    <w:rsid w:val="00AD7811"/>
    <w:rsid w:val="00AF4DDF"/>
    <w:rsid w:val="00B047D0"/>
    <w:rsid w:val="00B17841"/>
    <w:rsid w:val="00B406C6"/>
    <w:rsid w:val="00B74274"/>
    <w:rsid w:val="00B76039"/>
    <w:rsid w:val="00BA4106"/>
    <w:rsid w:val="00BB6C66"/>
    <w:rsid w:val="00BC44B0"/>
    <w:rsid w:val="00BC573A"/>
    <w:rsid w:val="00BE73DA"/>
    <w:rsid w:val="00C33DDA"/>
    <w:rsid w:val="00C77C16"/>
    <w:rsid w:val="00C95E0A"/>
    <w:rsid w:val="00C9783B"/>
    <w:rsid w:val="00D202A5"/>
    <w:rsid w:val="00D6144D"/>
    <w:rsid w:val="00D706AB"/>
    <w:rsid w:val="00DA6958"/>
    <w:rsid w:val="00E35A5A"/>
    <w:rsid w:val="00E36D3E"/>
    <w:rsid w:val="00E4075A"/>
    <w:rsid w:val="00E61AB6"/>
    <w:rsid w:val="00E964E4"/>
    <w:rsid w:val="00EB09E0"/>
    <w:rsid w:val="00EE1C20"/>
    <w:rsid w:val="00F23F37"/>
    <w:rsid w:val="00F36184"/>
    <w:rsid w:val="00F61DF7"/>
    <w:rsid w:val="00F851CA"/>
    <w:rsid w:val="00FD2A2A"/>
    <w:rsid w:val="027B6EC9"/>
    <w:rsid w:val="0A302DDC"/>
    <w:rsid w:val="0A8D3EE2"/>
    <w:rsid w:val="0FFE370C"/>
    <w:rsid w:val="10FD27E4"/>
    <w:rsid w:val="11987F0B"/>
    <w:rsid w:val="12815C99"/>
    <w:rsid w:val="14A959A2"/>
    <w:rsid w:val="19A2391A"/>
    <w:rsid w:val="19C92D4B"/>
    <w:rsid w:val="1BFC09F0"/>
    <w:rsid w:val="1D145E1B"/>
    <w:rsid w:val="1E4C2367"/>
    <w:rsid w:val="273C459A"/>
    <w:rsid w:val="27705140"/>
    <w:rsid w:val="2B031B14"/>
    <w:rsid w:val="2C9D5282"/>
    <w:rsid w:val="33AD026C"/>
    <w:rsid w:val="345A3AD0"/>
    <w:rsid w:val="3B784D69"/>
    <w:rsid w:val="415E3244"/>
    <w:rsid w:val="43E65C70"/>
    <w:rsid w:val="456816F0"/>
    <w:rsid w:val="47095999"/>
    <w:rsid w:val="47E44403"/>
    <w:rsid w:val="48C2779D"/>
    <w:rsid w:val="49F12A46"/>
    <w:rsid w:val="4A2A09B3"/>
    <w:rsid w:val="4DCE0B94"/>
    <w:rsid w:val="515D57DD"/>
    <w:rsid w:val="528205F8"/>
    <w:rsid w:val="52CF44EB"/>
    <w:rsid w:val="52DA0283"/>
    <w:rsid w:val="5702175C"/>
    <w:rsid w:val="573F72B3"/>
    <w:rsid w:val="59F94986"/>
    <w:rsid w:val="5A623CE1"/>
    <w:rsid w:val="5B7200D7"/>
    <w:rsid w:val="5C680FCD"/>
    <w:rsid w:val="5CF2789D"/>
    <w:rsid w:val="674A6FD9"/>
    <w:rsid w:val="68336E40"/>
    <w:rsid w:val="684D5D12"/>
    <w:rsid w:val="687C7782"/>
    <w:rsid w:val="6E455DEC"/>
    <w:rsid w:val="73B267FB"/>
    <w:rsid w:val="76BF7ABD"/>
    <w:rsid w:val="794C0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rPr>
  </w:style>
  <w:style w:type="character" w:customStyle="1" w:styleId="7">
    <w:name w:val="页眉 字符"/>
    <w:basedOn w:val="5"/>
    <w:link w:val="3"/>
    <w:autoRedefine/>
    <w:qFormat/>
    <w:uiPriority w:val="99"/>
    <w:rPr>
      <w:rFonts w:ascii="Times New Roman" w:hAnsi="Times New Roman"/>
      <w:kern w:val="2"/>
      <w:sz w:val="18"/>
      <w:szCs w:val="18"/>
    </w:rPr>
  </w:style>
  <w:style w:type="character" w:customStyle="1" w:styleId="8">
    <w:name w:val="页脚 字符"/>
    <w:basedOn w:val="5"/>
    <w:link w:val="2"/>
    <w:autoRedefine/>
    <w:qFormat/>
    <w:uiPriority w:val="99"/>
    <w:rPr>
      <w:rFonts w:ascii="Times New Roman" w:hAnsi="Times New Roman"/>
      <w:kern w:val="2"/>
      <w:sz w:val="18"/>
      <w:szCs w:val="18"/>
    </w:rPr>
  </w:style>
  <w:style w:type="paragraph" w:customStyle="1" w:styleId="9">
    <w:name w:val="表内"/>
    <w:basedOn w:val="1"/>
    <w:autoRedefine/>
    <w:qFormat/>
    <w:uiPriority w:val="0"/>
    <w:pPr>
      <w:spacing w:line="300" w:lineRule="exact"/>
      <w:ind w:firstLine="0" w:firstLineChars="0"/>
      <w:jc w:val="center"/>
    </w:pPr>
    <w:rPr>
      <w:rFonts w:hint="eastAsia"/>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55277C-B54E-4F17-B4C4-C3E6C1D5B8CD}">
  <ds:schemaRefs/>
</ds:datastoreItem>
</file>

<file path=docProps/app.xml><?xml version="1.0" encoding="utf-8"?>
<Properties xmlns="http://schemas.openxmlformats.org/officeDocument/2006/extended-properties" xmlns:vt="http://schemas.openxmlformats.org/officeDocument/2006/docPropsVTypes">
  <Template>Normal.dotm</Template>
  <Pages>8</Pages>
  <Words>5578</Words>
  <Characters>6092</Characters>
  <Lines>34</Lines>
  <Paragraphs>9</Paragraphs>
  <TotalTime>8</TotalTime>
  <ScaleCrop>false</ScaleCrop>
  <LinksUpToDate>false</LinksUpToDate>
  <CharactersWithSpaces>6105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2021-05-19T08:27:00Z</dcterms:created>
  <dc:creator>lenovo</dc:creator>
  <cp:lastModifiedBy>送送</cp:lastModifiedBy>
  <cp:lastPrinted>2020-10-30T06:29:00Z</cp:lastPrinted>
  <dcterms:modified xsi:type="dcterms:W3CDTF">2025-07-10T10:14:39Z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321714CC22184467AAAB1DA0511E697C_13</vt:lpwstr>
  </property>
  <property fmtid="{D5CDD505-2E9C-101B-9397-08002B2CF9AE}" pid="4" name="KSOTemplateDocerSaveRecord">
    <vt:lpwstr>eyJoZGlkIjoiNDVlZmQyZjg4MzI5NTBhYmIyZWMxYjk4MzMyMTIwYWMiLCJ1c2VySWQiOiI0MzA0MzQzNjkifQ==</vt:lpwstr>
  </property>
</Properties>
</file>