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375934">
      <w:pPr>
        <w:ind w:left="321" w:leftChars="153" w:right="227"/>
        <w:jc w:val="center"/>
        <w:rPr>
          <w:rFonts w:eastAsia="黑体"/>
          <w:b/>
          <w:bCs/>
          <w:sz w:val="36"/>
          <w:szCs w:val="36"/>
        </w:rPr>
      </w:pPr>
      <w:r>
        <w:rPr>
          <w:rFonts w:hint="eastAsia" w:eastAsia="黑体"/>
          <w:b/>
          <w:bCs/>
          <w:iCs/>
          <w:sz w:val="36"/>
          <w:szCs w:val="36"/>
          <w:u w:val="single"/>
        </w:rPr>
        <w:t>信息资源管理</w:t>
      </w:r>
      <w:r>
        <w:rPr>
          <w:rFonts w:eastAsia="黑体"/>
          <w:b/>
          <w:bCs/>
          <w:sz w:val="36"/>
          <w:szCs w:val="36"/>
        </w:rPr>
        <w:t>专业学术学位博士研究生培养方案</w:t>
      </w:r>
    </w:p>
    <w:p w14:paraId="1E65CD26">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管理</w:t>
      </w:r>
      <w:r>
        <w:rPr>
          <w:rFonts w:eastAsia="黑体"/>
          <w:b/>
          <w:bCs/>
          <w:sz w:val="28"/>
          <w:szCs w:val="28"/>
        </w:rPr>
        <w:t>学院)</w:t>
      </w:r>
    </w:p>
    <w:p w14:paraId="2F9CBF9B">
      <w:pPr>
        <w:spacing w:line="360" w:lineRule="auto"/>
        <w:ind w:firstLine="560"/>
        <w:rPr>
          <w:rFonts w:eastAsia="黑体"/>
          <w:bCs/>
          <w:sz w:val="28"/>
          <w:szCs w:val="28"/>
        </w:rPr>
      </w:pPr>
      <w:r>
        <w:rPr>
          <w:rFonts w:eastAsia="黑体"/>
          <w:bCs/>
          <w:sz w:val="28"/>
          <w:szCs w:val="28"/>
        </w:rPr>
        <w:t>一、专业名称、代码</w:t>
      </w:r>
    </w:p>
    <w:p w14:paraId="2B6F7580">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信息资源管理</w:t>
      </w:r>
    </w:p>
    <w:p w14:paraId="6DFB8152">
      <w:pPr>
        <w:widowControl/>
        <w:spacing w:line="360" w:lineRule="auto"/>
        <w:ind w:firstLine="960" w:firstLineChars="400"/>
        <w:jc w:val="left"/>
        <w:rPr>
          <w:color w:val="222222"/>
          <w:kern w:val="0"/>
          <w:sz w:val="18"/>
          <w:szCs w:val="18"/>
        </w:rPr>
      </w:pPr>
      <w:r>
        <w:rPr>
          <w:color w:val="222222"/>
          <w:kern w:val="0"/>
          <w:sz w:val="24"/>
        </w:rPr>
        <w:t>专业代码：1205</w:t>
      </w:r>
    </w:p>
    <w:p w14:paraId="649D0E1D">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8335AF4">
      <w:pPr>
        <w:spacing w:line="360" w:lineRule="auto"/>
        <w:ind w:firstLine="480" w:firstLineChars="200"/>
        <w:rPr>
          <w:rFonts w:eastAsiaTheme="minorEastAsia"/>
          <w:iCs/>
          <w:color w:val="FF0000"/>
          <w:sz w:val="24"/>
        </w:rPr>
      </w:pPr>
      <w:r>
        <w:rPr>
          <w:rFonts w:hint="eastAsia" w:eastAsiaTheme="minorEastAsia"/>
          <w:iCs/>
          <w:sz w:val="24"/>
        </w:rPr>
        <w:t>信息资源管理一级学科博士点，属于管理学科门类，学科代码1205。目前主要开展信息资源管理开发利用管理机制研究、图书馆与公共文化研究、数据管理与情报服务研究、以及文献与档案信息服务研究。探索政府信息资源、企业信息资源、网络信息资源等各类型信息资源开放利用的方式方法、以及对其过程管理的内容与模式；以图书馆发展研究为核心，开展京津冀协同发展中的公共文化服务体系建设研究；研究大数据环境下信息处理与加工方法、以及情报分析与智库建设；开展面向政府机构和各种企事业单位、社会团体的文献和档案信息服务研究、以及各类文献包括雄安文献的整理研究。从学科整体角度来看，既包括对信息管理所涉的相关事业、组织、资源管理的研究，也包括对信息管理活动本体的研究。本学科体系较为完整，涵盖了信息资源管理以及学科的主要专业领域。</w:t>
      </w:r>
    </w:p>
    <w:p w14:paraId="65353C79">
      <w:pPr>
        <w:spacing w:line="360" w:lineRule="auto"/>
        <w:ind w:firstLine="560" w:firstLineChars="200"/>
        <w:rPr>
          <w:rFonts w:eastAsia="黑体"/>
          <w:bCs/>
          <w:sz w:val="28"/>
          <w:szCs w:val="28"/>
        </w:rPr>
      </w:pPr>
      <w:r>
        <w:rPr>
          <w:rFonts w:eastAsia="黑体"/>
          <w:bCs/>
          <w:sz w:val="28"/>
          <w:szCs w:val="28"/>
        </w:rPr>
        <w:t>三、研究方向</w:t>
      </w:r>
    </w:p>
    <w:p w14:paraId="78023335">
      <w:pPr>
        <w:spacing w:line="360" w:lineRule="auto"/>
        <w:ind w:firstLine="480" w:firstLineChars="200"/>
        <w:rPr>
          <w:rFonts w:eastAsiaTheme="minorEastAsia"/>
          <w:iCs/>
          <w:sz w:val="24"/>
        </w:rPr>
      </w:pPr>
      <w:r>
        <w:rPr>
          <w:rFonts w:hint="eastAsia" w:eastAsiaTheme="minorEastAsia"/>
          <w:iCs/>
          <w:sz w:val="24"/>
        </w:rPr>
        <w:t>目前本一级学科设有五个研究方向：</w:t>
      </w:r>
    </w:p>
    <w:p w14:paraId="077369D9">
      <w:pPr>
        <w:spacing w:line="360" w:lineRule="auto"/>
        <w:ind w:firstLine="480" w:firstLineChars="200"/>
        <w:rPr>
          <w:rFonts w:eastAsiaTheme="minorEastAsia"/>
          <w:iCs/>
          <w:sz w:val="24"/>
        </w:rPr>
      </w:pPr>
      <w:r>
        <w:rPr>
          <w:rFonts w:hint="eastAsia" w:eastAsiaTheme="minorEastAsia"/>
          <w:iCs/>
          <w:sz w:val="24"/>
        </w:rPr>
        <w:t>1．信息资源管理</w:t>
      </w:r>
    </w:p>
    <w:p w14:paraId="71B06B64">
      <w:pPr>
        <w:spacing w:line="360" w:lineRule="auto"/>
        <w:ind w:firstLine="480" w:firstLineChars="200"/>
        <w:rPr>
          <w:rFonts w:eastAsiaTheme="minorEastAsia"/>
          <w:iCs/>
          <w:sz w:val="24"/>
        </w:rPr>
      </w:pPr>
      <w:r>
        <w:rPr>
          <w:rFonts w:hint="eastAsia" w:eastAsiaTheme="minorEastAsia"/>
          <w:iCs/>
          <w:sz w:val="24"/>
        </w:rPr>
        <w:t>信息资源管理方向是研究信息交流规律、信息资源管理原理、信息资源内容揭示与组织方法、信息资源开发利用等方面的基础理论和应用；研究数字信息资源长期保存管理机制、数字资源内容组织原理以及数字信息资源服务组织等；研究特点领域如政府信息资源管理、企业信息资源管理的方式方法；研究信息资源质量评估内容和实施；研究信息资源的社会化组织和利用中的知识产权的形成和知识产权保护机制；研究信息资源组织和服务中存在的问题以及相关的制度、法律和社会道德等；研究信息化建设目标、模式与特点等。</w:t>
      </w:r>
    </w:p>
    <w:p w14:paraId="1814D910">
      <w:pPr>
        <w:spacing w:line="360" w:lineRule="auto"/>
        <w:ind w:firstLine="480" w:firstLineChars="200"/>
        <w:rPr>
          <w:rFonts w:eastAsiaTheme="minorEastAsia"/>
          <w:iCs/>
          <w:sz w:val="24"/>
        </w:rPr>
      </w:pPr>
      <w:r>
        <w:rPr>
          <w:rFonts w:hint="eastAsia" w:eastAsiaTheme="minorEastAsia"/>
          <w:iCs/>
          <w:sz w:val="24"/>
        </w:rPr>
        <w:t>2．图书馆学</w:t>
      </w:r>
    </w:p>
    <w:p w14:paraId="72D7E67E">
      <w:pPr>
        <w:spacing w:line="360" w:lineRule="auto"/>
        <w:ind w:firstLine="480" w:firstLineChars="200"/>
        <w:rPr>
          <w:rFonts w:eastAsiaTheme="minorEastAsia"/>
          <w:iCs/>
          <w:sz w:val="24"/>
        </w:rPr>
      </w:pPr>
      <w:r>
        <w:rPr>
          <w:rFonts w:hint="eastAsia" w:eastAsiaTheme="minorEastAsia"/>
          <w:iCs/>
          <w:sz w:val="24"/>
        </w:rPr>
        <w:t>图书馆学是研究各类文献（包括实体的和网络的）的收集、整理、保藏和读者利用以及文献信息交流和传播规律的一门科学。本方向的研究特色是图书馆学基础理论、图书馆阅读推广、图书馆信息服务、信息组织与描述、图书馆建筑等。本方向致力于培养学生具有扎实的图书馆学基本理论、基础知识和技能，掌握图书馆现代化新技术，对本学科发展中的前沿课题进行深入研究并获得进展，满足社会各界对文献信息评价、采集、组织、开发和利用需要的高层次专门人才。</w:t>
      </w:r>
    </w:p>
    <w:p w14:paraId="5FB26C01">
      <w:pPr>
        <w:spacing w:line="360" w:lineRule="auto"/>
        <w:ind w:firstLine="480" w:firstLineChars="200"/>
        <w:rPr>
          <w:rFonts w:eastAsiaTheme="minorEastAsia"/>
          <w:iCs/>
          <w:sz w:val="24"/>
        </w:rPr>
      </w:pPr>
      <w:r>
        <w:rPr>
          <w:rFonts w:hint="eastAsia" w:eastAsiaTheme="minorEastAsia"/>
          <w:iCs/>
          <w:sz w:val="24"/>
        </w:rPr>
        <w:t>3．情报学</w:t>
      </w:r>
    </w:p>
    <w:p w14:paraId="5AE6427F">
      <w:pPr>
        <w:spacing w:line="360" w:lineRule="auto"/>
        <w:ind w:firstLine="480" w:firstLineChars="200"/>
        <w:rPr>
          <w:rFonts w:eastAsiaTheme="minorEastAsia"/>
          <w:iCs/>
          <w:sz w:val="24"/>
        </w:rPr>
      </w:pPr>
      <w:r>
        <w:rPr>
          <w:rFonts w:hint="eastAsia" w:eastAsiaTheme="minorEastAsia"/>
          <w:iCs/>
          <w:sz w:val="24"/>
        </w:rPr>
        <w:t>情报学是研究情报的构成、组织、交流、开发利用及社会情报活动规律的一门科学。信息新技术的发展，使情报学的研究已深入到各个学科领域。本方向的研究特色是既保持了传统情报学研究基础，又积极借鉴其他学科的方法，在信息组织和信息检索技术、情报分析等方面进行诸多创新性研究。同时，针对目前用户信息行为的新变化，重视用户协作信息行为方面的研究。本方向致力于培养一些具有扎实的情报学基本理论，基础知识和技能，对情报学发展中的前沿课题能深入进行研究并获得进展，满足社会对情报信息分析及开发利用需要的高层次专门人才。</w:t>
      </w:r>
    </w:p>
    <w:p w14:paraId="4E91DDB3">
      <w:pPr>
        <w:spacing w:line="360" w:lineRule="auto"/>
        <w:ind w:firstLine="480" w:firstLineChars="200"/>
        <w:rPr>
          <w:rFonts w:eastAsiaTheme="minorEastAsia"/>
          <w:iCs/>
          <w:sz w:val="24"/>
        </w:rPr>
      </w:pPr>
      <w:r>
        <w:rPr>
          <w:rFonts w:hint="eastAsia" w:eastAsiaTheme="minorEastAsia"/>
          <w:iCs/>
          <w:sz w:val="24"/>
        </w:rPr>
        <w:t>4．档案学</w:t>
      </w:r>
    </w:p>
    <w:p w14:paraId="4CF2F484">
      <w:pPr>
        <w:spacing w:line="360" w:lineRule="auto"/>
        <w:ind w:firstLine="480" w:firstLineChars="200"/>
        <w:rPr>
          <w:rFonts w:eastAsiaTheme="minorEastAsia"/>
          <w:iCs/>
          <w:sz w:val="24"/>
        </w:rPr>
      </w:pPr>
      <w:r>
        <w:rPr>
          <w:rFonts w:hint="eastAsia" w:eastAsiaTheme="minorEastAsia"/>
          <w:iCs/>
          <w:sz w:val="24"/>
        </w:rPr>
        <w:t>档案学是探索档案、档案工作和档案事业等档案现象的本质和规律，研究档案信息资源管理与开发的理论、原则与方法的学科。本方向的研究涵盖档案学基础理论、档案事业发展史、档案资源与开发利用、档案工作技术、档案安全等方面，研究内容既包括传统档案工作的基础理论、基本知识和技能，更包含数智时代档案工作的新思想、新问题、新方法。本方向致力于培养具备档案学领域扎实深厚的理论基础、全面深入的专门知识，具有独立从事档案学术研究的创新能力，能够胜任数智时代档案工作的高层次专门人才。</w:t>
      </w:r>
    </w:p>
    <w:p w14:paraId="1F9B59A7">
      <w:pPr>
        <w:spacing w:line="360" w:lineRule="auto"/>
        <w:ind w:firstLine="480" w:firstLineChars="200"/>
        <w:rPr>
          <w:rFonts w:eastAsiaTheme="minorEastAsia"/>
          <w:iCs/>
          <w:sz w:val="24"/>
        </w:rPr>
      </w:pPr>
      <w:r>
        <w:rPr>
          <w:rFonts w:hint="eastAsia" w:eastAsiaTheme="minorEastAsia"/>
          <w:iCs/>
          <w:sz w:val="24"/>
        </w:rPr>
        <w:t>5．文献学</w:t>
      </w:r>
    </w:p>
    <w:p w14:paraId="465DD548">
      <w:pPr>
        <w:spacing w:line="360" w:lineRule="auto"/>
        <w:ind w:firstLine="480" w:firstLineChars="200"/>
        <w:rPr>
          <w:rFonts w:eastAsiaTheme="minorEastAsia"/>
          <w:iCs/>
          <w:sz w:val="24"/>
        </w:rPr>
      </w:pPr>
      <w:r>
        <w:rPr>
          <w:rFonts w:hint="eastAsia" w:eastAsiaTheme="minorEastAsia"/>
          <w:iCs/>
          <w:sz w:val="24"/>
        </w:rPr>
        <w:t>文献学是研究文献的产生、发展、整理、保护、利用及其规律的科学。本方向立足于信息资源管理学科体系，融合传统文献学理论与现代信息技术，培养具备文献信息资源管理和研究能力的复合型人才。文献学的研究重点是对文献的有序整理、保护修复、开发利用。其中，有序整理即传统意义上的版本、校勘、目录学研究，保护修复即科学保护文献的方法、手段与修复技术研究，开发利用即借助相关技术对文献进行加工、传播、挖掘、分析。本专业注重培养学生的信息素养、文化传承与创新能力，为文化强国建设输送高素质的文献管理研究专业人才。</w:t>
      </w:r>
    </w:p>
    <w:p w14:paraId="18CC1781">
      <w:pPr>
        <w:spacing w:line="360" w:lineRule="auto"/>
        <w:ind w:firstLine="560" w:firstLineChars="200"/>
        <w:rPr>
          <w:rFonts w:eastAsia="黑体"/>
          <w:bCs/>
          <w:sz w:val="28"/>
          <w:szCs w:val="28"/>
        </w:rPr>
      </w:pPr>
      <w:r>
        <w:rPr>
          <w:rFonts w:eastAsia="黑体"/>
          <w:bCs/>
          <w:sz w:val="28"/>
          <w:szCs w:val="28"/>
        </w:rPr>
        <w:t>四、学制及学习年限</w:t>
      </w:r>
    </w:p>
    <w:p w14:paraId="68AE7C5D">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08E5E716">
      <w:pPr>
        <w:spacing w:line="360" w:lineRule="auto"/>
        <w:ind w:firstLine="560" w:firstLineChars="200"/>
        <w:rPr>
          <w:rFonts w:eastAsia="黑体"/>
          <w:bCs/>
          <w:sz w:val="28"/>
          <w:szCs w:val="28"/>
        </w:rPr>
      </w:pPr>
      <w:r>
        <w:rPr>
          <w:rFonts w:eastAsia="黑体"/>
          <w:bCs/>
          <w:sz w:val="28"/>
          <w:szCs w:val="28"/>
        </w:rPr>
        <w:t>五、培养目标</w:t>
      </w:r>
    </w:p>
    <w:p w14:paraId="5713F336">
      <w:pPr>
        <w:spacing w:line="360" w:lineRule="auto"/>
        <w:ind w:firstLine="480"/>
        <w:rPr>
          <w:rFonts w:eastAsiaTheme="minorEastAsia"/>
          <w:iCs/>
          <w:sz w:val="24"/>
        </w:rPr>
      </w:pPr>
      <w:r>
        <w:rPr>
          <w:rFonts w:hint="eastAsia" w:eastAsiaTheme="minorEastAsia"/>
          <w:iCs/>
          <w:sz w:val="24"/>
        </w:rPr>
        <w:t>1．思想政治与道德修养。树立正确的中国特色社会主义核心价值观，具有坚定的理想信念，高尚的道德情操，优良的学术作风，高度的社会责任感。热爱祖国，遵纪守法，品行端正。培养德智体美劳全面发展的社会主义建设者和接班人。</w:t>
      </w:r>
    </w:p>
    <w:p w14:paraId="33663742">
      <w:pPr>
        <w:spacing w:line="360" w:lineRule="auto"/>
        <w:ind w:firstLine="480"/>
        <w:rPr>
          <w:rFonts w:eastAsiaTheme="minorEastAsia"/>
          <w:iCs/>
          <w:sz w:val="24"/>
        </w:rPr>
      </w:pPr>
      <w:r>
        <w:rPr>
          <w:rFonts w:hint="eastAsia" w:eastAsiaTheme="minorEastAsia"/>
          <w:iCs/>
          <w:sz w:val="24"/>
        </w:rPr>
        <w:t>2．专业知识与科研能力。掌握坚实宽广的基础理论和系统深入的专门知识，掌握本学科的科学研究方法及必要的现代实验方法和技能，熟悉本学科的前沿研究领域，具有独立从事科学研究和解决实际问题的能力。具有运用专业知识和研究能力从事信息资源管理相关工作。学位论文要求具有较高的学术意义或应用价值，并具有一定的创新性。</w:t>
      </w:r>
    </w:p>
    <w:p w14:paraId="7362B43E">
      <w:pPr>
        <w:spacing w:line="360" w:lineRule="auto"/>
        <w:ind w:firstLine="480"/>
        <w:rPr>
          <w:rFonts w:eastAsiaTheme="minorEastAsia"/>
          <w:iCs/>
          <w:sz w:val="24"/>
        </w:rPr>
      </w:pPr>
      <w:r>
        <w:rPr>
          <w:rFonts w:hint="eastAsia" w:eastAsiaTheme="minorEastAsia"/>
          <w:iCs/>
          <w:sz w:val="24"/>
        </w:rPr>
        <w:t>3．外语与国际交流能力。至少掌握一门外国语，能熟练阅读本专业的外文资料，具有进行国际学术交流的能力。</w:t>
      </w:r>
    </w:p>
    <w:p w14:paraId="2CA9A37D">
      <w:pPr>
        <w:spacing w:line="360" w:lineRule="auto"/>
        <w:ind w:firstLine="480"/>
        <w:rPr>
          <w:rFonts w:eastAsiaTheme="minorEastAsia"/>
          <w:iCs/>
          <w:sz w:val="24"/>
        </w:rPr>
      </w:pPr>
      <w:r>
        <w:rPr>
          <w:rFonts w:hint="eastAsia" w:eastAsiaTheme="minorEastAsia"/>
          <w:iCs/>
          <w:sz w:val="24"/>
        </w:rPr>
        <w:t>4．团队协作与社会适应能力。具有良好的团队意识和团队合作精神，能够适应跨学科、跨机构的研究与合作。</w:t>
      </w:r>
    </w:p>
    <w:p w14:paraId="503D255A">
      <w:pPr>
        <w:spacing w:line="360" w:lineRule="auto"/>
        <w:ind w:firstLine="480"/>
        <w:rPr>
          <w:rFonts w:eastAsiaTheme="minorEastAsia"/>
          <w:i/>
          <w:color w:val="FF0000"/>
          <w:sz w:val="24"/>
        </w:rPr>
      </w:pPr>
      <w:r>
        <w:rPr>
          <w:rFonts w:hint="eastAsia" w:eastAsiaTheme="minorEastAsia"/>
          <w:iCs/>
          <w:sz w:val="24"/>
        </w:rPr>
        <w:t>5．身心健康与综合素质。具有健康的身体和良好的心理素质，能够胜任高强度的学术研究工作。注重德智体美劳全面发展，具备较高的文化素养和社会责任感。</w:t>
      </w:r>
    </w:p>
    <w:p w14:paraId="54CECAC1">
      <w:pPr>
        <w:spacing w:line="360" w:lineRule="auto"/>
        <w:ind w:firstLine="560" w:firstLineChars="200"/>
        <w:rPr>
          <w:rFonts w:eastAsia="黑体"/>
          <w:bCs/>
          <w:sz w:val="28"/>
          <w:szCs w:val="28"/>
        </w:rPr>
      </w:pPr>
      <w:r>
        <w:rPr>
          <w:rFonts w:hint="eastAsia" w:eastAsia="黑体"/>
          <w:bCs/>
          <w:sz w:val="28"/>
          <w:szCs w:val="28"/>
        </w:rPr>
        <w:t>六、培养方式</w:t>
      </w:r>
    </w:p>
    <w:p w14:paraId="1B9158EF">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本专业波斯灰研究生培养采取导师负责与导师组集体指导相结合的培养模式，注重理论与实践相结合、科研与教学相促进的培养方式，培养研究生的创新能力和独立科研能力。具体培养方式如下：</w:t>
      </w:r>
    </w:p>
    <w:p w14:paraId="320D9A92">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1．导师负责制。实行导师个别指导与导师组集体培养相结合的方式。新生入学后双向选择确定导师，由导师负责制定个人培养计划。同时成立由3-5名相关领域专家组成的导师组，定期开展集体指导活动。</w:t>
      </w:r>
    </w:p>
    <w:p w14:paraId="4EEFB365">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2．课程教学。采用课堂讲授、专题研讨、案例分析等多种教学方法。核心课程由学科带头人领衔授课，注重启发式、讨论式教学。鼓励跨学科、跨专业选修相关课程，拓宽学术视野。</w:t>
      </w:r>
    </w:p>
    <w:p w14:paraId="5CC21A28">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3．科研训练。要求研究生参与导师科研项目，定期参加学术报告会、文献研读会等学术活动。鼓励在学期间发表学术论文，参加国内外学术会议。</w:t>
      </w:r>
    </w:p>
    <w:p w14:paraId="484DA5A3">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4．学术交流。邀请国内外知名学者举办专题讲座，支持研究生参加国内外学术会议和访学交流。鼓励参与国际合作研究项目。</w:t>
      </w:r>
    </w:p>
    <w:p w14:paraId="1C453EE2">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5．考核评价。建立全过程考核机制，包括课程考核、开题报告、中期筛选、预答辩等环节。注重学术道德和学术规范教育，实行学术不端“一票否决”制。</w:t>
      </w:r>
    </w:p>
    <w:p w14:paraId="278A25BE">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79D6A1FE">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3A11816A">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4C9E87F7">
      <w:pPr>
        <w:widowControl/>
        <w:spacing w:line="360" w:lineRule="auto"/>
        <w:ind w:firstLine="480"/>
        <w:jc w:val="left"/>
        <w:rPr>
          <w:kern w:val="0"/>
          <w:sz w:val="18"/>
          <w:szCs w:val="18"/>
        </w:rPr>
      </w:pPr>
      <w:r>
        <w:rPr>
          <w:bCs/>
          <w:kern w:val="0"/>
          <w:sz w:val="24"/>
        </w:rPr>
        <w:t>1.总体要求</w:t>
      </w:r>
      <w:r>
        <w:rPr>
          <w:rFonts w:hint="eastAsia"/>
          <w:bCs/>
          <w:kern w:val="0"/>
          <w:sz w:val="24"/>
        </w:rPr>
        <w:t>。</w:t>
      </w:r>
      <w:r>
        <w:rPr>
          <w:kern w:val="0"/>
          <w:sz w:val="24"/>
        </w:rPr>
        <w:t>按照《河北大学关于开展2025版研究生培养方案修订工作的指导意见》（校政字</w:t>
      </w:r>
      <w:r>
        <w:rPr>
          <w:rFonts w:eastAsiaTheme="minorEastAsia"/>
          <w:bCs/>
          <w:sz w:val="24"/>
        </w:rPr>
        <w:t>〔2025〕9号</w:t>
      </w:r>
      <w:r>
        <w:rPr>
          <w:kern w:val="0"/>
          <w:sz w:val="24"/>
        </w:rPr>
        <w:t>）规定，博士研究生论文开题与答辩时间间隔原则上不少于18个月。学位（毕业）论文应当表明作者</w:t>
      </w:r>
      <w:r>
        <w:rPr>
          <w:rFonts w:eastAsiaTheme="minorEastAsia"/>
          <w:sz w:val="24"/>
        </w:rPr>
        <w:t>具有独立从事学术研究工作的能力， 在学术研究领域做出创新性成果。</w:t>
      </w:r>
    </w:p>
    <w:p w14:paraId="78D2DB01">
      <w:pPr>
        <w:widowControl/>
        <w:spacing w:line="360" w:lineRule="auto"/>
        <w:ind w:firstLine="480"/>
        <w:jc w:val="left"/>
        <w:rPr>
          <w:kern w:val="0"/>
          <w:sz w:val="18"/>
          <w:szCs w:val="18"/>
        </w:rPr>
      </w:pPr>
      <w:r>
        <w:rPr>
          <w:bCs/>
          <w:kern w:val="0"/>
          <w:sz w:val="24"/>
        </w:rPr>
        <w:t>2.开题</w:t>
      </w:r>
      <w:r>
        <w:rPr>
          <w:rFonts w:hint="eastAsia"/>
          <w:bCs/>
          <w:kern w:val="0"/>
          <w:sz w:val="24"/>
        </w:rPr>
        <w:t>。</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4C28B21E">
      <w:pPr>
        <w:widowControl/>
        <w:spacing w:line="360" w:lineRule="auto"/>
        <w:ind w:firstLine="480"/>
        <w:jc w:val="left"/>
        <w:rPr>
          <w:kern w:val="0"/>
          <w:sz w:val="18"/>
          <w:szCs w:val="18"/>
        </w:rPr>
      </w:pPr>
      <w:r>
        <w:rPr>
          <w:kern w:val="0"/>
          <w:sz w:val="24"/>
        </w:rPr>
        <w:t>原则上在入学后第3学期（最迟不超过第4学期）完成开题。开题由3-5名具有正高级专业技术职务人员参加，以学术报告的方式进行。</w:t>
      </w:r>
    </w:p>
    <w:p w14:paraId="5046135F">
      <w:pPr>
        <w:widowControl/>
        <w:spacing w:line="360" w:lineRule="auto"/>
        <w:ind w:firstLine="480"/>
        <w:jc w:val="left"/>
        <w:rPr>
          <w:kern w:val="0"/>
          <w:sz w:val="24"/>
        </w:rPr>
      </w:pPr>
      <w:r>
        <w:rPr>
          <w:bCs/>
          <w:kern w:val="0"/>
          <w:sz w:val="24"/>
        </w:rPr>
        <w:t>3.中期进展报告</w:t>
      </w:r>
      <w:r>
        <w:rPr>
          <w:rFonts w:hint="eastAsia"/>
          <w:bCs/>
          <w:kern w:val="0"/>
          <w:sz w:val="24"/>
        </w:rPr>
        <w:t>。</w:t>
      </w:r>
      <w:r>
        <w:rPr>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B6201A0">
      <w:pPr>
        <w:widowControl/>
        <w:spacing w:line="360" w:lineRule="auto"/>
        <w:ind w:firstLine="480"/>
        <w:jc w:val="left"/>
        <w:rPr>
          <w:kern w:val="0"/>
          <w:sz w:val="24"/>
        </w:rPr>
      </w:pPr>
      <w:r>
        <w:rPr>
          <w:bCs/>
          <w:kern w:val="0"/>
          <w:sz w:val="24"/>
        </w:rPr>
        <w:t>4.学位申请</w:t>
      </w:r>
      <w:r>
        <w:rPr>
          <w:rFonts w:hint="eastAsia"/>
          <w:bCs/>
          <w:kern w:val="0"/>
          <w:sz w:val="24"/>
        </w:rPr>
        <w:t>。</w:t>
      </w:r>
      <w:r>
        <w:rPr>
          <w:kern w:val="0"/>
          <w:sz w:val="24"/>
        </w:rPr>
        <w:t>达到学位授予条件的申请人，经导师同意后，应于答辩前三个月，向所属学位评定分委员会提出学位申请，提交学位申请材料。</w:t>
      </w:r>
    </w:p>
    <w:p w14:paraId="69E50FFE">
      <w:pPr>
        <w:widowControl/>
        <w:spacing w:line="360" w:lineRule="auto"/>
        <w:ind w:firstLine="480"/>
        <w:jc w:val="left"/>
        <w:rPr>
          <w:kern w:val="0"/>
          <w:sz w:val="24"/>
        </w:rPr>
      </w:pPr>
      <w:r>
        <w:rPr>
          <w:bCs/>
          <w:kern w:val="0"/>
          <w:sz w:val="24"/>
        </w:rPr>
        <w:t>5.预答辩</w:t>
      </w:r>
      <w:r>
        <w:rPr>
          <w:rFonts w:hint="eastAsia"/>
          <w:bCs/>
          <w:kern w:val="0"/>
          <w:sz w:val="24"/>
        </w:rPr>
        <w:t>。</w:t>
      </w:r>
      <w:r>
        <w:rPr>
          <w:kern w:val="0"/>
          <w:sz w:val="24"/>
        </w:rPr>
        <w:t>学位申请人须进行学位论文预答辩。预答辩通过者，方可进入学位论文评阅、学位论文答辩等环节。学位（毕业）论文预答辩在正式答辩前3个月进行。</w:t>
      </w:r>
    </w:p>
    <w:p w14:paraId="13A37E4F">
      <w:pPr>
        <w:widowControl/>
        <w:spacing w:line="360" w:lineRule="auto"/>
        <w:ind w:firstLine="480"/>
        <w:jc w:val="left"/>
        <w:rPr>
          <w:color w:val="222222"/>
          <w:kern w:val="0"/>
          <w:sz w:val="24"/>
        </w:rPr>
      </w:pPr>
      <w:r>
        <w:rPr>
          <w:bCs/>
          <w:kern w:val="0"/>
          <w:sz w:val="24"/>
        </w:rPr>
        <w:t>6.论文评阅</w:t>
      </w:r>
      <w:r>
        <w:rPr>
          <w:rFonts w:hint="eastAsia"/>
          <w:bCs/>
          <w:kern w:val="0"/>
          <w:sz w:val="24"/>
        </w:rPr>
        <w:t>。</w:t>
      </w:r>
      <w:r>
        <w:rPr>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023159EB">
      <w:pPr>
        <w:widowControl/>
        <w:spacing w:line="360" w:lineRule="auto"/>
        <w:ind w:firstLine="480"/>
        <w:jc w:val="left"/>
        <w:rPr>
          <w:rFonts w:eastAsiaTheme="minorEastAsia"/>
          <w:i/>
          <w:color w:val="FF0000"/>
          <w:sz w:val="24"/>
        </w:rPr>
      </w:pPr>
      <w:r>
        <w:rPr>
          <w:bCs/>
          <w:color w:val="222222"/>
          <w:kern w:val="0"/>
          <w:sz w:val="24"/>
        </w:rPr>
        <w:t>7.答辩</w:t>
      </w:r>
      <w:r>
        <w:rPr>
          <w:rFonts w:hint="eastAsia"/>
          <w:bCs/>
          <w:color w:val="222222"/>
          <w:kern w:val="0"/>
          <w:sz w:val="24"/>
        </w:rPr>
        <w:t>。</w:t>
      </w:r>
      <w:r>
        <w:rPr>
          <w:bCs/>
          <w:color w:val="222222"/>
          <w:kern w:val="0"/>
          <w:sz w:val="24"/>
        </w:rPr>
        <w:t>学位（毕业）论文答辩按照</w:t>
      </w:r>
      <w:r>
        <w:rPr>
          <w:color w:val="222222"/>
          <w:kern w:val="0"/>
          <w:sz w:val="24"/>
        </w:rPr>
        <w:t>《河北大学博士、硕士学位授予工作实施细则》（校政字〔2025〕7号）执行。</w:t>
      </w:r>
    </w:p>
    <w:p w14:paraId="3A534F3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29127EFF">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59EC5D7">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
          <w:color w:val="FF0000"/>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i/>
          <w:color w:val="FF0000"/>
          <w:sz w:val="24"/>
        </w:rPr>
        <w:t>2</w:t>
      </w:r>
      <w:r>
        <w:rPr>
          <w:rFonts w:eastAsiaTheme="minorEastAsia"/>
          <w:color w:val="000000"/>
          <w:sz w:val="24"/>
        </w:rPr>
        <w:t>次。</w:t>
      </w:r>
    </w:p>
    <w:p w14:paraId="09D930F0">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C372F0B">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C149A41">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351144C">
      <w:pPr>
        <w:spacing w:line="360" w:lineRule="auto"/>
        <w:ind w:firstLine="480" w:firstLineChars="200"/>
        <w:rPr>
          <w:rFonts w:eastAsiaTheme="minorEastAsia"/>
          <w:iCs/>
          <w:sz w:val="24"/>
        </w:rPr>
      </w:pPr>
      <w:r>
        <w:rPr>
          <w:rFonts w:hint="eastAsia" w:eastAsiaTheme="minorEastAsia"/>
          <w:iCs/>
          <w:sz w:val="24"/>
        </w:rPr>
        <w:t>1. 学术研究成果。包括在学术期刊发表学术论文、独立或参与出版学术著作、参与科研项目并做出实质性贡献等。</w:t>
      </w:r>
    </w:p>
    <w:p w14:paraId="525BA8A5">
      <w:pPr>
        <w:spacing w:line="360" w:lineRule="auto"/>
        <w:ind w:firstLine="480" w:firstLineChars="200"/>
        <w:rPr>
          <w:rFonts w:eastAsiaTheme="minorEastAsia"/>
          <w:iCs/>
          <w:sz w:val="24"/>
        </w:rPr>
      </w:pPr>
      <w:r>
        <w:rPr>
          <w:rFonts w:hint="eastAsia" w:eastAsiaTheme="minorEastAsia"/>
          <w:iCs/>
          <w:sz w:val="24"/>
        </w:rPr>
        <w:t>2. 实践应用成果。包括工作方案、调研报告、文创、各类实践项目等。</w:t>
      </w:r>
    </w:p>
    <w:p w14:paraId="3C7EECD7">
      <w:pPr>
        <w:spacing w:line="360" w:lineRule="auto"/>
        <w:ind w:firstLine="480" w:firstLineChars="200"/>
        <w:rPr>
          <w:rFonts w:eastAsiaTheme="minorEastAsia"/>
          <w:iCs/>
          <w:sz w:val="24"/>
        </w:rPr>
      </w:pPr>
      <w:r>
        <w:rPr>
          <w:rFonts w:hint="eastAsia" w:eastAsiaTheme="minorEastAsia"/>
          <w:iCs/>
          <w:sz w:val="24"/>
        </w:rPr>
        <w:t>3. 学术交流成果。包括会议论文、在相关学术会议作专题报告、征文获奖、学术竞赛奖项、专业(行业)展览展示、学术翻译作品、参与组织有影响力的学术活动等。</w:t>
      </w:r>
    </w:p>
    <w:p w14:paraId="5D6E80C2">
      <w:pPr>
        <w:spacing w:line="360" w:lineRule="auto"/>
        <w:ind w:firstLine="480" w:firstLineChars="200"/>
        <w:rPr>
          <w:rFonts w:eastAsiaTheme="minorEastAsia"/>
          <w:iCs/>
          <w:sz w:val="24"/>
        </w:rPr>
      </w:pPr>
      <w:r>
        <w:rPr>
          <w:rFonts w:hint="eastAsia" w:eastAsiaTheme="minorEastAsia"/>
          <w:iCs/>
          <w:sz w:val="24"/>
        </w:rPr>
        <w:t>4. 社会服务成果。策划、展览、宣讲等。</w:t>
      </w:r>
    </w:p>
    <w:p w14:paraId="734E87D0">
      <w:pPr>
        <w:spacing w:line="360" w:lineRule="auto"/>
        <w:ind w:firstLine="560" w:firstLineChars="200"/>
        <w:rPr>
          <w:rFonts w:eastAsia="黑体"/>
          <w:bCs/>
          <w:sz w:val="28"/>
          <w:szCs w:val="28"/>
        </w:rPr>
      </w:pPr>
      <w:r>
        <w:rPr>
          <w:rFonts w:eastAsia="黑体"/>
          <w:bCs/>
          <w:sz w:val="28"/>
          <w:szCs w:val="28"/>
        </w:rPr>
        <w:t>十一、学位授予</w:t>
      </w:r>
    </w:p>
    <w:p w14:paraId="26BD21A3">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color w:val="222222"/>
          <w:kern w:val="0"/>
          <w:sz w:val="24"/>
        </w:rPr>
        <w:t>管理</w:t>
      </w:r>
      <w:r>
        <w:rPr>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40C0336C">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28817B78">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18</w:t>
      </w:r>
      <w:r>
        <w:rPr>
          <w:rFonts w:eastAsiaTheme="minorEastAsia"/>
          <w:sz w:val="24"/>
        </w:rPr>
        <w:t>分，其中学位课</w:t>
      </w:r>
      <w:r>
        <w:rPr>
          <w:rFonts w:hint="eastAsia" w:eastAsiaTheme="minorEastAsia"/>
          <w:sz w:val="24"/>
        </w:rPr>
        <w:t>12</w:t>
      </w:r>
      <w:r>
        <w:rPr>
          <w:rFonts w:eastAsiaTheme="minorEastAsia"/>
          <w:sz w:val="24"/>
        </w:rPr>
        <w:t>学分，非学位课</w:t>
      </w:r>
      <w:r>
        <w:rPr>
          <w:rFonts w:hint="eastAsia" w:eastAsiaTheme="minorEastAsia"/>
          <w:sz w:val="24"/>
        </w:rPr>
        <w:t>5</w:t>
      </w:r>
      <w:r>
        <w:rPr>
          <w:rFonts w:eastAsiaTheme="minorEastAsia"/>
          <w:sz w:val="24"/>
        </w:rPr>
        <w:t>学分，必修环节</w:t>
      </w:r>
      <w:r>
        <w:rPr>
          <w:rFonts w:hint="eastAsia" w:eastAsiaTheme="minorEastAsia"/>
          <w:sz w:val="24"/>
        </w:rPr>
        <w:t>12</w:t>
      </w:r>
      <w:r>
        <w:rPr>
          <w:rFonts w:eastAsiaTheme="minorEastAsia"/>
          <w:sz w:val="24"/>
        </w:rPr>
        <w:t>分。</w:t>
      </w:r>
    </w:p>
    <w:p w14:paraId="0A6A7E24">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3275F2DC">
      <w:pPr>
        <w:spacing w:line="360" w:lineRule="auto"/>
        <w:rPr>
          <w:i/>
          <w:color w:val="000000"/>
          <w:sz w:val="24"/>
        </w:rPr>
      </w:pPr>
      <w:r>
        <w:rPr>
          <w:i/>
          <w:color w:val="000000"/>
          <w:sz w:val="24"/>
        </w:rPr>
        <w:t xml:space="preserve">    </w:t>
      </w:r>
    </w:p>
    <w:p w14:paraId="02EBBD9E">
      <w:pPr>
        <w:spacing w:line="360" w:lineRule="auto"/>
        <w:rPr>
          <w:i/>
          <w:color w:val="000000"/>
          <w:sz w:val="24"/>
        </w:rPr>
      </w:pPr>
    </w:p>
    <w:p w14:paraId="366DE63D">
      <w:pPr>
        <w:spacing w:line="360" w:lineRule="auto"/>
        <w:rPr>
          <w:rFonts w:eastAsiaTheme="minorEastAsia"/>
          <w:color w:val="FF0000"/>
          <w:sz w:val="24"/>
        </w:rPr>
      </w:pPr>
    </w:p>
    <w:p w14:paraId="71F2BC35">
      <w:pPr>
        <w:spacing w:after="156" w:afterLines="50" w:line="440" w:lineRule="exact"/>
        <w:ind w:firstLine="482" w:firstLineChars="200"/>
        <w:jc w:val="center"/>
        <w:rPr>
          <w:rFonts w:eastAsiaTheme="minorEastAsia"/>
          <w:b/>
          <w:bCs/>
          <w:sz w:val="24"/>
        </w:rPr>
      </w:pPr>
    </w:p>
    <w:p w14:paraId="082B38BD">
      <w:pPr>
        <w:spacing w:after="156" w:afterLines="50" w:line="440" w:lineRule="exact"/>
        <w:ind w:firstLine="482" w:firstLineChars="200"/>
        <w:jc w:val="center"/>
        <w:rPr>
          <w:rFonts w:eastAsiaTheme="minorEastAsia"/>
          <w:b/>
          <w:bCs/>
          <w:sz w:val="24"/>
        </w:rPr>
      </w:pPr>
    </w:p>
    <w:p w14:paraId="2C1E1FA0">
      <w:pPr>
        <w:spacing w:after="156" w:afterLines="50" w:line="440" w:lineRule="exact"/>
        <w:ind w:firstLine="482" w:firstLineChars="200"/>
        <w:jc w:val="center"/>
        <w:rPr>
          <w:rFonts w:eastAsiaTheme="minorEastAsia"/>
          <w:b/>
          <w:bCs/>
          <w:sz w:val="24"/>
        </w:rPr>
      </w:pPr>
      <w:r>
        <w:rPr>
          <w:rFonts w:hint="eastAsia" w:eastAsiaTheme="minorEastAsia"/>
          <w:b/>
          <w:bCs/>
          <w:sz w:val="24"/>
        </w:rPr>
        <w:t>信息资源管理</w:t>
      </w:r>
      <w:r>
        <w:rPr>
          <w:rFonts w:eastAsiaTheme="minorEastAsia"/>
          <w:b/>
          <w:bCs/>
          <w:sz w:val="24"/>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42"/>
        <w:gridCol w:w="1255"/>
        <w:gridCol w:w="709"/>
        <w:gridCol w:w="709"/>
        <w:gridCol w:w="1045"/>
      </w:tblGrid>
      <w:tr w14:paraId="46DE5B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1AB01A4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342" w:type="dxa"/>
            <w:vAlign w:val="center"/>
          </w:tcPr>
          <w:p w14:paraId="70EC4DB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255" w:type="dxa"/>
            <w:vAlign w:val="center"/>
          </w:tcPr>
          <w:p w14:paraId="346E22F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00416F6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695C537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5FA857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136F6E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shd w:val="clear" w:color="auto" w:fill="auto"/>
            <w:vAlign w:val="center"/>
          </w:tcPr>
          <w:p w14:paraId="5B72BFD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shd w:val="clear" w:color="auto" w:fill="auto"/>
            <w:vAlign w:val="center"/>
          </w:tcPr>
          <w:p w14:paraId="5C35CAC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16B13F4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342" w:type="dxa"/>
            <w:vAlign w:val="center"/>
          </w:tcPr>
          <w:p w14:paraId="28D5AB30">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255" w:type="dxa"/>
            <w:vAlign w:val="center"/>
          </w:tcPr>
          <w:p w14:paraId="281517D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709" w:type="dxa"/>
            <w:vAlign w:val="center"/>
          </w:tcPr>
          <w:p w14:paraId="4C40974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64F8688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28CE751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75720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shd w:val="clear" w:color="auto" w:fill="auto"/>
            <w:vAlign w:val="center"/>
          </w:tcPr>
          <w:p w14:paraId="34FDF1C0">
            <w:pPr>
              <w:jc w:val="center"/>
              <w:rPr>
                <w:b/>
                <w:color w:val="000000" w:themeColor="text1"/>
                <w:sz w:val="18"/>
                <w:szCs w:val="18"/>
                <w14:textFill>
                  <w14:solidFill>
                    <w14:schemeClr w14:val="tx1"/>
                  </w14:solidFill>
                </w14:textFill>
              </w:rPr>
            </w:pPr>
          </w:p>
        </w:tc>
        <w:tc>
          <w:tcPr>
            <w:tcW w:w="1226" w:type="dxa"/>
            <w:vMerge w:val="continue"/>
            <w:shd w:val="clear" w:color="auto" w:fill="auto"/>
            <w:vAlign w:val="center"/>
          </w:tcPr>
          <w:p w14:paraId="0D303330">
            <w:pPr>
              <w:jc w:val="center"/>
              <w:rPr>
                <w:b/>
                <w:color w:val="000000" w:themeColor="text1"/>
                <w:sz w:val="18"/>
                <w:szCs w:val="18"/>
                <w14:textFill>
                  <w14:solidFill>
                    <w14:schemeClr w14:val="tx1"/>
                  </w14:solidFill>
                </w14:textFill>
              </w:rPr>
            </w:pPr>
          </w:p>
        </w:tc>
        <w:tc>
          <w:tcPr>
            <w:tcW w:w="3342" w:type="dxa"/>
            <w:vAlign w:val="center"/>
          </w:tcPr>
          <w:p w14:paraId="0D286326">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255" w:type="dxa"/>
            <w:vAlign w:val="center"/>
          </w:tcPr>
          <w:p w14:paraId="617070C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709" w:type="dxa"/>
            <w:vAlign w:val="center"/>
          </w:tcPr>
          <w:p w14:paraId="31A4A46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4437F7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C7D209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6CC57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1489E01B">
            <w:pPr>
              <w:jc w:val="center"/>
              <w:rPr>
                <w:b/>
                <w:color w:val="000000" w:themeColor="text1"/>
                <w:sz w:val="18"/>
                <w:szCs w:val="18"/>
                <w14:textFill>
                  <w14:solidFill>
                    <w14:schemeClr w14:val="tx1"/>
                  </w14:solidFill>
                </w14:textFill>
              </w:rPr>
            </w:pPr>
          </w:p>
        </w:tc>
        <w:tc>
          <w:tcPr>
            <w:tcW w:w="1226" w:type="dxa"/>
            <w:vMerge w:val="restart"/>
            <w:shd w:val="clear" w:color="auto" w:fill="auto"/>
            <w:vAlign w:val="center"/>
          </w:tcPr>
          <w:p w14:paraId="0867157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75AF762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342" w:type="dxa"/>
            <w:vAlign w:val="center"/>
          </w:tcPr>
          <w:p w14:paraId="6753D28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文献阅读与论文写作</w:t>
            </w:r>
          </w:p>
        </w:tc>
        <w:tc>
          <w:tcPr>
            <w:tcW w:w="1255" w:type="dxa"/>
            <w:vAlign w:val="center"/>
          </w:tcPr>
          <w:p w14:paraId="15BFD59E">
            <w:pPr>
              <w:jc w:val="center"/>
              <w:rPr>
                <w:rFonts w:hint="eastAsia" w:eastAsia="宋体"/>
                <w:i/>
                <w:color w:val="FF0000"/>
                <w:sz w:val="18"/>
                <w:szCs w:val="18"/>
                <w:lang w:val="en-US" w:eastAsia="zh-CN"/>
              </w:rPr>
            </w:pPr>
            <w:r>
              <w:rPr>
                <w:rFonts w:hint="eastAsia"/>
                <w:sz w:val="18"/>
                <w:szCs w:val="18"/>
              </w:rPr>
              <w:t>XB</w:t>
            </w:r>
            <w:r>
              <w:rPr>
                <w:color w:val="000000"/>
                <w:kern w:val="0"/>
                <w:sz w:val="18"/>
                <w:szCs w:val="18"/>
              </w:rPr>
              <w:t>04</w:t>
            </w:r>
            <w:r>
              <w:rPr>
                <w:rFonts w:hint="eastAsia"/>
                <w:color w:val="000000"/>
                <w:kern w:val="0"/>
                <w:sz w:val="18"/>
                <w:szCs w:val="18"/>
              </w:rPr>
              <w:t>2000</w:t>
            </w:r>
            <w:r>
              <w:rPr>
                <w:rFonts w:hint="eastAsia"/>
                <w:color w:val="000000"/>
                <w:kern w:val="0"/>
                <w:sz w:val="18"/>
                <w:szCs w:val="18"/>
                <w:lang w:val="en-US" w:eastAsia="zh-CN"/>
              </w:rPr>
              <w:t>4</w:t>
            </w:r>
          </w:p>
        </w:tc>
        <w:tc>
          <w:tcPr>
            <w:tcW w:w="709" w:type="dxa"/>
            <w:vAlign w:val="center"/>
          </w:tcPr>
          <w:p w14:paraId="7B72C2B2">
            <w:pPr>
              <w:jc w:val="center"/>
              <w:rPr>
                <w:color w:val="FF0000"/>
              </w:rPr>
            </w:pPr>
            <w:r>
              <w:rPr>
                <w:rFonts w:hint="eastAsia"/>
                <w:sz w:val="18"/>
                <w:szCs w:val="18"/>
              </w:rPr>
              <w:t>2</w:t>
            </w:r>
          </w:p>
        </w:tc>
        <w:tc>
          <w:tcPr>
            <w:tcW w:w="709" w:type="dxa"/>
            <w:vAlign w:val="center"/>
          </w:tcPr>
          <w:p w14:paraId="7CA41E9F">
            <w:pPr>
              <w:jc w:val="center"/>
              <w:rPr>
                <w:color w:val="FF0000"/>
              </w:rPr>
            </w:pPr>
            <w:r>
              <w:rPr>
                <w:rFonts w:hint="eastAsia"/>
                <w:sz w:val="18"/>
                <w:szCs w:val="18"/>
              </w:rPr>
              <w:t>1</w:t>
            </w:r>
          </w:p>
        </w:tc>
        <w:tc>
          <w:tcPr>
            <w:tcW w:w="1045" w:type="dxa"/>
            <w:vAlign w:val="center"/>
          </w:tcPr>
          <w:p w14:paraId="3F37B29F">
            <w:pPr>
              <w:jc w:val="center"/>
              <w:rPr>
                <w:i/>
                <w:color w:val="FF0000"/>
                <w:sz w:val="18"/>
                <w:szCs w:val="18"/>
              </w:rPr>
            </w:pPr>
            <w:r>
              <w:rPr>
                <w:rFonts w:hint="eastAsia"/>
                <w:iCs/>
                <w:sz w:val="18"/>
                <w:szCs w:val="18"/>
              </w:rPr>
              <w:t>考查</w:t>
            </w:r>
          </w:p>
        </w:tc>
      </w:tr>
      <w:tr w14:paraId="66E5FD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78384164">
            <w:pPr>
              <w:jc w:val="center"/>
              <w:rPr>
                <w:b/>
                <w:color w:val="000000" w:themeColor="text1"/>
                <w:sz w:val="18"/>
                <w:szCs w:val="18"/>
                <w14:textFill>
                  <w14:solidFill>
                    <w14:schemeClr w14:val="tx1"/>
                  </w14:solidFill>
                </w14:textFill>
              </w:rPr>
            </w:pPr>
          </w:p>
        </w:tc>
        <w:tc>
          <w:tcPr>
            <w:tcW w:w="1226" w:type="dxa"/>
            <w:vMerge w:val="continue"/>
            <w:shd w:val="clear" w:color="auto" w:fill="auto"/>
            <w:vAlign w:val="center"/>
          </w:tcPr>
          <w:p w14:paraId="21318B72">
            <w:pPr>
              <w:jc w:val="center"/>
              <w:rPr>
                <w:b/>
                <w:color w:val="000000" w:themeColor="text1"/>
                <w:sz w:val="18"/>
                <w:szCs w:val="18"/>
                <w14:textFill>
                  <w14:solidFill>
                    <w14:schemeClr w14:val="tx1"/>
                  </w14:solidFill>
                </w14:textFill>
              </w:rPr>
            </w:pPr>
          </w:p>
        </w:tc>
        <w:tc>
          <w:tcPr>
            <w:tcW w:w="3342" w:type="dxa"/>
            <w:vAlign w:val="center"/>
          </w:tcPr>
          <w:p w14:paraId="296AFF07">
            <w:pPr>
              <w:adjustRightInd w:val="0"/>
              <w:snapToGrid w:val="0"/>
              <w:rPr>
                <w:color w:val="FF0000"/>
                <w:sz w:val="18"/>
                <w:szCs w:val="18"/>
              </w:rPr>
            </w:pPr>
            <w:r>
              <w:rPr>
                <w:rFonts w:hint="eastAsia"/>
                <w:color w:val="000000" w:themeColor="text1"/>
                <w:sz w:val="18"/>
                <w:szCs w:val="18"/>
                <w14:textFill>
                  <w14:solidFill>
                    <w14:schemeClr w14:val="tx1"/>
                  </w14:solidFill>
                </w14:textFill>
              </w:rPr>
              <w:t>研究方法与创新思维</w:t>
            </w:r>
          </w:p>
        </w:tc>
        <w:tc>
          <w:tcPr>
            <w:tcW w:w="1255" w:type="dxa"/>
          </w:tcPr>
          <w:p w14:paraId="08C68590">
            <w:pPr>
              <w:jc w:val="center"/>
              <w:rPr>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20002</w:t>
            </w:r>
          </w:p>
        </w:tc>
        <w:tc>
          <w:tcPr>
            <w:tcW w:w="709" w:type="dxa"/>
          </w:tcPr>
          <w:p w14:paraId="42FEACDF">
            <w:pPr>
              <w:jc w:val="center"/>
              <w:rPr>
                <w:color w:val="FF0000"/>
              </w:rPr>
            </w:pPr>
            <w:r>
              <w:rPr>
                <w:rFonts w:hint="eastAsia"/>
                <w:sz w:val="18"/>
                <w:szCs w:val="18"/>
              </w:rPr>
              <w:t>3</w:t>
            </w:r>
          </w:p>
        </w:tc>
        <w:tc>
          <w:tcPr>
            <w:tcW w:w="709" w:type="dxa"/>
          </w:tcPr>
          <w:p w14:paraId="3F3AAC65">
            <w:pPr>
              <w:jc w:val="center"/>
              <w:rPr>
                <w:color w:val="FF0000"/>
              </w:rPr>
            </w:pPr>
            <w:r>
              <w:rPr>
                <w:sz w:val="18"/>
                <w:szCs w:val="18"/>
              </w:rPr>
              <w:t>1</w:t>
            </w:r>
          </w:p>
        </w:tc>
        <w:tc>
          <w:tcPr>
            <w:tcW w:w="1045" w:type="dxa"/>
          </w:tcPr>
          <w:p w14:paraId="48F4802C">
            <w:pPr>
              <w:jc w:val="center"/>
              <w:rPr>
                <w:color w:val="FF0000"/>
                <w:sz w:val="18"/>
                <w:szCs w:val="18"/>
              </w:rPr>
            </w:pPr>
            <w:r>
              <w:rPr>
                <w:rFonts w:hint="eastAsia"/>
                <w:iCs/>
                <w:sz w:val="18"/>
                <w:szCs w:val="18"/>
              </w:rPr>
              <w:t>考试</w:t>
            </w:r>
          </w:p>
        </w:tc>
      </w:tr>
      <w:tr w14:paraId="3774FB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shd w:val="clear" w:color="auto" w:fill="auto"/>
            <w:vAlign w:val="center"/>
          </w:tcPr>
          <w:p w14:paraId="1B141D07">
            <w:pPr>
              <w:jc w:val="center"/>
              <w:rPr>
                <w:b/>
                <w:color w:val="000000" w:themeColor="text1"/>
                <w:sz w:val="18"/>
                <w:szCs w:val="18"/>
                <w14:textFill>
                  <w14:solidFill>
                    <w14:schemeClr w14:val="tx1"/>
                  </w14:solidFill>
                </w14:textFill>
              </w:rPr>
            </w:pPr>
          </w:p>
        </w:tc>
        <w:tc>
          <w:tcPr>
            <w:tcW w:w="1226" w:type="dxa"/>
            <w:shd w:val="clear" w:color="auto" w:fill="auto"/>
            <w:vAlign w:val="center"/>
          </w:tcPr>
          <w:p w14:paraId="6DAA5DC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3BDC52A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3</w:t>
            </w:r>
            <w:r>
              <w:rPr>
                <w:b/>
                <w:color w:val="000000" w:themeColor="text1"/>
                <w:sz w:val="18"/>
                <w:szCs w:val="18"/>
                <w14:textFill>
                  <w14:solidFill>
                    <w14:schemeClr w14:val="tx1"/>
                  </w14:solidFill>
                </w14:textFill>
              </w:rPr>
              <w:t>学分）</w:t>
            </w:r>
          </w:p>
        </w:tc>
        <w:tc>
          <w:tcPr>
            <w:tcW w:w="3342" w:type="dxa"/>
          </w:tcPr>
          <w:p w14:paraId="0E5C2697">
            <w:r>
              <w:rPr>
                <w:rFonts w:hint="eastAsia"/>
                <w:color w:val="000000" w:themeColor="text1"/>
                <w:sz w:val="18"/>
                <w:szCs w:val="18"/>
                <w14:textFill>
                  <w14:solidFill>
                    <w14:schemeClr w14:val="tx1"/>
                  </w14:solidFill>
                </w14:textFill>
              </w:rPr>
              <w:t>学科经典文献研读</w:t>
            </w:r>
          </w:p>
        </w:tc>
        <w:tc>
          <w:tcPr>
            <w:tcW w:w="1255" w:type="dxa"/>
          </w:tcPr>
          <w:p w14:paraId="004138BD">
            <w:pPr>
              <w:jc w:val="center"/>
              <w:rPr>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20003</w:t>
            </w:r>
          </w:p>
        </w:tc>
        <w:tc>
          <w:tcPr>
            <w:tcW w:w="709" w:type="dxa"/>
          </w:tcPr>
          <w:p w14:paraId="612A61E1">
            <w:pPr>
              <w:jc w:val="center"/>
              <w:rPr>
                <w:color w:val="FF0000"/>
              </w:rPr>
            </w:pPr>
            <w:r>
              <w:rPr>
                <w:rFonts w:hint="eastAsia"/>
                <w:sz w:val="18"/>
                <w:szCs w:val="18"/>
              </w:rPr>
              <w:t>3</w:t>
            </w:r>
          </w:p>
        </w:tc>
        <w:tc>
          <w:tcPr>
            <w:tcW w:w="709" w:type="dxa"/>
          </w:tcPr>
          <w:p w14:paraId="31F9EFEC">
            <w:pPr>
              <w:jc w:val="center"/>
              <w:rPr>
                <w:color w:val="FF0000"/>
              </w:rPr>
            </w:pPr>
            <w:r>
              <w:rPr>
                <w:rFonts w:hint="eastAsia"/>
                <w:sz w:val="18"/>
                <w:szCs w:val="18"/>
              </w:rPr>
              <w:t>1</w:t>
            </w:r>
          </w:p>
        </w:tc>
        <w:tc>
          <w:tcPr>
            <w:tcW w:w="1045" w:type="dxa"/>
          </w:tcPr>
          <w:p w14:paraId="5C760A46">
            <w:pPr>
              <w:jc w:val="center"/>
              <w:rPr>
                <w:color w:val="FF0000"/>
                <w:sz w:val="18"/>
                <w:szCs w:val="18"/>
              </w:rPr>
            </w:pPr>
            <w:r>
              <w:rPr>
                <w:rFonts w:hint="eastAsia"/>
                <w:iCs/>
                <w:sz w:val="18"/>
                <w:szCs w:val="18"/>
              </w:rPr>
              <w:t>考试</w:t>
            </w:r>
          </w:p>
        </w:tc>
      </w:tr>
      <w:tr w14:paraId="68DBEC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491C61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3769CE6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712022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342" w:type="dxa"/>
            <w:vAlign w:val="center"/>
          </w:tcPr>
          <w:p w14:paraId="78C653D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255" w:type="dxa"/>
            <w:vAlign w:val="center"/>
          </w:tcPr>
          <w:p w14:paraId="6B8C1FB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9A9DF5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4E9CC1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846A2B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75426F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815EE58">
            <w:pPr>
              <w:jc w:val="center"/>
              <w:rPr>
                <w:b/>
                <w:color w:val="000000" w:themeColor="text1"/>
                <w:sz w:val="18"/>
                <w:szCs w:val="18"/>
                <w14:textFill>
                  <w14:solidFill>
                    <w14:schemeClr w14:val="tx1"/>
                  </w14:solidFill>
                </w14:textFill>
              </w:rPr>
            </w:pPr>
          </w:p>
        </w:tc>
        <w:tc>
          <w:tcPr>
            <w:tcW w:w="1226" w:type="dxa"/>
            <w:vMerge w:val="continue"/>
            <w:vAlign w:val="center"/>
          </w:tcPr>
          <w:p w14:paraId="5C657E15">
            <w:pPr>
              <w:jc w:val="center"/>
              <w:rPr>
                <w:b/>
                <w:color w:val="000000" w:themeColor="text1"/>
                <w:sz w:val="18"/>
                <w:szCs w:val="18"/>
                <w14:textFill>
                  <w14:solidFill>
                    <w14:schemeClr w14:val="tx1"/>
                  </w14:solidFill>
                </w14:textFill>
              </w:rPr>
            </w:pPr>
          </w:p>
        </w:tc>
        <w:tc>
          <w:tcPr>
            <w:tcW w:w="3342" w:type="dxa"/>
            <w:vAlign w:val="center"/>
          </w:tcPr>
          <w:p w14:paraId="3CA2DCD9">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255" w:type="dxa"/>
            <w:vAlign w:val="center"/>
          </w:tcPr>
          <w:p w14:paraId="4EFF35E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709" w:type="dxa"/>
            <w:vAlign w:val="center"/>
          </w:tcPr>
          <w:p w14:paraId="2FC43DF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168A963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DB148C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258C4C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CC0128">
            <w:pPr>
              <w:rPr>
                <w:b/>
                <w:color w:val="000000" w:themeColor="text1"/>
                <w:sz w:val="18"/>
                <w:szCs w:val="18"/>
                <w14:textFill>
                  <w14:solidFill>
                    <w14:schemeClr w14:val="tx1"/>
                  </w14:solidFill>
                </w14:textFill>
              </w:rPr>
            </w:pPr>
          </w:p>
        </w:tc>
        <w:tc>
          <w:tcPr>
            <w:tcW w:w="1226" w:type="dxa"/>
            <w:vMerge w:val="restart"/>
            <w:vAlign w:val="center"/>
          </w:tcPr>
          <w:p w14:paraId="46F925B0">
            <w:pPr>
              <w:adjustRightInd w:val="0"/>
              <w:snapToGrid w:val="0"/>
              <w:jc w:val="center"/>
              <w:rPr>
                <w:b/>
                <w:color w:val="000000" w:themeColor="text1"/>
                <w:sz w:val="18"/>
                <w:szCs w:val="18"/>
                <w14:textFill>
                  <w14:solidFill>
                    <w14:schemeClr w14:val="tx1"/>
                  </w14:solidFill>
                </w14:textFill>
              </w:rPr>
            </w:pPr>
            <w:r>
              <w:rPr>
                <w:rFonts w:hint="eastAsia"/>
                <w:b/>
                <w:sz w:val="18"/>
                <w:szCs w:val="18"/>
              </w:rPr>
              <w:t>信息资源管理</w:t>
            </w:r>
            <w:r>
              <w:rPr>
                <w:b/>
                <w:sz w:val="18"/>
                <w:szCs w:val="18"/>
              </w:rPr>
              <w:t>方向选修课</w:t>
            </w:r>
          </w:p>
        </w:tc>
        <w:tc>
          <w:tcPr>
            <w:tcW w:w="3342" w:type="dxa"/>
            <w:vAlign w:val="center"/>
          </w:tcPr>
          <w:p w14:paraId="5F279E7D">
            <w:pPr>
              <w:rPr>
                <w:i/>
                <w:color w:val="FF0000"/>
                <w:sz w:val="18"/>
                <w:szCs w:val="18"/>
              </w:rPr>
            </w:pPr>
            <w:r>
              <w:rPr>
                <w:rFonts w:hint="eastAsia"/>
                <w:color w:val="000000" w:themeColor="text1"/>
                <w:sz w:val="18"/>
                <w:szCs w:val="18"/>
                <w14:textFill>
                  <w14:solidFill>
                    <w14:schemeClr w14:val="tx1"/>
                  </w14:solidFill>
                </w14:textFill>
              </w:rPr>
              <w:t>特色课程：数字信息资源管理专题</w:t>
            </w:r>
          </w:p>
        </w:tc>
        <w:tc>
          <w:tcPr>
            <w:tcW w:w="1255" w:type="dxa"/>
            <w:vAlign w:val="center"/>
          </w:tcPr>
          <w:p w14:paraId="0DF7FB2D">
            <w:pPr>
              <w:jc w:val="center"/>
              <w:rPr>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20201</w:t>
            </w:r>
          </w:p>
        </w:tc>
        <w:tc>
          <w:tcPr>
            <w:tcW w:w="709" w:type="dxa"/>
            <w:vAlign w:val="center"/>
          </w:tcPr>
          <w:p w14:paraId="7D6BB80C">
            <w:pPr>
              <w:jc w:val="center"/>
              <w:rPr>
                <w:color w:val="FF0000"/>
              </w:rPr>
            </w:pPr>
            <w:r>
              <w:rPr>
                <w:rFonts w:hint="eastAsia"/>
                <w:sz w:val="18"/>
                <w:szCs w:val="18"/>
              </w:rPr>
              <w:t>3</w:t>
            </w:r>
          </w:p>
        </w:tc>
        <w:tc>
          <w:tcPr>
            <w:tcW w:w="709" w:type="dxa"/>
            <w:vAlign w:val="center"/>
          </w:tcPr>
          <w:p w14:paraId="2880A83C">
            <w:pPr>
              <w:jc w:val="center"/>
              <w:rPr>
                <w:color w:val="FF0000"/>
              </w:rPr>
            </w:pPr>
            <w:r>
              <w:rPr>
                <w:rFonts w:hint="eastAsia"/>
                <w:sz w:val="18"/>
                <w:szCs w:val="18"/>
              </w:rPr>
              <w:t>1</w:t>
            </w:r>
          </w:p>
        </w:tc>
        <w:tc>
          <w:tcPr>
            <w:tcW w:w="1045" w:type="dxa"/>
            <w:vMerge w:val="restart"/>
            <w:vAlign w:val="center"/>
          </w:tcPr>
          <w:p w14:paraId="4F3E5694">
            <w:pPr>
              <w:adjustRightInd w:val="0"/>
              <w:snapToGrid w:val="0"/>
              <w:jc w:val="center"/>
              <w:rPr>
                <w:sz w:val="18"/>
                <w:szCs w:val="18"/>
              </w:rPr>
            </w:pPr>
            <w:r>
              <w:rPr>
                <w:sz w:val="18"/>
                <w:szCs w:val="18"/>
              </w:rPr>
              <w:t>本方向研究生至少选修</w:t>
            </w:r>
            <w:r>
              <w:rPr>
                <w:rFonts w:hint="eastAsia"/>
                <w:sz w:val="18"/>
                <w:szCs w:val="18"/>
              </w:rPr>
              <w:t>3</w:t>
            </w:r>
            <w:r>
              <w:rPr>
                <w:sz w:val="18"/>
                <w:szCs w:val="18"/>
              </w:rPr>
              <w:t>学分</w:t>
            </w:r>
          </w:p>
        </w:tc>
      </w:tr>
      <w:tr w14:paraId="71D56C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59D158">
            <w:pPr>
              <w:rPr>
                <w:b/>
                <w:color w:val="000000" w:themeColor="text1"/>
                <w:sz w:val="18"/>
                <w:szCs w:val="18"/>
                <w14:textFill>
                  <w14:solidFill>
                    <w14:schemeClr w14:val="tx1"/>
                  </w14:solidFill>
                </w14:textFill>
              </w:rPr>
            </w:pPr>
          </w:p>
        </w:tc>
        <w:tc>
          <w:tcPr>
            <w:tcW w:w="1226" w:type="dxa"/>
            <w:vMerge w:val="continue"/>
            <w:vAlign w:val="center"/>
          </w:tcPr>
          <w:p w14:paraId="1AC0DCBC">
            <w:pPr>
              <w:adjustRightInd w:val="0"/>
              <w:snapToGrid w:val="0"/>
              <w:jc w:val="center"/>
              <w:rPr>
                <w:b/>
                <w:color w:val="FF0000"/>
                <w:sz w:val="18"/>
                <w:szCs w:val="18"/>
              </w:rPr>
            </w:pPr>
          </w:p>
        </w:tc>
        <w:tc>
          <w:tcPr>
            <w:tcW w:w="3342" w:type="dxa"/>
            <w:vAlign w:val="center"/>
          </w:tcPr>
          <w:p w14:paraId="73E0E1E0">
            <w:pPr>
              <w:rPr>
                <w:i/>
                <w:color w:val="FF0000"/>
                <w:sz w:val="18"/>
                <w:szCs w:val="18"/>
              </w:rPr>
            </w:pPr>
            <w:r>
              <w:rPr>
                <w:rFonts w:hint="eastAsia"/>
                <w:color w:val="000000" w:themeColor="text1"/>
                <w:sz w:val="18"/>
                <w:szCs w:val="18"/>
                <w14:textFill>
                  <w14:solidFill>
                    <w14:schemeClr w14:val="tx1"/>
                  </w14:solidFill>
                </w14:textFill>
              </w:rPr>
              <w:t>信息资源管理学术前沿</w:t>
            </w:r>
          </w:p>
        </w:tc>
        <w:tc>
          <w:tcPr>
            <w:tcW w:w="1255" w:type="dxa"/>
            <w:vAlign w:val="center"/>
          </w:tcPr>
          <w:p w14:paraId="15463674">
            <w:pPr>
              <w:jc w:val="center"/>
              <w:rPr>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20202</w:t>
            </w:r>
          </w:p>
        </w:tc>
        <w:tc>
          <w:tcPr>
            <w:tcW w:w="709" w:type="dxa"/>
            <w:vAlign w:val="center"/>
          </w:tcPr>
          <w:p w14:paraId="41A3BF28">
            <w:pPr>
              <w:jc w:val="center"/>
              <w:rPr>
                <w:color w:val="FF0000"/>
              </w:rPr>
            </w:pPr>
            <w:r>
              <w:rPr>
                <w:rFonts w:hint="eastAsia"/>
                <w:sz w:val="18"/>
                <w:szCs w:val="18"/>
              </w:rPr>
              <w:t>3</w:t>
            </w:r>
          </w:p>
        </w:tc>
        <w:tc>
          <w:tcPr>
            <w:tcW w:w="709" w:type="dxa"/>
            <w:vAlign w:val="center"/>
          </w:tcPr>
          <w:p w14:paraId="41E93228">
            <w:pPr>
              <w:jc w:val="center"/>
              <w:rPr>
                <w:color w:val="FF0000"/>
              </w:rPr>
            </w:pPr>
            <w:r>
              <w:rPr>
                <w:rFonts w:hint="eastAsia"/>
                <w:sz w:val="18"/>
                <w:szCs w:val="18"/>
              </w:rPr>
              <w:t>1</w:t>
            </w:r>
          </w:p>
        </w:tc>
        <w:tc>
          <w:tcPr>
            <w:tcW w:w="1045" w:type="dxa"/>
            <w:vMerge w:val="continue"/>
            <w:vAlign w:val="center"/>
          </w:tcPr>
          <w:p w14:paraId="2A35ED18">
            <w:pPr>
              <w:adjustRightInd w:val="0"/>
              <w:snapToGrid w:val="0"/>
              <w:jc w:val="center"/>
              <w:rPr>
                <w:sz w:val="18"/>
                <w:szCs w:val="18"/>
              </w:rPr>
            </w:pPr>
          </w:p>
        </w:tc>
      </w:tr>
      <w:tr w14:paraId="6CAC71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240063">
            <w:pPr>
              <w:rPr>
                <w:b/>
                <w:color w:val="000000" w:themeColor="text1"/>
                <w:sz w:val="18"/>
                <w:szCs w:val="18"/>
                <w14:textFill>
                  <w14:solidFill>
                    <w14:schemeClr w14:val="tx1"/>
                  </w14:solidFill>
                </w14:textFill>
              </w:rPr>
            </w:pPr>
          </w:p>
        </w:tc>
        <w:tc>
          <w:tcPr>
            <w:tcW w:w="1226" w:type="dxa"/>
            <w:vMerge w:val="restart"/>
            <w:vAlign w:val="center"/>
          </w:tcPr>
          <w:p w14:paraId="69A7612C">
            <w:pPr>
              <w:adjustRightInd w:val="0"/>
              <w:snapToGrid w:val="0"/>
              <w:jc w:val="center"/>
              <w:rPr>
                <w:b/>
                <w:color w:val="FF0000"/>
                <w:sz w:val="18"/>
                <w:szCs w:val="18"/>
              </w:rPr>
            </w:pPr>
            <w:r>
              <w:rPr>
                <w:rFonts w:hint="eastAsia"/>
                <w:b/>
                <w:sz w:val="18"/>
                <w:szCs w:val="18"/>
              </w:rPr>
              <w:t>图书馆学</w:t>
            </w:r>
            <w:r>
              <w:rPr>
                <w:b/>
                <w:color w:val="000000" w:themeColor="text1"/>
                <w:sz w:val="18"/>
                <w:szCs w:val="18"/>
                <w14:textFill>
                  <w14:solidFill>
                    <w14:schemeClr w14:val="tx1"/>
                  </w14:solidFill>
                </w14:textFill>
              </w:rPr>
              <w:t>方向选修课</w:t>
            </w:r>
          </w:p>
        </w:tc>
        <w:tc>
          <w:tcPr>
            <w:tcW w:w="3342" w:type="dxa"/>
            <w:vAlign w:val="center"/>
          </w:tcPr>
          <w:p w14:paraId="5547C17B">
            <w:pPr>
              <w:rPr>
                <w:i/>
                <w:color w:val="FF0000"/>
                <w:sz w:val="18"/>
                <w:szCs w:val="18"/>
              </w:rPr>
            </w:pPr>
            <w:r>
              <w:rPr>
                <w:rFonts w:hint="eastAsia"/>
                <w:color w:val="000000" w:themeColor="text1"/>
                <w:sz w:val="18"/>
                <w:szCs w:val="18"/>
                <w14:textFill>
                  <w14:solidFill>
                    <w14:schemeClr w14:val="tx1"/>
                  </w14:solidFill>
                </w14:textFill>
              </w:rPr>
              <w:t>特色课程：图书馆学基础理论专题</w:t>
            </w:r>
          </w:p>
        </w:tc>
        <w:tc>
          <w:tcPr>
            <w:tcW w:w="1255" w:type="dxa"/>
            <w:vAlign w:val="center"/>
          </w:tcPr>
          <w:p w14:paraId="3CD6661F">
            <w:pPr>
              <w:jc w:val="center"/>
              <w:rPr>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20203</w:t>
            </w:r>
          </w:p>
        </w:tc>
        <w:tc>
          <w:tcPr>
            <w:tcW w:w="709" w:type="dxa"/>
            <w:vAlign w:val="center"/>
          </w:tcPr>
          <w:p w14:paraId="08189652">
            <w:pPr>
              <w:jc w:val="center"/>
              <w:rPr>
                <w:color w:val="FF0000"/>
              </w:rPr>
            </w:pPr>
            <w:r>
              <w:rPr>
                <w:rFonts w:hint="eastAsia"/>
                <w:sz w:val="18"/>
                <w:szCs w:val="18"/>
              </w:rPr>
              <w:t>3</w:t>
            </w:r>
          </w:p>
        </w:tc>
        <w:tc>
          <w:tcPr>
            <w:tcW w:w="709" w:type="dxa"/>
            <w:vAlign w:val="center"/>
          </w:tcPr>
          <w:p w14:paraId="324B8036">
            <w:pPr>
              <w:jc w:val="center"/>
              <w:rPr>
                <w:color w:val="FF0000"/>
              </w:rPr>
            </w:pPr>
            <w:r>
              <w:rPr>
                <w:rFonts w:hint="eastAsia"/>
                <w:sz w:val="18"/>
                <w:szCs w:val="18"/>
              </w:rPr>
              <w:t>1</w:t>
            </w:r>
          </w:p>
        </w:tc>
        <w:tc>
          <w:tcPr>
            <w:tcW w:w="1045" w:type="dxa"/>
            <w:vMerge w:val="restart"/>
            <w:vAlign w:val="center"/>
          </w:tcPr>
          <w:p w14:paraId="46FCD60C">
            <w:pPr>
              <w:adjustRightInd w:val="0"/>
              <w:snapToGrid w:val="0"/>
              <w:jc w:val="center"/>
              <w:rPr>
                <w:sz w:val="18"/>
                <w:szCs w:val="18"/>
              </w:rPr>
            </w:pPr>
            <w:r>
              <w:rPr>
                <w:sz w:val="18"/>
                <w:szCs w:val="18"/>
              </w:rPr>
              <w:t>本方向研究生至少选修</w:t>
            </w:r>
            <w:r>
              <w:rPr>
                <w:rFonts w:hint="eastAsia"/>
                <w:sz w:val="18"/>
                <w:szCs w:val="18"/>
              </w:rPr>
              <w:t>3</w:t>
            </w:r>
            <w:r>
              <w:rPr>
                <w:sz w:val="18"/>
                <w:szCs w:val="18"/>
              </w:rPr>
              <w:t>学分</w:t>
            </w:r>
          </w:p>
        </w:tc>
      </w:tr>
      <w:tr w14:paraId="6051A7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E83D392">
            <w:pPr>
              <w:rPr>
                <w:b/>
                <w:color w:val="000000" w:themeColor="text1"/>
                <w:sz w:val="18"/>
                <w:szCs w:val="18"/>
                <w14:textFill>
                  <w14:solidFill>
                    <w14:schemeClr w14:val="tx1"/>
                  </w14:solidFill>
                </w14:textFill>
              </w:rPr>
            </w:pPr>
          </w:p>
        </w:tc>
        <w:tc>
          <w:tcPr>
            <w:tcW w:w="1226" w:type="dxa"/>
            <w:vMerge w:val="continue"/>
            <w:tcBorders/>
            <w:vAlign w:val="center"/>
          </w:tcPr>
          <w:p w14:paraId="125842DC">
            <w:pPr>
              <w:adjustRightInd w:val="0"/>
              <w:snapToGrid w:val="0"/>
              <w:jc w:val="center"/>
              <w:rPr>
                <w:b/>
                <w:color w:val="FF0000"/>
                <w:sz w:val="18"/>
                <w:szCs w:val="18"/>
              </w:rPr>
            </w:pPr>
          </w:p>
        </w:tc>
        <w:tc>
          <w:tcPr>
            <w:tcW w:w="3342" w:type="dxa"/>
            <w:vAlign w:val="center"/>
          </w:tcPr>
          <w:p w14:paraId="5F09BBF3">
            <w:pPr>
              <w:rPr>
                <w:i/>
                <w:color w:val="FF0000"/>
                <w:sz w:val="18"/>
                <w:szCs w:val="18"/>
              </w:rPr>
            </w:pPr>
            <w:r>
              <w:rPr>
                <w:rFonts w:hint="eastAsia"/>
                <w:color w:val="000000" w:themeColor="text1"/>
                <w:sz w:val="18"/>
                <w:szCs w:val="18"/>
                <w14:textFill>
                  <w14:solidFill>
                    <w14:schemeClr w14:val="tx1"/>
                  </w14:solidFill>
                </w14:textFill>
              </w:rPr>
              <w:t>图书馆学学术前沿</w:t>
            </w:r>
          </w:p>
        </w:tc>
        <w:tc>
          <w:tcPr>
            <w:tcW w:w="1255" w:type="dxa"/>
            <w:vAlign w:val="center"/>
          </w:tcPr>
          <w:p w14:paraId="137C44CD">
            <w:pPr>
              <w:jc w:val="center"/>
              <w:rPr>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20204</w:t>
            </w:r>
          </w:p>
        </w:tc>
        <w:tc>
          <w:tcPr>
            <w:tcW w:w="709" w:type="dxa"/>
            <w:vAlign w:val="center"/>
          </w:tcPr>
          <w:p w14:paraId="2168390D">
            <w:pPr>
              <w:jc w:val="center"/>
              <w:rPr>
                <w:color w:val="FF0000"/>
              </w:rPr>
            </w:pPr>
            <w:r>
              <w:rPr>
                <w:rFonts w:hint="eastAsia"/>
                <w:sz w:val="18"/>
                <w:szCs w:val="18"/>
              </w:rPr>
              <w:t>3</w:t>
            </w:r>
          </w:p>
        </w:tc>
        <w:tc>
          <w:tcPr>
            <w:tcW w:w="709" w:type="dxa"/>
            <w:vAlign w:val="center"/>
          </w:tcPr>
          <w:p w14:paraId="366173A0">
            <w:pPr>
              <w:jc w:val="center"/>
              <w:rPr>
                <w:color w:val="FF0000"/>
              </w:rPr>
            </w:pPr>
            <w:r>
              <w:rPr>
                <w:rFonts w:hint="eastAsia"/>
                <w:sz w:val="18"/>
                <w:szCs w:val="18"/>
              </w:rPr>
              <w:t>1</w:t>
            </w:r>
          </w:p>
        </w:tc>
        <w:tc>
          <w:tcPr>
            <w:tcW w:w="1045" w:type="dxa"/>
            <w:vMerge w:val="continue"/>
            <w:tcBorders/>
            <w:vAlign w:val="center"/>
          </w:tcPr>
          <w:p w14:paraId="539D9B0A">
            <w:pPr>
              <w:adjustRightInd w:val="0"/>
              <w:snapToGrid w:val="0"/>
              <w:jc w:val="center"/>
              <w:rPr>
                <w:sz w:val="18"/>
                <w:szCs w:val="18"/>
              </w:rPr>
            </w:pPr>
          </w:p>
        </w:tc>
      </w:tr>
      <w:tr w14:paraId="6AB5EB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889D74B">
            <w:pPr>
              <w:rPr>
                <w:b/>
                <w:color w:val="000000" w:themeColor="text1"/>
                <w:sz w:val="18"/>
                <w:szCs w:val="18"/>
                <w14:textFill>
                  <w14:solidFill>
                    <w14:schemeClr w14:val="tx1"/>
                  </w14:solidFill>
                </w14:textFill>
              </w:rPr>
            </w:pPr>
          </w:p>
        </w:tc>
        <w:tc>
          <w:tcPr>
            <w:tcW w:w="1226" w:type="dxa"/>
            <w:vMerge w:val="continue"/>
            <w:tcBorders/>
            <w:vAlign w:val="center"/>
          </w:tcPr>
          <w:p w14:paraId="33FD447B">
            <w:pPr>
              <w:adjustRightInd w:val="0"/>
              <w:snapToGrid w:val="0"/>
              <w:jc w:val="center"/>
              <w:rPr>
                <w:b/>
                <w:color w:val="FF0000"/>
                <w:sz w:val="18"/>
                <w:szCs w:val="18"/>
              </w:rPr>
            </w:pPr>
          </w:p>
        </w:tc>
        <w:tc>
          <w:tcPr>
            <w:tcW w:w="3342" w:type="dxa"/>
            <w:vAlign w:val="center"/>
          </w:tcPr>
          <w:p w14:paraId="03F2F873">
            <w:pP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信息服务</w:t>
            </w:r>
          </w:p>
        </w:tc>
        <w:tc>
          <w:tcPr>
            <w:tcW w:w="1255" w:type="dxa"/>
            <w:vAlign w:val="center"/>
          </w:tcPr>
          <w:p w14:paraId="568ACA7C">
            <w:pPr>
              <w:jc w:val="center"/>
              <w:rPr>
                <w:rFonts w:hint="default" w:eastAsia="宋体"/>
                <w:sz w:val="18"/>
                <w:szCs w:val="18"/>
                <w:lang w:val="en-US" w:eastAsia="zh-CN"/>
              </w:rPr>
            </w:pPr>
            <w:r>
              <w:rPr>
                <w:rFonts w:hint="eastAsia"/>
                <w:sz w:val="18"/>
                <w:szCs w:val="18"/>
                <w:lang w:val="en-US" w:eastAsia="zh-CN"/>
              </w:rPr>
              <w:t>XB0420213</w:t>
            </w:r>
          </w:p>
        </w:tc>
        <w:tc>
          <w:tcPr>
            <w:tcW w:w="709" w:type="dxa"/>
            <w:vAlign w:val="center"/>
          </w:tcPr>
          <w:p w14:paraId="20D78780">
            <w:pPr>
              <w:jc w:val="center"/>
              <w:rPr>
                <w:rFonts w:hint="eastAsia" w:eastAsia="宋体"/>
                <w:sz w:val="18"/>
                <w:szCs w:val="18"/>
                <w:lang w:val="en-US" w:eastAsia="zh-CN"/>
              </w:rPr>
            </w:pPr>
            <w:r>
              <w:rPr>
                <w:rFonts w:hint="eastAsia"/>
                <w:sz w:val="18"/>
                <w:szCs w:val="18"/>
                <w:lang w:val="en-US" w:eastAsia="zh-CN"/>
              </w:rPr>
              <w:t>3</w:t>
            </w:r>
          </w:p>
        </w:tc>
        <w:tc>
          <w:tcPr>
            <w:tcW w:w="709" w:type="dxa"/>
            <w:vAlign w:val="center"/>
          </w:tcPr>
          <w:p w14:paraId="16885FE7">
            <w:pPr>
              <w:jc w:val="center"/>
              <w:rPr>
                <w:rFonts w:hint="eastAsia" w:eastAsia="宋体"/>
                <w:sz w:val="18"/>
                <w:szCs w:val="18"/>
                <w:lang w:val="en-US" w:eastAsia="zh-CN"/>
              </w:rPr>
            </w:pPr>
            <w:r>
              <w:rPr>
                <w:rFonts w:hint="eastAsia"/>
                <w:sz w:val="18"/>
                <w:szCs w:val="18"/>
                <w:lang w:val="en-US" w:eastAsia="zh-CN"/>
              </w:rPr>
              <w:t>1</w:t>
            </w:r>
          </w:p>
        </w:tc>
        <w:tc>
          <w:tcPr>
            <w:tcW w:w="1045" w:type="dxa"/>
            <w:vMerge w:val="continue"/>
            <w:tcBorders/>
            <w:vAlign w:val="center"/>
          </w:tcPr>
          <w:p w14:paraId="1201B613">
            <w:pPr>
              <w:adjustRightInd w:val="0"/>
              <w:snapToGrid w:val="0"/>
              <w:jc w:val="center"/>
              <w:rPr>
                <w:sz w:val="18"/>
                <w:szCs w:val="18"/>
              </w:rPr>
            </w:pPr>
          </w:p>
        </w:tc>
      </w:tr>
      <w:tr w14:paraId="1A2AEC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BBFAAD6">
            <w:pPr>
              <w:rPr>
                <w:b/>
                <w:color w:val="000000" w:themeColor="text1"/>
                <w:sz w:val="18"/>
                <w:szCs w:val="18"/>
                <w14:textFill>
                  <w14:solidFill>
                    <w14:schemeClr w14:val="tx1"/>
                  </w14:solidFill>
                </w14:textFill>
              </w:rPr>
            </w:pPr>
          </w:p>
        </w:tc>
        <w:tc>
          <w:tcPr>
            <w:tcW w:w="1226" w:type="dxa"/>
            <w:vMerge w:val="restart"/>
          </w:tcPr>
          <w:p w14:paraId="412D8F17">
            <w:pPr>
              <w:jc w:val="center"/>
              <w:rPr>
                <w:b/>
                <w:color w:val="000000" w:themeColor="text1"/>
                <w:sz w:val="18"/>
                <w:szCs w:val="18"/>
                <w14:textFill>
                  <w14:solidFill>
                    <w14:schemeClr w14:val="tx1"/>
                  </w14:solidFill>
                </w14:textFill>
              </w:rPr>
            </w:pPr>
            <w:r>
              <w:rPr>
                <w:rFonts w:hint="eastAsia"/>
                <w:b/>
                <w:sz w:val="18"/>
                <w:szCs w:val="18"/>
              </w:rPr>
              <w:t>情报学</w:t>
            </w:r>
            <w:r>
              <w:rPr>
                <w:b/>
                <w:color w:val="000000" w:themeColor="text1"/>
                <w:sz w:val="18"/>
                <w:szCs w:val="18"/>
                <w14:textFill>
                  <w14:solidFill>
                    <w14:schemeClr w14:val="tx1"/>
                  </w14:solidFill>
                </w14:textFill>
              </w:rPr>
              <w:t>方向选修课</w:t>
            </w:r>
          </w:p>
        </w:tc>
        <w:tc>
          <w:tcPr>
            <w:tcW w:w="3342" w:type="dxa"/>
            <w:vAlign w:val="center"/>
          </w:tcPr>
          <w:p w14:paraId="0BD72B58">
            <w:pPr>
              <w:adjustRightInd w:val="0"/>
              <w:snapToGrid w:val="0"/>
              <w:rPr>
                <w:i/>
                <w:color w:val="FF0000"/>
                <w:sz w:val="18"/>
                <w:szCs w:val="18"/>
              </w:rPr>
            </w:pPr>
            <w:r>
              <w:rPr>
                <w:rFonts w:hint="eastAsia"/>
                <w:color w:val="000000" w:themeColor="text1"/>
                <w:sz w:val="18"/>
                <w:szCs w:val="18"/>
                <w14:textFill>
                  <w14:solidFill>
                    <w14:schemeClr w14:val="tx1"/>
                  </w14:solidFill>
                </w14:textFill>
              </w:rPr>
              <w:t>特色课程：信息智能处理与检索</w:t>
            </w:r>
          </w:p>
        </w:tc>
        <w:tc>
          <w:tcPr>
            <w:tcW w:w="1255" w:type="dxa"/>
            <w:vAlign w:val="center"/>
          </w:tcPr>
          <w:p w14:paraId="58A6751B">
            <w:pPr>
              <w:jc w:val="center"/>
              <w:rPr>
                <w:i/>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20205</w:t>
            </w:r>
          </w:p>
        </w:tc>
        <w:tc>
          <w:tcPr>
            <w:tcW w:w="709" w:type="dxa"/>
            <w:vAlign w:val="center"/>
          </w:tcPr>
          <w:p w14:paraId="04E7781C">
            <w:pPr>
              <w:jc w:val="center"/>
              <w:rPr>
                <w:i/>
                <w:color w:val="FF0000"/>
                <w:sz w:val="18"/>
                <w:szCs w:val="18"/>
              </w:rPr>
            </w:pPr>
            <w:r>
              <w:rPr>
                <w:rFonts w:hint="eastAsia"/>
                <w:sz w:val="18"/>
                <w:szCs w:val="18"/>
              </w:rPr>
              <w:t>3</w:t>
            </w:r>
          </w:p>
        </w:tc>
        <w:tc>
          <w:tcPr>
            <w:tcW w:w="709" w:type="dxa"/>
            <w:vAlign w:val="center"/>
          </w:tcPr>
          <w:p w14:paraId="3EF781D8">
            <w:pPr>
              <w:jc w:val="center"/>
              <w:rPr>
                <w:i/>
                <w:color w:val="FF0000"/>
                <w:sz w:val="18"/>
                <w:szCs w:val="18"/>
              </w:rPr>
            </w:pPr>
            <w:r>
              <w:rPr>
                <w:rFonts w:hint="eastAsia"/>
                <w:sz w:val="18"/>
                <w:szCs w:val="18"/>
              </w:rPr>
              <w:t>1</w:t>
            </w:r>
          </w:p>
        </w:tc>
        <w:tc>
          <w:tcPr>
            <w:tcW w:w="1045" w:type="dxa"/>
            <w:vMerge w:val="restart"/>
            <w:vAlign w:val="center"/>
          </w:tcPr>
          <w:p w14:paraId="383D13BC">
            <w:pPr>
              <w:jc w:val="center"/>
              <w:rPr>
                <w:sz w:val="18"/>
                <w:szCs w:val="18"/>
              </w:rPr>
            </w:pPr>
            <w:r>
              <w:rPr>
                <w:sz w:val="18"/>
                <w:szCs w:val="18"/>
              </w:rPr>
              <w:t>本方向研究生至少选修</w:t>
            </w:r>
            <w:r>
              <w:rPr>
                <w:rFonts w:hint="eastAsia"/>
                <w:sz w:val="18"/>
                <w:szCs w:val="18"/>
              </w:rPr>
              <w:t>3</w:t>
            </w:r>
            <w:r>
              <w:rPr>
                <w:sz w:val="18"/>
                <w:szCs w:val="18"/>
              </w:rPr>
              <w:t>学分</w:t>
            </w:r>
          </w:p>
        </w:tc>
      </w:tr>
      <w:tr w14:paraId="44661B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F2FEDB">
            <w:pPr>
              <w:rPr>
                <w:b/>
                <w:color w:val="000000" w:themeColor="text1"/>
                <w:sz w:val="18"/>
                <w:szCs w:val="18"/>
                <w14:textFill>
                  <w14:solidFill>
                    <w14:schemeClr w14:val="tx1"/>
                  </w14:solidFill>
                </w14:textFill>
              </w:rPr>
            </w:pPr>
          </w:p>
        </w:tc>
        <w:tc>
          <w:tcPr>
            <w:tcW w:w="1226" w:type="dxa"/>
            <w:vMerge w:val="continue"/>
          </w:tcPr>
          <w:p w14:paraId="4827E230">
            <w:pPr>
              <w:jc w:val="center"/>
              <w:rPr>
                <w:b/>
                <w:color w:val="000000" w:themeColor="text1"/>
                <w:sz w:val="18"/>
                <w:szCs w:val="18"/>
                <w14:textFill>
                  <w14:solidFill>
                    <w14:schemeClr w14:val="tx1"/>
                  </w14:solidFill>
                </w14:textFill>
              </w:rPr>
            </w:pPr>
          </w:p>
        </w:tc>
        <w:tc>
          <w:tcPr>
            <w:tcW w:w="3342" w:type="dxa"/>
            <w:vAlign w:val="center"/>
          </w:tcPr>
          <w:p w14:paraId="3D1D21FB">
            <w:pPr>
              <w:adjustRightInd w:val="0"/>
              <w:snapToGrid w:val="0"/>
              <w:rPr>
                <w:i/>
                <w:color w:val="FF0000"/>
                <w:sz w:val="18"/>
                <w:szCs w:val="18"/>
              </w:rPr>
            </w:pPr>
            <w:r>
              <w:rPr>
                <w:rFonts w:hint="eastAsia"/>
                <w:color w:val="000000" w:themeColor="text1"/>
                <w:sz w:val="18"/>
                <w:szCs w:val="18"/>
                <w14:textFill>
                  <w14:solidFill>
                    <w14:schemeClr w14:val="tx1"/>
                  </w14:solidFill>
                </w14:textFill>
              </w:rPr>
              <w:t>情报学学术前沿</w:t>
            </w:r>
          </w:p>
        </w:tc>
        <w:tc>
          <w:tcPr>
            <w:tcW w:w="1255" w:type="dxa"/>
            <w:vAlign w:val="center"/>
          </w:tcPr>
          <w:p w14:paraId="21AD6C28">
            <w:pPr>
              <w:jc w:val="center"/>
              <w:rPr>
                <w:i/>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20206</w:t>
            </w:r>
          </w:p>
        </w:tc>
        <w:tc>
          <w:tcPr>
            <w:tcW w:w="709" w:type="dxa"/>
            <w:vAlign w:val="center"/>
          </w:tcPr>
          <w:p w14:paraId="151B096F">
            <w:pPr>
              <w:jc w:val="center"/>
              <w:rPr>
                <w:i/>
                <w:color w:val="FF0000"/>
                <w:sz w:val="18"/>
                <w:szCs w:val="18"/>
              </w:rPr>
            </w:pPr>
            <w:r>
              <w:rPr>
                <w:rFonts w:hint="eastAsia"/>
                <w:sz w:val="18"/>
                <w:szCs w:val="18"/>
              </w:rPr>
              <w:t>3</w:t>
            </w:r>
          </w:p>
        </w:tc>
        <w:tc>
          <w:tcPr>
            <w:tcW w:w="709" w:type="dxa"/>
            <w:vAlign w:val="center"/>
          </w:tcPr>
          <w:p w14:paraId="4945A511">
            <w:pPr>
              <w:jc w:val="center"/>
              <w:rPr>
                <w:i/>
                <w:color w:val="FF0000"/>
                <w:sz w:val="18"/>
                <w:szCs w:val="18"/>
              </w:rPr>
            </w:pPr>
            <w:r>
              <w:rPr>
                <w:rFonts w:hint="eastAsia"/>
                <w:sz w:val="18"/>
                <w:szCs w:val="18"/>
              </w:rPr>
              <w:t>1</w:t>
            </w:r>
          </w:p>
        </w:tc>
        <w:tc>
          <w:tcPr>
            <w:tcW w:w="1045" w:type="dxa"/>
            <w:vMerge w:val="continue"/>
            <w:vAlign w:val="center"/>
          </w:tcPr>
          <w:p w14:paraId="0FDA4A6E">
            <w:pPr>
              <w:jc w:val="center"/>
              <w:rPr>
                <w:sz w:val="18"/>
                <w:szCs w:val="18"/>
              </w:rPr>
            </w:pPr>
          </w:p>
        </w:tc>
      </w:tr>
      <w:tr w14:paraId="1129B5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0036C2">
            <w:pPr>
              <w:rPr>
                <w:b/>
                <w:color w:val="000000" w:themeColor="text1"/>
                <w:sz w:val="18"/>
                <w:szCs w:val="18"/>
                <w14:textFill>
                  <w14:solidFill>
                    <w14:schemeClr w14:val="tx1"/>
                  </w14:solidFill>
                </w14:textFill>
              </w:rPr>
            </w:pPr>
          </w:p>
        </w:tc>
        <w:tc>
          <w:tcPr>
            <w:tcW w:w="1226" w:type="dxa"/>
            <w:vMerge w:val="restart"/>
          </w:tcPr>
          <w:p w14:paraId="27419DA6">
            <w:pPr>
              <w:adjustRightInd w:val="0"/>
              <w:snapToGrid w:val="0"/>
              <w:jc w:val="center"/>
              <w:rPr>
                <w:b/>
                <w:color w:val="000000" w:themeColor="text1"/>
                <w:sz w:val="18"/>
                <w:szCs w:val="18"/>
                <w14:textFill>
                  <w14:solidFill>
                    <w14:schemeClr w14:val="tx1"/>
                  </w14:solidFill>
                </w14:textFill>
              </w:rPr>
            </w:pPr>
            <w:r>
              <w:rPr>
                <w:rFonts w:hint="eastAsia"/>
                <w:b/>
                <w:sz w:val="18"/>
                <w:szCs w:val="18"/>
              </w:rPr>
              <w:t>档案学</w:t>
            </w:r>
            <w:r>
              <w:rPr>
                <w:b/>
                <w:color w:val="000000" w:themeColor="text1"/>
                <w:sz w:val="18"/>
                <w:szCs w:val="18"/>
                <w14:textFill>
                  <w14:solidFill>
                    <w14:schemeClr w14:val="tx1"/>
                  </w14:solidFill>
                </w14:textFill>
              </w:rPr>
              <w:t>方向选修课</w:t>
            </w:r>
          </w:p>
        </w:tc>
        <w:tc>
          <w:tcPr>
            <w:tcW w:w="3342" w:type="dxa"/>
            <w:vAlign w:val="center"/>
          </w:tcPr>
          <w:p w14:paraId="1B49B5BC">
            <w:pPr>
              <w:adjustRightInd w:val="0"/>
              <w:snapToGrid w:val="0"/>
              <w:rPr>
                <w:i/>
                <w:color w:val="FF0000"/>
                <w:sz w:val="18"/>
                <w:szCs w:val="18"/>
              </w:rPr>
            </w:pPr>
            <w:r>
              <w:rPr>
                <w:rFonts w:hint="eastAsia"/>
                <w:color w:val="000000" w:themeColor="text1"/>
                <w:sz w:val="18"/>
                <w:szCs w:val="18"/>
                <w14:textFill>
                  <w14:solidFill>
                    <w14:schemeClr w14:val="tx1"/>
                  </w14:solidFill>
                </w14:textFill>
              </w:rPr>
              <w:t>特色课程：档案学基础理论专题</w:t>
            </w:r>
          </w:p>
        </w:tc>
        <w:tc>
          <w:tcPr>
            <w:tcW w:w="1255" w:type="dxa"/>
            <w:vAlign w:val="center"/>
          </w:tcPr>
          <w:p w14:paraId="75CDAB42">
            <w:pPr>
              <w:jc w:val="center"/>
              <w:rPr>
                <w:rFonts w:hint="default" w:eastAsia="宋体"/>
                <w:i/>
                <w:color w:val="FF0000"/>
                <w:sz w:val="18"/>
                <w:szCs w:val="18"/>
                <w:lang w:val="en-US" w:eastAsia="zh-CN"/>
              </w:rPr>
            </w:pPr>
            <w:r>
              <w:rPr>
                <w:rFonts w:hint="eastAsia"/>
                <w:sz w:val="18"/>
                <w:szCs w:val="18"/>
              </w:rPr>
              <w:t>XB</w:t>
            </w:r>
            <w:r>
              <w:rPr>
                <w:color w:val="000000"/>
                <w:kern w:val="0"/>
                <w:sz w:val="18"/>
                <w:szCs w:val="18"/>
              </w:rPr>
              <w:t>04</w:t>
            </w:r>
            <w:r>
              <w:rPr>
                <w:rFonts w:hint="eastAsia"/>
                <w:color w:val="000000"/>
                <w:kern w:val="0"/>
                <w:sz w:val="18"/>
                <w:szCs w:val="18"/>
              </w:rPr>
              <w:t>202</w:t>
            </w:r>
            <w:r>
              <w:rPr>
                <w:rFonts w:hint="eastAsia"/>
                <w:color w:val="000000"/>
                <w:kern w:val="0"/>
                <w:sz w:val="18"/>
                <w:szCs w:val="18"/>
                <w:lang w:val="en-US" w:eastAsia="zh-CN"/>
              </w:rPr>
              <w:t>10</w:t>
            </w:r>
          </w:p>
        </w:tc>
        <w:tc>
          <w:tcPr>
            <w:tcW w:w="709" w:type="dxa"/>
            <w:vAlign w:val="center"/>
          </w:tcPr>
          <w:p w14:paraId="6E300B7E">
            <w:pPr>
              <w:jc w:val="center"/>
              <w:rPr>
                <w:i/>
                <w:color w:val="FF0000"/>
                <w:sz w:val="18"/>
                <w:szCs w:val="18"/>
              </w:rPr>
            </w:pPr>
            <w:r>
              <w:rPr>
                <w:rFonts w:hint="eastAsia"/>
                <w:sz w:val="18"/>
                <w:szCs w:val="18"/>
              </w:rPr>
              <w:t>3</w:t>
            </w:r>
          </w:p>
        </w:tc>
        <w:tc>
          <w:tcPr>
            <w:tcW w:w="709" w:type="dxa"/>
            <w:vAlign w:val="center"/>
          </w:tcPr>
          <w:p w14:paraId="4435DF2D">
            <w:pPr>
              <w:jc w:val="center"/>
              <w:rPr>
                <w:i/>
                <w:color w:val="FF0000"/>
                <w:sz w:val="18"/>
                <w:szCs w:val="18"/>
              </w:rPr>
            </w:pPr>
            <w:r>
              <w:rPr>
                <w:rFonts w:hint="eastAsia"/>
                <w:sz w:val="18"/>
                <w:szCs w:val="18"/>
              </w:rPr>
              <w:t>1</w:t>
            </w:r>
          </w:p>
        </w:tc>
        <w:tc>
          <w:tcPr>
            <w:tcW w:w="1045" w:type="dxa"/>
            <w:vMerge w:val="restart"/>
            <w:vAlign w:val="center"/>
          </w:tcPr>
          <w:p w14:paraId="61BFABAB">
            <w:pPr>
              <w:jc w:val="center"/>
              <w:rPr>
                <w:sz w:val="18"/>
                <w:szCs w:val="18"/>
              </w:rPr>
            </w:pPr>
            <w:r>
              <w:rPr>
                <w:sz w:val="18"/>
                <w:szCs w:val="18"/>
              </w:rPr>
              <w:t>本方向研究生至少选修</w:t>
            </w:r>
            <w:r>
              <w:rPr>
                <w:rFonts w:hint="eastAsia"/>
                <w:sz w:val="18"/>
                <w:szCs w:val="18"/>
              </w:rPr>
              <w:t>3</w:t>
            </w:r>
            <w:r>
              <w:rPr>
                <w:sz w:val="18"/>
                <w:szCs w:val="18"/>
              </w:rPr>
              <w:t>学分</w:t>
            </w:r>
          </w:p>
        </w:tc>
      </w:tr>
      <w:tr w14:paraId="16FA70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C0897E">
            <w:pPr>
              <w:rPr>
                <w:b/>
                <w:color w:val="000000" w:themeColor="text1"/>
                <w:sz w:val="18"/>
                <w:szCs w:val="18"/>
                <w14:textFill>
                  <w14:solidFill>
                    <w14:schemeClr w14:val="tx1"/>
                  </w14:solidFill>
                </w14:textFill>
              </w:rPr>
            </w:pPr>
          </w:p>
        </w:tc>
        <w:tc>
          <w:tcPr>
            <w:tcW w:w="1226" w:type="dxa"/>
            <w:vMerge w:val="continue"/>
          </w:tcPr>
          <w:p w14:paraId="0A6765CB">
            <w:pPr>
              <w:jc w:val="center"/>
              <w:rPr>
                <w:b/>
                <w:color w:val="000000" w:themeColor="text1"/>
                <w:sz w:val="18"/>
                <w:szCs w:val="18"/>
                <w14:textFill>
                  <w14:solidFill>
                    <w14:schemeClr w14:val="tx1"/>
                  </w14:solidFill>
                </w14:textFill>
              </w:rPr>
            </w:pPr>
          </w:p>
        </w:tc>
        <w:tc>
          <w:tcPr>
            <w:tcW w:w="3342" w:type="dxa"/>
            <w:vAlign w:val="center"/>
          </w:tcPr>
          <w:p w14:paraId="3BB8C702">
            <w:pPr>
              <w:adjustRightInd w:val="0"/>
              <w:snapToGrid w:val="0"/>
              <w:rPr>
                <w:i/>
                <w:color w:val="FF0000"/>
                <w:sz w:val="18"/>
                <w:szCs w:val="18"/>
              </w:rPr>
            </w:pPr>
            <w:r>
              <w:rPr>
                <w:rFonts w:hint="eastAsia"/>
                <w:color w:val="000000" w:themeColor="text1"/>
                <w:sz w:val="18"/>
                <w:szCs w:val="18"/>
                <w14:textFill>
                  <w14:solidFill>
                    <w14:schemeClr w14:val="tx1"/>
                  </w14:solidFill>
                </w14:textFill>
              </w:rPr>
              <w:t>档案学学术前沿</w:t>
            </w:r>
          </w:p>
        </w:tc>
        <w:tc>
          <w:tcPr>
            <w:tcW w:w="1255" w:type="dxa"/>
            <w:vAlign w:val="center"/>
          </w:tcPr>
          <w:p w14:paraId="3AB75C49">
            <w:pPr>
              <w:jc w:val="center"/>
              <w:rPr>
                <w:rFonts w:hint="default" w:eastAsia="宋体"/>
                <w:i/>
                <w:color w:val="FF0000"/>
                <w:sz w:val="18"/>
                <w:szCs w:val="18"/>
                <w:lang w:val="en-US" w:eastAsia="zh-CN"/>
              </w:rPr>
            </w:pPr>
            <w:r>
              <w:rPr>
                <w:rFonts w:hint="eastAsia"/>
                <w:sz w:val="18"/>
                <w:szCs w:val="18"/>
              </w:rPr>
              <w:t>XB</w:t>
            </w:r>
            <w:r>
              <w:rPr>
                <w:color w:val="000000"/>
                <w:kern w:val="0"/>
                <w:sz w:val="18"/>
                <w:szCs w:val="18"/>
              </w:rPr>
              <w:t>04</w:t>
            </w:r>
            <w:r>
              <w:rPr>
                <w:rFonts w:hint="eastAsia"/>
                <w:color w:val="000000"/>
                <w:kern w:val="0"/>
                <w:sz w:val="18"/>
                <w:szCs w:val="18"/>
              </w:rPr>
              <w:t>202</w:t>
            </w:r>
            <w:r>
              <w:rPr>
                <w:rFonts w:hint="eastAsia"/>
                <w:color w:val="000000"/>
                <w:kern w:val="0"/>
                <w:sz w:val="18"/>
                <w:szCs w:val="18"/>
                <w:lang w:val="en-US" w:eastAsia="zh-CN"/>
              </w:rPr>
              <w:t>11</w:t>
            </w:r>
          </w:p>
        </w:tc>
        <w:tc>
          <w:tcPr>
            <w:tcW w:w="709" w:type="dxa"/>
            <w:vAlign w:val="center"/>
          </w:tcPr>
          <w:p w14:paraId="275C3E14">
            <w:pPr>
              <w:jc w:val="center"/>
              <w:rPr>
                <w:i/>
                <w:color w:val="FF0000"/>
                <w:sz w:val="18"/>
                <w:szCs w:val="18"/>
              </w:rPr>
            </w:pPr>
            <w:r>
              <w:rPr>
                <w:rFonts w:hint="eastAsia"/>
                <w:sz w:val="18"/>
                <w:szCs w:val="18"/>
              </w:rPr>
              <w:t>3</w:t>
            </w:r>
          </w:p>
        </w:tc>
        <w:tc>
          <w:tcPr>
            <w:tcW w:w="709" w:type="dxa"/>
            <w:vAlign w:val="center"/>
          </w:tcPr>
          <w:p w14:paraId="18C64BC7">
            <w:pPr>
              <w:jc w:val="center"/>
              <w:rPr>
                <w:i/>
                <w:color w:val="FF0000"/>
                <w:sz w:val="18"/>
                <w:szCs w:val="18"/>
              </w:rPr>
            </w:pPr>
            <w:r>
              <w:rPr>
                <w:rFonts w:hint="eastAsia"/>
                <w:sz w:val="18"/>
                <w:szCs w:val="18"/>
              </w:rPr>
              <w:t>1</w:t>
            </w:r>
          </w:p>
        </w:tc>
        <w:tc>
          <w:tcPr>
            <w:tcW w:w="1045" w:type="dxa"/>
            <w:vMerge w:val="continue"/>
            <w:vAlign w:val="center"/>
          </w:tcPr>
          <w:p w14:paraId="0A55C1DA">
            <w:pPr>
              <w:jc w:val="center"/>
              <w:rPr>
                <w:sz w:val="18"/>
                <w:szCs w:val="18"/>
              </w:rPr>
            </w:pPr>
          </w:p>
        </w:tc>
      </w:tr>
      <w:tr w14:paraId="40040F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A3783E">
            <w:pPr>
              <w:rPr>
                <w:b/>
                <w:color w:val="000000" w:themeColor="text1"/>
                <w:sz w:val="18"/>
                <w:szCs w:val="18"/>
                <w14:textFill>
                  <w14:solidFill>
                    <w14:schemeClr w14:val="tx1"/>
                  </w14:solidFill>
                </w14:textFill>
              </w:rPr>
            </w:pPr>
          </w:p>
        </w:tc>
        <w:tc>
          <w:tcPr>
            <w:tcW w:w="1226" w:type="dxa"/>
            <w:vMerge w:val="restart"/>
          </w:tcPr>
          <w:p w14:paraId="5A48C55A">
            <w:pPr>
              <w:jc w:val="center"/>
              <w:rPr>
                <w:b/>
                <w:color w:val="000000" w:themeColor="text1"/>
                <w:sz w:val="18"/>
                <w:szCs w:val="18"/>
                <w14:textFill>
                  <w14:solidFill>
                    <w14:schemeClr w14:val="tx1"/>
                  </w14:solidFill>
                </w14:textFill>
              </w:rPr>
            </w:pPr>
            <w:r>
              <w:rPr>
                <w:rFonts w:hint="eastAsia"/>
                <w:b/>
                <w:sz w:val="18"/>
                <w:szCs w:val="18"/>
              </w:rPr>
              <w:t>文献学方向专业选修课</w:t>
            </w:r>
          </w:p>
        </w:tc>
        <w:tc>
          <w:tcPr>
            <w:tcW w:w="3342" w:type="dxa"/>
            <w:vAlign w:val="center"/>
          </w:tcPr>
          <w:p w14:paraId="34C7FDF0">
            <w:pPr>
              <w:adjustRightInd w:val="0"/>
              <w:snapToGrid w:val="0"/>
              <w:rPr>
                <w:i/>
                <w:color w:val="FF0000"/>
                <w:sz w:val="18"/>
                <w:szCs w:val="18"/>
              </w:rPr>
            </w:pPr>
            <w:r>
              <w:rPr>
                <w:rFonts w:hint="eastAsia"/>
                <w:color w:val="000000" w:themeColor="text1"/>
                <w:sz w:val="18"/>
                <w:szCs w:val="18"/>
                <w14:textFill>
                  <w14:solidFill>
                    <w14:schemeClr w14:val="tx1"/>
                  </w14:solidFill>
                </w14:textFill>
              </w:rPr>
              <w:t>特色课程：文献学研究基础</w:t>
            </w:r>
          </w:p>
        </w:tc>
        <w:tc>
          <w:tcPr>
            <w:tcW w:w="1255" w:type="dxa"/>
            <w:vAlign w:val="center"/>
          </w:tcPr>
          <w:p w14:paraId="7765BDC5">
            <w:pPr>
              <w:jc w:val="center"/>
              <w:rPr>
                <w:i/>
                <w:color w:val="FF0000"/>
                <w:sz w:val="18"/>
                <w:szCs w:val="18"/>
              </w:rPr>
            </w:pPr>
            <w:r>
              <w:rPr>
                <w:rFonts w:hint="eastAsia"/>
                <w:sz w:val="18"/>
                <w:szCs w:val="18"/>
              </w:rPr>
              <w:t>XB</w:t>
            </w:r>
            <w:r>
              <w:rPr>
                <w:color w:val="000000"/>
                <w:kern w:val="0"/>
                <w:sz w:val="18"/>
                <w:szCs w:val="18"/>
              </w:rPr>
              <w:t>04</w:t>
            </w:r>
            <w:r>
              <w:rPr>
                <w:rFonts w:hint="eastAsia"/>
                <w:color w:val="000000"/>
                <w:kern w:val="0"/>
                <w:sz w:val="18"/>
                <w:szCs w:val="18"/>
              </w:rPr>
              <w:t>20209</w:t>
            </w:r>
          </w:p>
        </w:tc>
        <w:tc>
          <w:tcPr>
            <w:tcW w:w="709" w:type="dxa"/>
            <w:vAlign w:val="center"/>
          </w:tcPr>
          <w:p w14:paraId="152E29C0">
            <w:pPr>
              <w:jc w:val="center"/>
              <w:rPr>
                <w:i/>
                <w:color w:val="FF0000"/>
                <w:sz w:val="18"/>
                <w:szCs w:val="18"/>
              </w:rPr>
            </w:pPr>
            <w:r>
              <w:rPr>
                <w:rFonts w:hint="eastAsia"/>
                <w:sz w:val="18"/>
                <w:szCs w:val="18"/>
              </w:rPr>
              <w:t>3</w:t>
            </w:r>
          </w:p>
        </w:tc>
        <w:tc>
          <w:tcPr>
            <w:tcW w:w="709" w:type="dxa"/>
            <w:vAlign w:val="center"/>
          </w:tcPr>
          <w:p w14:paraId="270475E8">
            <w:pPr>
              <w:jc w:val="center"/>
              <w:rPr>
                <w:i/>
                <w:color w:val="FF0000"/>
                <w:sz w:val="18"/>
                <w:szCs w:val="18"/>
              </w:rPr>
            </w:pPr>
            <w:r>
              <w:rPr>
                <w:rFonts w:hint="eastAsia"/>
                <w:sz w:val="18"/>
                <w:szCs w:val="18"/>
              </w:rPr>
              <w:t>1</w:t>
            </w:r>
          </w:p>
        </w:tc>
        <w:tc>
          <w:tcPr>
            <w:tcW w:w="1045" w:type="dxa"/>
            <w:vMerge w:val="restart"/>
            <w:vAlign w:val="center"/>
          </w:tcPr>
          <w:p w14:paraId="712BFFDF">
            <w:pPr>
              <w:jc w:val="center"/>
              <w:rPr>
                <w:sz w:val="18"/>
                <w:szCs w:val="18"/>
              </w:rPr>
            </w:pPr>
            <w:r>
              <w:rPr>
                <w:sz w:val="18"/>
                <w:szCs w:val="18"/>
              </w:rPr>
              <w:t>本方向研究生至少选修</w:t>
            </w:r>
            <w:r>
              <w:rPr>
                <w:rFonts w:hint="eastAsia"/>
                <w:sz w:val="18"/>
                <w:szCs w:val="18"/>
              </w:rPr>
              <w:t>3</w:t>
            </w:r>
            <w:r>
              <w:rPr>
                <w:sz w:val="18"/>
                <w:szCs w:val="18"/>
              </w:rPr>
              <w:t>学分</w:t>
            </w:r>
          </w:p>
        </w:tc>
      </w:tr>
      <w:tr w14:paraId="6A178B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C9C2140">
            <w:pPr>
              <w:rPr>
                <w:b/>
                <w:color w:val="000000" w:themeColor="text1"/>
                <w:sz w:val="18"/>
                <w:szCs w:val="18"/>
                <w14:textFill>
                  <w14:solidFill>
                    <w14:schemeClr w14:val="tx1"/>
                  </w14:solidFill>
                </w14:textFill>
              </w:rPr>
            </w:pPr>
          </w:p>
        </w:tc>
        <w:tc>
          <w:tcPr>
            <w:tcW w:w="1226" w:type="dxa"/>
            <w:vMerge w:val="continue"/>
          </w:tcPr>
          <w:p w14:paraId="4CB45822">
            <w:pPr>
              <w:jc w:val="center"/>
              <w:rPr>
                <w:b/>
                <w:color w:val="000000" w:themeColor="text1"/>
                <w:sz w:val="18"/>
                <w:szCs w:val="18"/>
                <w14:textFill>
                  <w14:solidFill>
                    <w14:schemeClr w14:val="tx1"/>
                  </w14:solidFill>
                </w14:textFill>
              </w:rPr>
            </w:pPr>
          </w:p>
        </w:tc>
        <w:tc>
          <w:tcPr>
            <w:tcW w:w="3342" w:type="dxa"/>
            <w:vAlign w:val="center"/>
          </w:tcPr>
          <w:p w14:paraId="3DA5FFEC">
            <w:pPr>
              <w:adjustRightInd w:val="0"/>
              <w:snapToGrid w:val="0"/>
              <w:rPr>
                <w:i/>
                <w:color w:val="FF0000"/>
                <w:sz w:val="18"/>
                <w:szCs w:val="18"/>
              </w:rPr>
            </w:pPr>
            <w:r>
              <w:rPr>
                <w:rFonts w:hint="eastAsia"/>
                <w:color w:val="000000" w:themeColor="text1"/>
                <w:sz w:val="18"/>
                <w:szCs w:val="18"/>
                <w14:textFill>
                  <w14:solidFill>
                    <w14:schemeClr w14:val="tx1"/>
                  </w14:solidFill>
                </w14:textFill>
              </w:rPr>
              <w:t>文献学学术前沿</w:t>
            </w:r>
          </w:p>
        </w:tc>
        <w:tc>
          <w:tcPr>
            <w:tcW w:w="1255" w:type="dxa"/>
            <w:vAlign w:val="center"/>
          </w:tcPr>
          <w:p w14:paraId="2457C5F8">
            <w:pPr>
              <w:jc w:val="center"/>
              <w:rPr>
                <w:rFonts w:hint="eastAsia" w:eastAsia="宋体"/>
                <w:i/>
                <w:color w:val="FF0000"/>
                <w:sz w:val="18"/>
                <w:szCs w:val="18"/>
                <w:lang w:val="en-US" w:eastAsia="zh-CN"/>
              </w:rPr>
            </w:pPr>
            <w:r>
              <w:rPr>
                <w:rFonts w:hint="eastAsia"/>
                <w:sz w:val="18"/>
                <w:szCs w:val="18"/>
              </w:rPr>
              <w:t>XB</w:t>
            </w:r>
            <w:r>
              <w:rPr>
                <w:color w:val="000000"/>
                <w:kern w:val="0"/>
                <w:sz w:val="18"/>
                <w:szCs w:val="18"/>
              </w:rPr>
              <w:t>04</w:t>
            </w:r>
            <w:r>
              <w:rPr>
                <w:rFonts w:hint="eastAsia"/>
                <w:color w:val="000000"/>
                <w:kern w:val="0"/>
                <w:sz w:val="18"/>
                <w:szCs w:val="18"/>
              </w:rPr>
              <w:t>2021</w:t>
            </w:r>
            <w:r>
              <w:rPr>
                <w:rFonts w:hint="eastAsia"/>
                <w:color w:val="000000"/>
                <w:kern w:val="0"/>
                <w:sz w:val="18"/>
                <w:szCs w:val="18"/>
                <w:lang w:val="en-US" w:eastAsia="zh-CN"/>
              </w:rPr>
              <w:t>2</w:t>
            </w:r>
            <w:bookmarkStart w:id="0" w:name="_GoBack"/>
            <w:bookmarkEnd w:id="0"/>
          </w:p>
        </w:tc>
        <w:tc>
          <w:tcPr>
            <w:tcW w:w="709" w:type="dxa"/>
            <w:vAlign w:val="center"/>
          </w:tcPr>
          <w:p w14:paraId="56528EA3">
            <w:pPr>
              <w:jc w:val="center"/>
              <w:rPr>
                <w:i/>
                <w:color w:val="FF0000"/>
                <w:sz w:val="18"/>
                <w:szCs w:val="18"/>
              </w:rPr>
            </w:pPr>
            <w:r>
              <w:rPr>
                <w:rFonts w:hint="eastAsia"/>
                <w:sz w:val="18"/>
                <w:szCs w:val="18"/>
              </w:rPr>
              <w:t>3</w:t>
            </w:r>
          </w:p>
        </w:tc>
        <w:tc>
          <w:tcPr>
            <w:tcW w:w="709" w:type="dxa"/>
            <w:vAlign w:val="center"/>
          </w:tcPr>
          <w:p w14:paraId="3836F15C">
            <w:pPr>
              <w:jc w:val="center"/>
              <w:rPr>
                <w:i/>
                <w:color w:val="FF0000"/>
                <w:sz w:val="18"/>
                <w:szCs w:val="18"/>
              </w:rPr>
            </w:pPr>
            <w:r>
              <w:rPr>
                <w:rFonts w:hint="eastAsia"/>
                <w:sz w:val="18"/>
                <w:szCs w:val="18"/>
              </w:rPr>
              <w:t>1</w:t>
            </w:r>
          </w:p>
        </w:tc>
        <w:tc>
          <w:tcPr>
            <w:tcW w:w="1045" w:type="dxa"/>
            <w:vMerge w:val="continue"/>
            <w:vAlign w:val="center"/>
          </w:tcPr>
          <w:p w14:paraId="2ED630B6">
            <w:pPr>
              <w:jc w:val="center"/>
              <w:rPr>
                <w:color w:val="000000" w:themeColor="text1"/>
                <w:sz w:val="18"/>
                <w:szCs w:val="18"/>
                <w14:textFill>
                  <w14:solidFill>
                    <w14:schemeClr w14:val="tx1"/>
                  </w14:solidFill>
                </w14:textFill>
              </w:rPr>
            </w:pPr>
          </w:p>
        </w:tc>
      </w:tr>
      <w:tr w14:paraId="5215FD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D3BA82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74AEAF5D">
            <w:pPr>
              <w:jc w:val="center"/>
              <w:rPr>
                <w:b/>
                <w:color w:val="000000" w:themeColor="text1"/>
                <w:sz w:val="18"/>
                <w:szCs w:val="18"/>
                <w14:textFill>
                  <w14:solidFill>
                    <w14:schemeClr w14:val="tx1"/>
                  </w14:solidFill>
                </w14:textFill>
              </w:rPr>
            </w:pPr>
          </w:p>
        </w:tc>
        <w:tc>
          <w:tcPr>
            <w:tcW w:w="1226" w:type="dxa"/>
            <w:vMerge w:val="restart"/>
            <w:vAlign w:val="center"/>
          </w:tcPr>
          <w:p w14:paraId="6C8A82D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342" w:type="dxa"/>
            <w:vAlign w:val="center"/>
          </w:tcPr>
          <w:p w14:paraId="18CA35E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255" w:type="dxa"/>
            <w:vAlign w:val="center"/>
          </w:tcPr>
          <w:p w14:paraId="20833AAF">
            <w:pPr>
              <w:jc w:val="center"/>
              <w:rPr>
                <w:color w:val="000000" w:themeColor="text1"/>
                <w:sz w:val="18"/>
                <w:szCs w:val="18"/>
                <w14:textFill>
                  <w14:solidFill>
                    <w14:schemeClr w14:val="tx1"/>
                  </w14:solidFill>
                </w14:textFill>
              </w:rPr>
            </w:pPr>
          </w:p>
        </w:tc>
        <w:tc>
          <w:tcPr>
            <w:tcW w:w="709" w:type="dxa"/>
            <w:vAlign w:val="center"/>
          </w:tcPr>
          <w:p w14:paraId="656F1BE5">
            <w:pPr>
              <w:jc w:val="center"/>
              <w:rPr>
                <w:color w:val="000000" w:themeColor="text1"/>
                <w:sz w:val="18"/>
                <w:szCs w:val="18"/>
                <w14:textFill>
                  <w14:solidFill>
                    <w14:schemeClr w14:val="tx1"/>
                  </w14:solidFill>
                </w14:textFill>
              </w:rPr>
            </w:pPr>
          </w:p>
        </w:tc>
        <w:tc>
          <w:tcPr>
            <w:tcW w:w="709" w:type="dxa"/>
            <w:vAlign w:val="center"/>
          </w:tcPr>
          <w:p w14:paraId="728E159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4FDFA6FC">
            <w:pPr>
              <w:jc w:val="center"/>
              <w:rPr>
                <w:i/>
                <w:color w:val="FF0000"/>
                <w:sz w:val="18"/>
                <w:szCs w:val="18"/>
              </w:rPr>
            </w:pPr>
          </w:p>
        </w:tc>
      </w:tr>
      <w:tr w14:paraId="310B01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09A681E">
            <w:pPr>
              <w:jc w:val="center"/>
              <w:rPr>
                <w:b/>
                <w:color w:val="000000" w:themeColor="text1"/>
                <w:sz w:val="18"/>
                <w:szCs w:val="18"/>
                <w14:textFill>
                  <w14:solidFill>
                    <w14:schemeClr w14:val="tx1"/>
                  </w14:solidFill>
                </w14:textFill>
              </w:rPr>
            </w:pPr>
          </w:p>
        </w:tc>
        <w:tc>
          <w:tcPr>
            <w:tcW w:w="1226" w:type="dxa"/>
            <w:vMerge w:val="continue"/>
            <w:vAlign w:val="center"/>
          </w:tcPr>
          <w:p w14:paraId="2E9912CD">
            <w:pPr>
              <w:jc w:val="center"/>
              <w:rPr>
                <w:b/>
                <w:color w:val="000000" w:themeColor="text1"/>
                <w:sz w:val="18"/>
                <w:szCs w:val="18"/>
                <w14:textFill>
                  <w14:solidFill>
                    <w14:schemeClr w14:val="tx1"/>
                  </w14:solidFill>
                </w14:textFill>
              </w:rPr>
            </w:pPr>
          </w:p>
        </w:tc>
        <w:tc>
          <w:tcPr>
            <w:tcW w:w="3342" w:type="dxa"/>
            <w:vAlign w:val="center"/>
          </w:tcPr>
          <w:p w14:paraId="41731C6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r>
              <w:rPr>
                <w:rFonts w:hint="eastAsia"/>
                <w:color w:val="000000" w:themeColor="text1"/>
                <w:sz w:val="18"/>
                <w:szCs w:val="18"/>
                <w14:textFill>
                  <w14:solidFill>
                    <w14:schemeClr w14:val="tx1"/>
                  </w14:solidFill>
                </w14:textFill>
              </w:rPr>
              <w:t>与竞赛活动</w:t>
            </w:r>
          </w:p>
        </w:tc>
        <w:tc>
          <w:tcPr>
            <w:tcW w:w="1255" w:type="dxa"/>
            <w:vAlign w:val="center"/>
          </w:tcPr>
          <w:p w14:paraId="7814DA9A">
            <w:pPr>
              <w:jc w:val="center"/>
              <w:rPr>
                <w:color w:val="000000" w:themeColor="text1"/>
                <w:sz w:val="18"/>
                <w:szCs w:val="18"/>
                <w14:textFill>
                  <w14:solidFill>
                    <w14:schemeClr w14:val="tx1"/>
                  </w14:solidFill>
                </w14:textFill>
              </w:rPr>
            </w:pPr>
          </w:p>
        </w:tc>
        <w:tc>
          <w:tcPr>
            <w:tcW w:w="709" w:type="dxa"/>
            <w:vAlign w:val="center"/>
          </w:tcPr>
          <w:p w14:paraId="5313419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4C79984">
            <w:pPr>
              <w:jc w:val="center"/>
              <w:rPr>
                <w:color w:val="000000" w:themeColor="text1"/>
                <w:sz w:val="18"/>
                <w:szCs w:val="18"/>
                <w14:textFill>
                  <w14:solidFill>
                    <w14:schemeClr w14:val="tx1"/>
                  </w14:solidFill>
                </w14:textFill>
              </w:rPr>
            </w:pPr>
          </w:p>
        </w:tc>
        <w:tc>
          <w:tcPr>
            <w:tcW w:w="1045" w:type="dxa"/>
            <w:vMerge w:val="continue"/>
            <w:vAlign w:val="center"/>
          </w:tcPr>
          <w:p w14:paraId="18593320">
            <w:pPr>
              <w:jc w:val="center"/>
              <w:rPr>
                <w:color w:val="000000" w:themeColor="text1"/>
                <w:sz w:val="18"/>
                <w:szCs w:val="18"/>
                <w14:textFill>
                  <w14:solidFill>
                    <w14:schemeClr w14:val="tx1"/>
                  </w14:solidFill>
                </w14:textFill>
              </w:rPr>
            </w:pPr>
          </w:p>
        </w:tc>
      </w:tr>
      <w:tr w14:paraId="53EEA2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F72B9D">
            <w:pPr>
              <w:rPr>
                <w:b/>
                <w:color w:val="000000" w:themeColor="text1"/>
                <w:sz w:val="18"/>
                <w:szCs w:val="18"/>
                <w14:textFill>
                  <w14:solidFill>
                    <w14:schemeClr w14:val="tx1"/>
                  </w14:solidFill>
                </w14:textFill>
              </w:rPr>
            </w:pPr>
          </w:p>
        </w:tc>
        <w:tc>
          <w:tcPr>
            <w:tcW w:w="1226" w:type="dxa"/>
            <w:vMerge w:val="restart"/>
            <w:vAlign w:val="center"/>
          </w:tcPr>
          <w:p w14:paraId="215102C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342" w:type="dxa"/>
            <w:vAlign w:val="center"/>
          </w:tcPr>
          <w:p w14:paraId="3BE5210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255" w:type="dxa"/>
            <w:vAlign w:val="center"/>
          </w:tcPr>
          <w:p w14:paraId="602FF57C">
            <w:pPr>
              <w:jc w:val="center"/>
              <w:rPr>
                <w:color w:val="000000" w:themeColor="text1"/>
                <w:sz w:val="18"/>
                <w:szCs w:val="18"/>
                <w14:textFill>
                  <w14:solidFill>
                    <w14:schemeClr w14:val="tx1"/>
                  </w14:solidFill>
                </w14:textFill>
              </w:rPr>
            </w:pPr>
          </w:p>
        </w:tc>
        <w:tc>
          <w:tcPr>
            <w:tcW w:w="709" w:type="dxa"/>
            <w:vAlign w:val="center"/>
          </w:tcPr>
          <w:p w14:paraId="2AE972E2">
            <w:pPr>
              <w:jc w:val="center"/>
              <w:rPr>
                <w:color w:val="000000" w:themeColor="text1"/>
                <w:sz w:val="18"/>
                <w:szCs w:val="18"/>
                <w14:textFill>
                  <w14:solidFill>
                    <w14:schemeClr w14:val="tx1"/>
                  </w14:solidFill>
                </w14:textFill>
              </w:rPr>
            </w:pPr>
          </w:p>
        </w:tc>
        <w:tc>
          <w:tcPr>
            <w:tcW w:w="709" w:type="dxa"/>
            <w:vAlign w:val="center"/>
          </w:tcPr>
          <w:p w14:paraId="58E923F6">
            <w:pPr>
              <w:jc w:val="center"/>
              <w:rPr>
                <w:sz w:val="18"/>
                <w:szCs w:val="18"/>
              </w:rPr>
            </w:pPr>
            <w:r>
              <w:rPr>
                <w:rFonts w:hint="eastAsia"/>
                <w:i/>
                <w:sz w:val="18"/>
                <w:szCs w:val="18"/>
              </w:rPr>
              <w:t>4</w:t>
            </w:r>
          </w:p>
        </w:tc>
        <w:tc>
          <w:tcPr>
            <w:tcW w:w="1045" w:type="dxa"/>
            <w:vMerge w:val="restart"/>
            <w:vAlign w:val="center"/>
          </w:tcPr>
          <w:p w14:paraId="031588B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6C2B4B2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034F41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E7C96C">
            <w:pPr>
              <w:rPr>
                <w:b/>
                <w:color w:val="000000" w:themeColor="text1"/>
                <w:sz w:val="18"/>
                <w:szCs w:val="18"/>
                <w14:textFill>
                  <w14:solidFill>
                    <w14:schemeClr w14:val="tx1"/>
                  </w14:solidFill>
                </w14:textFill>
              </w:rPr>
            </w:pPr>
          </w:p>
        </w:tc>
        <w:tc>
          <w:tcPr>
            <w:tcW w:w="1226" w:type="dxa"/>
            <w:vMerge w:val="continue"/>
            <w:vAlign w:val="center"/>
          </w:tcPr>
          <w:p w14:paraId="4B26E3E3">
            <w:pPr>
              <w:jc w:val="center"/>
              <w:rPr>
                <w:b/>
                <w:color w:val="000000" w:themeColor="text1"/>
                <w:sz w:val="18"/>
                <w:szCs w:val="18"/>
                <w14:textFill>
                  <w14:solidFill>
                    <w14:schemeClr w14:val="tx1"/>
                  </w14:solidFill>
                </w14:textFill>
              </w:rPr>
            </w:pPr>
          </w:p>
        </w:tc>
        <w:tc>
          <w:tcPr>
            <w:tcW w:w="3342" w:type="dxa"/>
            <w:vAlign w:val="center"/>
          </w:tcPr>
          <w:p w14:paraId="2E01696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255" w:type="dxa"/>
            <w:vAlign w:val="center"/>
          </w:tcPr>
          <w:p w14:paraId="0734C05A">
            <w:pPr>
              <w:jc w:val="center"/>
              <w:rPr>
                <w:color w:val="000000" w:themeColor="text1"/>
                <w:sz w:val="18"/>
                <w:szCs w:val="18"/>
                <w14:textFill>
                  <w14:solidFill>
                    <w14:schemeClr w14:val="tx1"/>
                  </w14:solidFill>
                </w14:textFill>
              </w:rPr>
            </w:pPr>
          </w:p>
        </w:tc>
        <w:tc>
          <w:tcPr>
            <w:tcW w:w="709" w:type="dxa"/>
            <w:vAlign w:val="center"/>
          </w:tcPr>
          <w:p w14:paraId="0DC3F7D1">
            <w:pPr>
              <w:jc w:val="center"/>
              <w:rPr>
                <w:color w:val="000000" w:themeColor="text1"/>
                <w:sz w:val="18"/>
                <w:szCs w:val="18"/>
                <w14:textFill>
                  <w14:solidFill>
                    <w14:schemeClr w14:val="tx1"/>
                  </w14:solidFill>
                </w14:textFill>
              </w:rPr>
            </w:pPr>
          </w:p>
        </w:tc>
        <w:tc>
          <w:tcPr>
            <w:tcW w:w="709" w:type="dxa"/>
            <w:vAlign w:val="center"/>
          </w:tcPr>
          <w:p w14:paraId="3206CC77">
            <w:pPr>
              <w:jc w:val="center"/>
              <w:rPr>
                <w:sz w:val="18"/>
                <w:szCs w:val="18"/>
              </w:rPr>
            </w:pPr>
            <w:r>
              <w:rPr>
                <w:rFonts w:hint="eastAsia"/>
                <w:i/>
                <w:sz w:val="18"/>
                <w:szCs w:val="18"/>
              </w:rPr>
              <w:t>4</w:t>
            </w:r>
          </w:p>
        </w:tc>
        <w:tc>
          <w:tcPr>
            <w:tcW w:w="1045" w:type="dxa"/>
            <w:vMerge w:val="continue"/>
            <w:vAlign w:val="center"/>
          </w:tcPr>
          <w:p w14:paraId="49DECC45">
            <w:pPr>
              <w:jc w:val="center"/>
              <w:rPr>
                <w:color w:val="000000" w:themeColor="text1"/>
                <w:sz w:val="18"/>
                <w:szCs w:val="18"/>
                <w14:textFill>
                  <w14:solidFill>
                    <w14:schemeClr w14:val="tx1"/>
                  </w14:solidFill>
                </w14:textFill>
              </w:rPr>
            </w:pPr>
          </w:p>
        </w:tc>
      </w:tr>
      <w:tr w14:paraId="221F30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82E643">
            <w:pPr>
              <w:rPr>
                <w:b/>
                <w:color w:val="000000" w:themeColor="text1"/>
                <w:sz w:val="18"/>
                <w:szCs w:val="18"/>
                <w14:textFill>
                  <w14:solidFill>
                    <w14:schemeClr w14:val="tx1"/>
                  </w14:solidFill>
                </w14:textFill>
              </w:rPr>
            </w:pPr>
          </w:p>
        </w:tc>
        <w:tc>
          <w:tcPr>
            <w:tcW w:w="1226" w:type="dxa"/>
            <w:vMerge w:val="continue"/>
            <w:vAlign w:val="center"/>
          </w:tcPr>
          <w:p w14:paraId="42C84633">
            <w:pPr>
              <w:jc w:val="center"/>
              <w:rPr>
                <w:b/>
                <w:color w:val="000000" w:themeColor="text1"/>
                <w:sz w:val="18"/>
                <w:szCs w:val="18"/>
                <w14:textFill>
                  <w14:solidFill>
                    <w14:schemeClr w14:val="tx1"/>
                  </w14:solidFill>
                </w14:textFill>
              </w:rPr>
            </w:pPr>
          </w:p>
        </w:tc>
        <w:tc>
          <w:tcPr>
            <w:tcW w:w="3342" w:type="dxa"/>
            <w:vAlign w:val="center"/>
          </w:tcPr>
          <w:p w14:paraId="1839E34E">
            <w:pPr>
              <w:rPr>
                <w:sz w:val="18"/>
                <w:szCs w:val="18"/>
              </w:rPr>
            </w:pPr>
            <w:r>
              <w:rPr>
                <w:sz w:val="18"/>
                <w:szCs w:val="18"/>
              </w:rPr>
              <w:t>论文中期进展报告</w:t>
            </w:r>
          </w:p>
        </w:tc>
        <w:tc>
          <w:tcPr>
            <w:tcW w:w="1255" w:type="dxa"/>
            <w:vAlign w:val="center"/>
          </w:tcPr>
          <w:p w14:paraId="7FD1D377">
            <w:pPr>
              <w:jc w:val="center"/>
              <w:rPr>
                <w:color w:val="000000" w:themeColor="text1"/>
                <w:sz w:val="18"/>
                <w:szCs w:val="18"/>
                <w14:textFill>
                  <w14:solidFill>
                    <w14:schemeClr w14:val="tx1"/>
                  </w14:solidFill>
                </w14:textFill>
              </w:rPr>
            </w:pPr>
          </w:p>
        </w:tc>
        <w:tc>
          <w:tcPr>
            <w:tcW w:w="709" w:type="dxa"/>
            <w:vAlign w:val="center"/>
          </w:tcPr>
          <w:p w14:paraId="2FAA7BE9">
            <w:pPr>
              <w:jc w:val="center"/>
              <w:rPr>
                <w:color w:val="000000" w:themeColor="text1"/>
                <w:sz w:val="18"/>
                <w:szCs w:val="18"/>
                <w14:textFill>
                  <w14:solidFill>
                    <w14:schemeClr w14:val="tx1"/>
                  </w14:solidFill>
                </w14:textFill>
              </w:rPr>
            </w:pPr>
          </w:p>
        </w:tc>
        <w:tc>
          <w:tcPr>
            <w:tcW w:w="709" w:type="dxa"/>
            <w:vAlign w:val="center"/>
          </w:tcPr>
          <w:p w14:paraId="3A6060E7">
            <w:pPr>
              <w:jc w:val="center"/>
              <w:rPr>
                <w:sz w:val="18"/>
                <w:szCs w:val="18"/>
              </w:rPr>
            </w:pPr>
            <w:r>
              <w:rPr>
                <w:rFonts w:hint="eastAsia"/>
                <w:sz w:val="18"/>
                <w:szCs w:val="18"/>
              </w:rPr>
              <w:t>5</w:t>
            </w:r>
          </w:p>
        </w:tc>
        <w:tc>
          <w:tcPr>
            <w:tcW w:w="1045" w:type="dxa"/>
            <w:vMerge w:val="continue"/>
          </w:tcPr>
          <w:p w14:paraId="1E724DCB">
            <w:pPr>
              <w:jc w:val="center"/>
              <w:rPr>
                <w:color w:val="000000" w:themeColor="text1"/>
                <w:sz w:val="18"/>
                <w:szCs w:val="18"/>
                <w14:textFill>
                  <w14:solidFill>
                    <w14:schemeClr w14:val="tx1"/>
                  </w14:solidFill>
                </w14:textFill>
              </w:rPr>
            </w:pPr>
          </w:p>
        </w:tc>
      </w:tr>
      <w:tr w14:paraId="24F4D1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8EAABD">
            <w:pPr>
              <w:rPr>
                <w:b/>
                <w:color w:val="000000" w:themeColor="text1"/>
                <w:sz w:val="18"/>
                <w:szCs w:val="18"/>
                <w14:textFill>
                  <w14:solidFill>
                    <w14:schemeClr w14:val="tx1"/>
                  </w14:solidFill>
                </w14:textFill>
              </w:rPr>
            </w:pPr>
          </w:p>
        </w:tc>
        <w:tc>
          <w:tcPr>
            <w:tcW w:w="1226" w:type="dxa"/>
            <w:vMerge w:val="continue"/>
            <w:vAlign w:val="center"/>
          </w:tcPr>
          <w:p w14:paraId="7938D76B">
            <w:pPr>
              <w:jc w:val="center"/>
              <w:rPr>
                <w:b/>
                <w:color w:val="000000" w:themeColor="text1"/>
                <w:sz w:val="18"/>
                <w:szCs w:val="18"/>
                <w14:textFill>
                  <w14:solidFill>
                    <w14:schemeClr w14:val="tx1"/>
                  </w14:solidFill>
                </w14:textFill>
              </w:rPr>
            </w:pPr>
          </w:p>
        </w:tc>
        <w:tc>
          <w:tcPr>
            <w:tcW w:w="3342" w:type="dxa"/>
            <w:vAlign w:val="center"/>
          </w:tcPr>
          <w:p w14:paraId="14AD1E0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255" w:type="dxa"/>
            <w:vAlign w:val="center"/>
          </w:tcPr>
          <w:p w14:paraId="5064E933">
            <w:pPr>
              <w:jc w:val="center"/>
              <w:rPr>
                <w:color w:val="000000" w:themeColor="text1"/>
                <w:sz w:val="18"/>
                <w:szCs w:val="18"/>
                <w14:textFill>
                  <w14:solidFill>
                    <w14:schemeClr w14:val="tx1"/>
                  </w14:solidFill>
                </w14:textFill>
              </w:rPr>
            </w:pPr>
          </w:p>
        </w:tc>
        <w:tc>
          <w:tcPr>
            <w:tcW w:w="709" w:type="dxa"/>
            <w:vAlign w:val="center"/>
          </w:tcPr>
          <w:p w14:paraId="4A532564">
            <w:pPr>
              <w:jc w:val="center"/>
              <w:rPr>
                <w:color w:val="000000" w:themeColor="text1"/>
                <w:sz w:val="18"/>
                <w:szCs w:val="18"/>
                <w14:textFill>
                  <w14:solidFill>
                    <w14:schemeClr w14:val="tx1"/>
                  </w14:solidFill>
                </w14:textFill>
              </w:rPr>
            </w:pPr>
          </w:p>
        </w:tc>
        <w:tc>
          <w:tcPr>
            <w:tcW w:w="709" w:type="dxa"/>
            <w:vAlign w:val="center"/>
          </w:tcPr>
          <w:p w14:paraId="72CE3B53">
            <w:pPr>
              <w:jc w:val="center"/>
              <w:rPr>
                <w:sz w:val="18"/>
                <w:szCs w:val="18"/>
              </w:rPr>
            </w:pPr>
            <w:r>
              <w:rPr>
                <w:rFonts w:hint="eastAsia"/>
                <w:i/>
                <w:sz w:val="18"/>
                <w:szCs w:val="18"/>
              </w:rPr>
              <w:t>6</w:t>
            </w:r>
          </w:p>
        </w:tc>
        <w:tc>
          <w:tcPr>
            <w:tcW w:w="1045" w:type="dxa"/>
            <w:vMerge w:val="continue"/>
          </w:tcPr>
          <w:p w14:paraId="6CC6E2B9">
            <w:pPr>
              <w:jc w:val="center"/>
              <w:rPr>
                <w:color w:val="000000" w:themeColor="text1"/>
                <w:sz w:val="18"/>
                <w:szCs w:val="18"/>
                <w14:textFill>
                  <w14:solidFill>
                    <w14:schemeClr w14:val="tx1"/>
                  </w14:solidFill>
                </w14:textFill>
              </w:rPr>
            </w:pPr>
          </w:p>
        </w:tc>
      </w:tr>
      <w:tr w14:paraId="58B30A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25B77A">
            <w:pPr>
              <w:rPr>
                <w:color w:val="000000" w:themeColor="text1"/>
                <w:sz w:val="18"/>
                <w:szCs w:val="18"/>
                <w14:textFill>
                  <w14:solidFill>
                    <w14:schemeClr w14:val="tx1"/>
                  </w14:solidFill>
                </w14:textFill>
              </w:rPr>
            </w:pPr>
          </w:p>
        </w:tc>
        <w:tc>
          <w:tcPr>
            <w:tcW w:w="1226" w:type="dxa"/>
            <w:vMerge w:val="continue"/>
          </w:tcPr>
          <w:p w14:paraId="44FCA95F">
            <w:pPr>
              <w:jc w:val="center"/>
              <w:rPr>
                <w:color w:val="000000" w:themeColor="text1"/>
                <w:sz w:val="18"/>
                <w:szCs w:val="18"/>
                <w14:textFill>
                  <w14:solidFill>
                    <w14:schemeClr w14:val="tx1"/>
                  </w14:solidFill>
                </w14:textFill>
              </w:rPr>
            </w:pPr>
          </w:p>
        </w:tc>
        <w:tc>
          <w:tcPr>
            <w:tcW w:w="3342" w:type="dxa"/>
            <w:vAlign w:val="center"/>
          </w:tcPr>
          <w:p w14:paraId="2BFA8A7D">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255" w:type="dxa"/>
            <w:vAlign w:val="center"/>
          </w:tcPr>
          <w:p w14:paraId="459FA33E">
            <w:pPr>
              <w:jc w:val="center"/>
              <w:rPr>
                <w:color w:val="000000" w:themeColor="text1"/>
                <w:sz w:val="18"/>
                <w:szCs w:val="18"/>
                <w14:textFill>
                  <w14:solidFill>
                    <w14:schemeClr w14:val="tx1"/>
                  </w14:solidFill>
                </w14:textFill>
              </w:rPr>
            </w:pPr>
          </w:p>
        </w:tc>
        <w:tc>
          <w:tcPr>
            <w:tcW w:w="709" w:type="dxa"/>
            <w:vAlign w:val="center"/>
          </w:tcPr>
          <w:p w14:paraId="18466674">
            <w:pPr>
              <w:jc w:val="center"/>
              <w:rPr>
                <w:color w:val="000000" w:themeColor="text1"/>
                <w:sz w:val="18"/>
                <w:szCs w:val="18"/>
                <w14:textFill>
                  <w14:solidFill>
                    <w14:schemeClr w14:val="tx1"/>
                  </w14:solidFill>
                </w14:textFill>
              </w:rPr>
            </w:pPr>
          </w:p>
        </w:tc>
        <w:tc>
          <w:tcPr>
            <w:tcW w:w="709" w:type="dxa"/>
            <w:vAlign w:val="center"/>
          </w:tcPr>
          <w:p w14:paraId="5FD53D5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129E29B7">
            <w:pPr>
              <w:jc w:val="center"/>
              <w:rPr>
                <w:color w:val="000000" w:themeColor="text1"/>
                <w:sz w:val="18"/>
                <w:szCs w:val="18"/>
                <w14:textFill>
                  <w14:solidFill>
                    <w14:schemeClr w14:val="tx1"/>
                  </w14:solidFill>
                </w14:textFill>
              </w:rPr>
            </w:pPr>
          </w:p>
        </w:tc>
      </w:tr>
      <w:tr w14:paraId="197A21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A3D33C">
            <w:pPr>
              <w:rPr>
                <w:color w:val="000000" w:themeColor="text1"/>
                <w:sz w:val="18"/>
                <w:szCs w:val="18"/>
                <w14:textFill>
                  <w14:solidFill>
                    <w14:schemeClr w14:val="tx1"/>
                  </w14:solidFill>
                </w14:textFill>
              </w:rPr>
            </w:pPr>
          </w:p>
        </w:tc>
        <w:tc>
          <w:tcPr>
            <w:tcW w:w="1226" w:type="dxa"/>
            <w:vMerge w:val="continue"/>
          </w:tcPr>
          <w:p w14:paraId="12EB8442">
            <w:pPr>
              <w:jc w:val="center"/>
              <w:rPr>
                <w:color w:val="000000" w:themeColor="text1"/>
                <w:sz w:val="18"/>
                <w:szCs w:val="18"/>
                <w14:textFill>
                  <w14:solidFill>
                    <w14:schemeClr w14:val="tx1"/>
                  </w14:solidFill>
                </w14:textFill>
              </w:rPr>
            </w:pPr>
          </w:p>
        </w:tc>
        <w:tc>
          <w:tcPr>
            <w:tcW w:w="3342" w:type="dxa"/>
            <w:vAlign w:val="center"/>
          </w:tcPr>
          <w:p w14:paraId="703D9B2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255" w:type="dxa"/>
            <w:vAlign w:val="center"/>
          </w:tcPr>
          <w:p w14:paraId="067757A8">
            <w:pPr>
              <w:jc w:val="center"/>
              <w:rPr>
                <w:color w:val="000000" w:themeColor="text1"/>
                <w:sz w:val="18"/>
                <w:szCs w:val="18"/>
                <w14:textFill>
                  <w14:solidFill>
                    <w14:schemeClr w14:val="tx1"/>
                  </w14:solidFill>
                </w14:textFill>
              </w:rPr>
            </w:pPr>
          </w:p>
        </w:tc>
        <w:tc>
          <w:tcPr>
            <w:tcW w:w="709" w:type="dxa"/>
            <w:vAlign w:val="center"/>
          </w:tcPr>
          <w:p w14:paraId="2B6A8BFE">
            <w:pPr>
              <w:jc w:val="center"/>
              <w:rPr>
                <w:color w:val="000000" w:themeColor="text1"/>
                <w:sz w:val="18"/>
                <w:szCs w:val="18"/>
                <w14:textFill>
                  <w14:solidFill>
                    <w14:schemeClr w14:val="tx1"/>
                  </w14:solidFill>
                </w14:textFill>
              </w:rPr>
            </w:pPr>
          </w:p>
        </w:tc>
        <w:tc>
          <w:tcPr>
            <w:tcW w:w="709" w:type="dxa"/>
            <w:vAlign w:val="center"/>
          </w:tcPr>
          <w:p w14:paraId="31895F7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7E1F7FE3">
            <w:pPr>
              <w:jc w:val="center"/>
              <w:rPr>
                <w:color w:val="000000" w:themeColor="text1"/>
                <w:sz w:val="18"/>
                <w:szCs w:val="18"/>
                <w14:textFill>
                  <w14:solidFill>
                    <w14:schemeClr w14:val="tx1"/>
                  </w14:solidFill>
                </w14:textFill>
              </w:rPr>
            </w:pPr>
          </w:p>
        </w:tc>
      </w:tr>
    </w:tbl>
    <w:p w14:paraId="7D6D8702">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6DE143C5">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75F1DA11">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5A47C7F8">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0ECF506F">
      <w:pPr>
        <w:spacing w:line="440" w:lineRule="exact"/>
        <w:ind w:firstLine="480" w:firstLineChars="200"/>
        <w:rPr>
          <w:rFonts w:eastAsia="黑体"/>
          <w:b/>
          <w:bCs/>
          <w:i/>
          <w:color w:val="FF0000"/>
          <w:sz w:val="36"/>
          <w:szCs w:val="36"/>
          <w:u w:val="single"/>
        </w:rPr>
      </w:pPr>
      <w:r>
        <w:rPr>
          <w:rFonts w:hint="eastAsia" w:eastAsiaTheme="minorEastAsia"/>
          <w:bCs/>
          <w:sz w:val="24"/>
        </w:rPr>
        <w:t>3. 3. 除学校认定的学科竞赛项目外，以下2种为本专业认定的学科竞赛项目：“全国信息资源管理案例大赛”“全国图书情报案例大赛”。</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05CD"/>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58BD"/>
    <w:rsid w:val="000D5F92"/>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ED2"/>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27"/>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2F0"/>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530"/>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A5C"/>
    <w:rsid w:val="00487F90"/>
    <w:rsid w:val="00492DCD"/>
    <w:rsid w:val="004930BE"/>
    <w:rsid w:val="00493360"/>
    <w:rsid w:val="00493865"/>
    <w:rsid w:val="00493E56"/>
    <w:rsid w:val="00493F33"/>
    <w:rsid w:val="00494F54"/>
    <w:rsid w:val="00495360"/>
    <w:rsid w:val="00495791"/>
    <w:rsid w:val="004960EE"/>
    <w:rsid w:val="004A07FE"/>
    <w:rsid w:val="004A1039"/>
    <w:rsid w:val="004A2C2C"/>
    <w:rsid w:val="004A2DF9"/>
    <w:rsid w:val="004A3097"/>
    <w:rsid w:val="004A4867"/>
    <w:rsid w:val="004A53C4"/>
    <w:rsid w:val="004A5EB7"/>
    <w:rsid w:val="004A6125"/>
    <w:rsid w:val="004A671E"/>
    <w:rsid w:val="004A6A44"/>
    <w:rsid w:val="004A6E8A"/>
    <w:rsid w:val="004B0DD9"/>
    <w:rsid w:val="004B1667"/>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036"/>
    <w:rsid w:val="00531271"/>
    <w:rsid w:val="00531E63"/>
    <w:rsid w:val="005340A5"/>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2E7"/>
    <w:rsid w:val="006C7478"/>
    <w:rsid w:val="006C77EC"/>
    <w:rsid w:val="006D30FE"/>
    <w:rsid w:val="006D3C95"/>
    <w:rsid w:val="006D7FDA"/>
    <w:rsid w:val="006E0CA3"/>
    <w:rsid w:val="006E1B6D"/>
    <w:rsid w:val="006E22EE"/>
    <w:rsid w:val="006E247D"/>
    <w:rsid w:val="006E2BCE"/>
    <w:rsid w:val="006E3DA0"/>
    <w:rsid w:val="006E6EA0"/>
    <w:rsid w:val="006E770C"/>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5C4"/>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2DF8"/>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16C"/>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B30"/>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3D9C"/>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0B94"/>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1534"/>
    <w:rsid w:val="00B625F3"/>
    <w:rsid w:val="00B63CDC"/>
    <w:rsid w:val="00B64732"/>
    <w:rsid w:val="00B65BCA"/>
    <w:rsid w:val="00B66183"/>
    <w:rsid w:val="00B66D67"/>
    <w:rsid w:val="00B66FC5"/>
    <w:rsid w:val="00B67703"/>
    <w:rsid w:val="00B729A7"/>
    <w:rsid w:val="00B73199"/>
    <w:rsid w:val="00B7337D"/>
    <w:rsid w:val="00B73397"/>
    <w:rsid w:val="00B7595E"/>
    <w:rsid w:val="00B75D73"/>
    <w:rsid w:val="00B7628E"/>
    <w:rsid w:val="00B77328"/>
    <w:rsid w:val="00B775AF"/>
    <w:rsid w:val="00B8038C"/>
    <w:rsid w:val="00B83EE0"/>
    <w:rsid w:val="00B865F2"/>
    <w:rsid w:val="00B8733E"/>
    <w:rsid w:val="00B922F8"/>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31F"/>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61D"/>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4983"/>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57F0F"/>
    <w:rsid w:val="00D60260"/>
    <w:rsid w:val="00D60EAF"/>
    <w:rsid w:val="00D61107"/>
    <w:rsid w:val="00D616B6"/>
    <w:rsid w:val="00D62555"/>
    <w:rsid w:val="00D628FB"/>
    <w:rsid w:val="00D64B18"/>
    <w:rsid w:val="00D64B40"/>
    <w:rsid w:val="00D66249"/>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2AD8"/>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74F"/>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3667F"/>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56FA"/>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3D48"/>
    <w:rsid w:val="00FC41FF"/>
    <w:rsid w:val="00FC421C"/>
    <w:rsid w:val="00FC4791"/>
    <w:rsid w:val="00FC4BFE"/>
    <w:rsid w:val="00FC5E8A"/>
    <w:rsid w:val="00FC75C9"/>
    <w:rsid w:val="00FD0159"/>
    <w:rsid w:val="00FD0BBA"/>
    <w:rsid w:val="00FD20E1"/>
    <w:rsid w:val="00FD2818"/>
    <w:rsid w:val="00FD4301"/>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B936DB2"/>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4581</Words>
  <Characters>4772</Characters>
  <Lines>199</Lines>
  <Paragraphs>195</Paragraphs>
  <TotalTime>848</TotalTime>
  <ScaleCrop>false</ScaleCrop>
  <LinksUpToDate>false</LinksUpToDate>
  <CharactersWithSpaces>4793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送送</cp:lastModifiedBy>
  <cp:lastPrinted>2025-03-14T03:17:00Z</cp:lastPrinted>
  <dcterms:modified xsi:type="dcterms:W3CDTF">2025-07-11T10:26:37Z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eyJoZGlkIjoiNDVlZmQyZjg4MzI5NTBhYmIyZWMxYjk4MzMyMTIwYWMiLCJ1c2VySWQiOiI0MzA0MzQzNjkifQ==</vt:lpwstr>
  </property>
  <property fmtid="{D5CDD505-2E9C-101B-9397-08002B2CF9AE}" pid="4" name="ICV">
    <vt:lpwstr>110E8DF372CF401BBBE037CC8DD3181C_12</vt:lpwstr>
  </property>
</Properties>
</file>