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7741CE">
      <w:pPr>
        <w:ind w:left="321" w:leftChars="153" w:right="227"/>
        <w:jc w:val="center"/>
        <w:rPr>
          <w:rFonts w:eastAsia="黑体"/>
          <w:b/>
          <w:bCs/>
          <w:sz w:val="36"/>
          <w:szCs w:val="36"/>
        </w:rPr>
      </w:pPr>
      <w:r>
        <w:rPr>
          <w:rFonts w:hint="eastAsia" w:eastAsia="黑体"/>
          <w:b/>
          <w:bCs/>
          <w:i w:val="0"/>
          <w:iCs/>
          <w:color w:val="auto"/>
          <w:sz w:val="36"/>
          <w:szCs w:val="36"/>
          <w:u w:val="none"/>
          <w:lang w:val="en-US" w:eastAsia="zh-CN"/>
        </w:rPr>
        <w:t>会计学</w:t>
      </w:r>
      <w:r>
        <w:rPr>
          <w:rFonts w:eastAsia="黑体"/>
          <w:b/>
          <w:bCs/>
          <w:sz w:val="36"/>
          <w:szCs w:val="36"/>
        </w:rPr>
        <w:t>专业学术学位硕士研究生培养方案</w:t>
      </w:r>
    </w:p>
    <w:p w14:paraId="0F053FC0">
      <w:pPr>
        <w:ind w:left="321" w:leftChars="153" w:right="227"/>
        <w:jc w:val="center"/>
        <w:rPr>
          <w:rFonts w:eastAsia="黑体"/>
          <w:b/>
          <w:bCs/>
          <w:sz w:val="28"/>
          <w:szCs w:val="28"/>
        </w:rPr>
      </w:pPr>
      <w:r>
        <w:rPr>
          <w:rFonts w:eastAsia="黑体"/>
          <w:b/>
          <w:bCs/>
          <w:sz w:val="28"/>
          <w:szCs w:val="28"/>
        </w:rPr>
        <w:t>（</w:t>
      </w:r>
      <w:r>
        <w:rPr>
          <w:rFonts w:hint="eastAsia" w:eastAsia="黑体"/>
          <w:b/>
          <w:bCs/>
          <w:color w:val="auto"/>
          <w:sz w:val="28"/>
          <w:szCs w:val="28"/>
          <w:lang w:val="en-US" w:eastAsia="zh-CN"/>
        </w:rPr>
        <w:t>管理学院）</w:t>
      </w:r>
    </w:p>
    <w:p w14:paraId="2E153943">
      <w:pPr>
        <w:spacing w:line="440" w:lineRule="exact"/>
        <w:ind w:firstLine="560"/>
        <w:rPr>
          <w:rFonts w:eastAsia="黑体"/>
          <w:bCs/>
          <w:sz w:val="28"/>
          <w:szCs w:val="28"/>
        </w:rPr>
      </w:pPr>
      <w:r>
        <w:rPr>
          <w:rFonts w:eastAsia="黑体"/>
          <w:bCs/>
          <w:sz w:val="28"/>
          <w:szCs w:val="28"/>
        </w:rPr>
        <w:t>一、专业名称、代码</w:t>
      </w:r>
    </w:p>
    <w:p w14:paraId="70605AD7">
      <w:pPr>
        <w:widowControl/>
        <w:spacing w:before="100" w:beforeAutospacing="1" w:after="100" w:afterAutospacing="1" w:line="270" w:lineRule="atLeast"/>
        <w:ind w:firstLine="960" w:firstLineChars="400"/>
        <w:jc w:val="left"/>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会计学</w:t>
      </w:r>
    </w:p>
    <w:p w14:paraId="095F4824">
      <w:pPr>
        <w:widowControl/>
        <w:spacing w:before="100" w:beforeAutospacing="1" w:after="100" w:afterAutospacing="1" w:line="270" w:lineRule="atLeast"/>
        <w:ind w:firstLine="960" w:firstLineChars="400"/>
        <w:jc w:val="left"/>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120201</w:t>
      </w:r>
    </w:p>
    <w:p w14:paraId="01F636F7">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6B4C0B7">
      <w:pPr>
        <w:spacing w:line="440" w:lineRule="exact"/>
        <w:ind w:firstLine="480" w:firstLineChars="200"/>
        <w:rPr>
          <w:rFonts w:hint="default" w:eastAsiaTheme="minorEastAsia"/>
          <w:i/>
          <w:color w:val="auto"/>
          <w:sz w:val="24"/>
          <w:lang w:val="en-US" w:eastAsia="zh-CN"/>
        </w:rPr>
      </w:pPr>
      <w:r>
        <w:rPr>
          <w:rFonts w:hint="eastAsia" w:eastAsiaTheme="minorEastAsia"/>
          <w:i w:val="0"/>
          <w:iCs/>
          <w:color w:val="auto"/>
          <w:sz w:val="24"/>
          <w:lang w:val="en-US" w:eastAsia="zh-CN"/>
        </w:rPr>
        <w:t>会计学属于管理学门类下工商管理一级学科，专业代码120201。本专业以研究财务活动规律为核心，重点培养学生掌握经济信息记录、分析、报告及决策支持能力，以塑造具备扎实理论基础与创新研究能力的复合型高级人才。课程聚焦高级财务会计、高级财务管理、管理会计研究、审计学研究及大数据分析等领域，融入交叉学科方法论，强化科研训练与案例实践。毕业生可胜任跨国企业财务高管、审计合伙人、政府监管机构专家或高校研究人员，亦具备在金融、科技行业推动数字化转型的竞争力，或攻读博士学位深化学术研究。河北大学会计学科发展已有30余年的历史。近年来，本专业人才培养质量保持稳定，科研实力和影响力不断增强，社会服务成绩显著，在河北省和京津冀区域具有较高影响力。</w:t>
      </w:r>
    </w:p>
    <w:p w14:paraId="469DA19A">
      <w:pPr>
        <w:spacing w:line="440" w:lineRule="exact"/>
        <w:ind w:firstLine="560" w:firstLineChars="200"/>
        <w:rPr>
          <w:rFonts w:eastAsia="黑体"/>
          <w:bCs/>
          <w:sz w:val="28"/>
          <w:szCs w:val="28"/>
        </w:rPr>
      </w:pPr>
      <w:r>
        <w:rPr>
          <w:rFonts w:eastAsia="黑体"/>
          <w:bCs/>
          <w:sz w:val="28"/>
          <w:szCs w:val="28"/>
        </w:rPr>
        <w:t>三、研究方向</w:t>
      </w:r>
    </w:p>
    <w:p w14:paraId="173332D7">
      <w:pPr>
        <w:spacing w:line="440" w:lineRule="exact"/>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1.财务会计与审计方向：以“理论+实践+创新”为核心培养理念，聚焦财务会计理论体系构建与审计实践能力提升。培养内容包括：系统学习会计准则与审计准则、财务信息披露与舞弊识别、大数据审计技术及智能财务分析工具应用；通过案例研讨、企业实训及科研项目，强化学生复杂业务场景下的财务决策与审计风险应对能力。培养目标定位于打造兼具学术研究深度与实务创新能力的复合型高级人才，使学生掌握国际前沿会计审计理论，精通数字化转型背景下的业财融合与审计智能化方法，具备资本市场财务监督、企业内控优化及政策研究能力，毕业后可胜任高校教研、会计师事务所、金融机构或监管部门的核心岗位，为提升我国会计审计国际化水平与治理效能提供人才支撑。</w:t>
      </w:r>
    </w:p>
    <w:p w14:paraId="0C4BD136">
      <w:pPr>
        <w:spacing w:line="440" w:lineRule="exact"/>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2.财务成本管理方向：以“理论深化与实践创新并重”为导向，聚焦企业成本控制体系优化与价值创造能力提升。培养内容涵盖：现代成本管理理论（如作业成本法、战略成本管理）、财务分析模型构建、全面预算与绩效评价体系设计等核心课程；通过企业实地调研、成本优化模拟项目及产学研合作，强化学生在复杂经营环境下实施成本预测、决策支持与风险管控的实战能力。培养目标致力于培育兼具国际视野与本土实践能力的复合型管理人才，使学生精通成本核算精细化、资源高效配置及业财融合方法，掌握智能财务工具在成本管理中的创新应用，毕业后可在企业财务部门、咨询机构、金融机构或政府部门从事成本战略规划、预算管理及政策研究工作，助力企业降本增效与可持续发展，推动会计成本管理理论与数字化转型深度融合。</w:t>
      </w:r>
    </w:p>
    <w:p w14:paraId="318B7946">
      <w:pPr>
        <w:spacing w:line="440" w:lineRule="exact"/>
        <w:ind w:firstLine="480" w:firstLineChars="200"/>
        <w:rPr>
          <w:rFonts w:eastAsiaTheme="minorEastAsia"/>
          <w:i w:val="0"/>
          <w:iCs/>
          <w:color w:val="auto"/>
          <w:sz w:val="24"/>
        </w:rPr>
      </w:pPr>
      <w:r>
        <w:rPr>
          <w:rFonts w:hint="eastAsia" w:eastAsiaTheme="minorEastAsia"/>
          <w:i w:val="0"/>
          <w:iCs/>
          <w:color w:val="auto"/>
          <w:sz w:val="24"/>
          <w:lang w:val="en-US" w:eastAsia="zh-CN"/>
        </w:rPr>
        <w:t>3.智能会计与数据分析方向：以“技术赋能+业财融合”为核心，聚焦人工智能、大数据与会计实践的深度融合。培养内容包括：智能会计系统应用、财务数据挖掘与可视化、机器学习在财务预测与风险识别中的应用、区块链电子凭证技术及大数据审计框架等；通过校企联合项目、真实数据案例库实训及学术研究，强化学生构建智能财务模型、解读多维数据价值及优化企业决策的能力。培养目标致力于培育精通信息技术与会计理论的复合型领军人才，使学生掌握智能财务工具开发、数字化转型战略设计及数据驱动型风险管理能力，毕业后可在科技公司、金融机构、会计师事务所或监管部门从事智能会计系统设计、财务数据分析及商业智能研究，推动企业会计智能化转型与决策效率升级，助力国家数字经济与会计理论创新发展。</w:t>
      </w:r>
    </w:p>
    <w:p w14:paraId="32DAF9FF">
      <w:pPr>
        <w:spacing w:line="440" w:lineRule="exact"/>
        <w:ind w:firstLine="560" w:firstLineChars="200"/>
        <w:rPr>
          <w:rFonts w:eastAsia="黑体"/>
          <w:bCs/>
          <w:sz w:val="28"/>
          <w:szCs w:val="28"/>
        </w:rPr>
      </w:pPr>
      <w:r>
        <w:rPr>
          <w:rFonts w:eastAsia="黑体"/>
          <w:bCs/>
          <w:sz w:val="28"/>
          <w:szCs w:val="28"/>
        </w:rPr>
        <w:t>四、学制及学习年限</w:t>
      </w:r>
    </w:p>
    <w:p w14:paraId="39803CCD">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34CF4F40">
      <w:pPr>
        <w:spacing w:line="440" w:lineRule="exact"/>
        <w:ind w:firstLine="560" w:firstLineChars="200"/>
        <w:rPr>
          <w:rFonts w:eastAsia="黑体"/>
          <w:bCs/>
          <w:sz w:val="28"/>
          <w:szCs w:val="28"/>
        </w:rPr>
      </w:pPr>
      <w:r>
        <w:rPr>
          <w:rFonts w:eastAsia="黑体"/>
          <w:bCs/>
          <w:sz w:val="28"/>
          <w:szCs w:val="28"/>
        </w:rPr>
        <w:t>五、培养目标</w:t>
      </w:r>
    </w:p>
    <w:p w14:paraId="1AD8E774">
      <w:pPr>
        <w:spacing w:line="420" w:lineRule="exact"/>
        <w:ind w:firstLine="480"/>
        <w:rPr>
          <w:rFonts w:eastAsiaTheme="minorEastAsia"/>
          <w:i w:val="0"/>
          <w:iCs/>
          <w:color w:val="auto"/>
          <w:sz w:val="24"/>
        </w:rPr>
      </w:pPr>
      <w:r>
        <w:rPr>
          <w:rFonts w:eastAsiaTheme="minorEastAsia"/>
          <w:i w:val="0"/>
          <w:iCs/>
          <w:color w:val="auto"/>
          <w:sz w:val="24"/>
        </w:rPr>
        <w:t>1. 树立正确的中国特色社会主义核心价值观，具有坚定的理想信念，高尚的道德情操，优良的学术作风，高度的社会责任感。</w:t>
      </w:r>
    </w:p>
    <w:p w14:paraId="0BAEAFC0">
      <w:pPr>
        <w:spacing w:line="420" w:lineRule="exact"/>
        <w:ind w:firstLine="480"/>
        <w:rPr>
          <w:rFonts w:eastAsiaTheme="minorEastAsia"/>
          <w:i w:val="0"/>
          <w:iCs/>
          <w:color w:val="auto"/>
          <w:sz w:val="24"/>
        </w:rPr>
      </w:pPr>
      <w:r>
        <w:rPr>
          <w:rFonts w:eastAsiaTheme="minorEastAsia"/>
          <w:i w:val="0"/>
          <w:iCs/>
          <w:color w:val="auto"/>
          <w:sz w:val="24"/>
        </w:rPr>
        <w:t>2. 在本学科或者专业领域掌握坚实的基础理论和系统的专门知识；具有从事学术研究工作的能力。</w:t>
      </w:r>
    </w:p>
    <w:p w14:paraId="6ADCA979">
      <w:pPr>
        <w:spacing w:line="420" w:lineRule="exact"/>
        <w:ind w:firstLine="480"/>
        <w:rPr>
          <w:rFonts w:eastAsiaTheme="minorEastAsia"/>
          <w:i w:val="0"/>
          <w:iCs/>
          <w:color w:val="auto"/>
          <w:sz w:val="24"/>
        </w:rPr>
      </w:pPr>
      <w:r>
        <w:rPr>
          <w:rFonts w:eastAsiaTheme="minorEastAsia"/>
          <w:i w:val="0"/>
          <w:iCs/>
          <w:color w:val="auto"/>
          <w:sz w:val="24"/>
        </w:rPr>
        <w:t>3. 至少掌握一门外国语，能熟练阅读本专业的外文资料，具有撰写学术论文和进行国际学术交流的能力。</w:t>
      </w:r>
    </w:p>
    <w:p w14:paraId="5AA03123">
      <w:pPr>
        <w:spacing w:line="420" w:lineRule="exact"/>
        <w:ind w:firstLine="480"/>
        <w:rPr>
          <w:rFonts w:eastAsiaTheme="minorEastAsia"/>
          <w:i w:val="0"/>
          <w:iCs/>
          <w:color w:val="auto"/>
          <w:sz w:val="24"/>
        </w:rPr>
      </w:pPr>
      <w:r>
        <w:rPr>
          <w:rFonts w:eastAsiaTheme="minorEastAsia"/>
          <w:i w:val="0"/>
          <w:iCs/>
          <w:color w:val="auto"/>
          <w:sz w:val="24"/>
        </w:rPr>
        <w:t>4. 具有良好的团队意识和团队合作精神。</w:t>
      </w:r>
    </w:p>
    <w:p w14:paraId="0FC1245C">
      <w:pPr>
        <w:spacing w:line="420" w:lineRule="exact"/>
        <w:ind w:firstLine="480"/>
        <w:rPr>
          <w:rFonts w:eastAsiaTheme="minorEastAsia"/>
          <w:i w:val="0"/>
          <w:iCs/>
          <w:color w:val="auto"/>
          <w:sz w:val="24"/>
        </w:rPr>
      </w:pPr>
      <w:r>
        <w:rPr>
          <w:rFonts w:eastAsiaTheme="minorEastAsia"/>
          <w:i w:val="0"/>
          <w:iCs/>
          <w:color w:val="auto"/>
          <w:sz w:val="24"/>
        </w:rPr>
        <w:t>5. 具有良好的心理素养。</w:t>
      </w:r>
    </w:p>
    <w:p w14:paraId="1509D29F">
      <w:pPr>
        <w:spacing w:line="420" w:lineRule="exact"/>
        <w:ind w:firstLine="480"/>
        <w:rPr>
          <w:rFonts w:eastAsiaTheme="minorEastAsia"/>
          <w:i w:val="0"/>
          <w:iCs/>
          <w:color w:val="auto"/>
          <w:sz w:val="24"/>
        </w:rPr>
      </w:pPr>
      <w:r>
        <w:rPr>
          <w:rFonts w:eastAsiaTheme="minorEastAsia"/>
          <w:i w:val="0"/>
          <w:iCs/>
          <w:color w:val="auto"/>
          <w:sz w:val="24"/>
        </w:rPr>
        <w:t>6. 培养德智体美劳全面发展的社会主义事业接班人。</w:t>
      </w:r>
    </w:p>
    <w:p w14:paraId="4C007A7D">
      <w:pPr>
        <w:spacing w:line="420" w:lineRule="exact"/>
        <w:ind w:firstLine="480"/>
        <w:rPr>
          <w:rFonts w:eastAsiaTheme="minorEastAsia"/>
          <w:i w:val="0"/>
          <w:iCs/>
          <w:color w:val="auto"/>
          <w:sz w:val="24"/>
        </w:rPr>
      </w:pPr>
      <w:r>
        <w:rPr>
          <w:rFonts w:hint="eastAsia" w:eastAsiaTheme="minorEastAsia"/>
          <w:i w:val="0"/>
          <w:iCs/>
          <w:color w:val="auto"/>
          <w:sz w:val="24"/>
          <w:lang w:val="en-US" w:eastAsia="zh-CN"/>
        </w:rPr>
        <w:t>7.</w:t>
      </w:r>
      <w:r>
        <w:rPr>
          <w:rFonts w:hint="eastAsia" w:ascii="宋体" w:hAnsi="宋体"/>
          <w:iCs/>
          <w:sz w:val="24"/>
        </w:rPr>
        <w:t>本</w:t>
      </w:r>
      <w:r>
        <w:rPr>
          <w:rFonts w:hint="eastAsia" w:ascii="宋体" w:hAnsi="宋体"/>
          <w:iCs/>
          <w:sz w:val="24"/>
          <w:lang w:val="en-US" w:eastAsia="zh-CN"/>
        </w:rPr>
        <w:t>专业</w:t>
      </w:r>
      <w:r>
        <w:rPr>
          <w:rFonts w:hint="eastAsia" w:ascii="宋体" w:hAnsi="宋体"/>
          <w:iCs/>
          <w:sz w:val="24"/>
        </w:rPr>
        <w:t>旨在培养具有扎实经济学和管理学理论基础，牢固掌握</w:t>
      </w:r>
      <w:r>
        <w:rPr>
          <w:rFonts w:hint="eastAsia" w:ascii="宋体" w:hAnsi="宋体"/>
          <w:iCs/>
          <w:sz w:val="24"/>
          <w:lang w:val="en-US" w:eastAsia="zh-CN"/>
        </w:rPr>
        <w:t>会计学</w:t>
      </w:r>
      <w:r>
        <w:rPr>
          <w:rFonts w:hint="eastAsia" w:ascii="宋体" w:hAnsi="宋体"/>
          <w:iCs/>
          <w:sz w:val="24"/>
        </w:rPr>
        <w:t>基本理论知识，具有科研兴趣和严谨科研作风，</w:t>
      </w:r>
      <w:bookmarkStart w:id="0" w:name="_Hlk99793006"/>
      <w:bookmarkStart w:id="1" w:name="_Hlk99793174"/>
      <w:r>
        <w:rPr>
          <w:rFonts w:hint="eastAsia" w:ascii="宋体" w:hAnsi="宋体"/>
          <w:iCs/>
          <w:sz w:val="24"/>
        </w:rPr>
        <w:t>掌握定量和定性分析方法及数据处理技术</w:t>
      </w:r>
      <w:bookmarkEnd w:id="0"/>
      <w:r>
        <w:rPr>
          <w:rFonts w:hint="eastAsia" w:ascii="宋体" w:hAnsi="宋体"/>
          <w:iCs/>
          <w:sz w:val="24"/>
        </w:rPr>
        <w:t>，</w:t>
      </w:r>
      <w:bookmarkEnd w:id="1"/>
      <w:r>
        <w:rPr>
          <w:rFonts w:hint="eastAsia" w:ascii="宋体" w:hAnsi="宋体"/>
          <w:iCs/>
          <w:sz w:val="24"/>
        </w:rPr>
        <w:t>了解</w:t>
      </w:r>
      <w:r>
        <w:rPr>
          <w:rFonts w:hint="eastAsia" w:ascii="宋体" w:hAnsi="宋体"/>
          <w:iCs/>
          <w:sz w:val="24"/>
          <w:lang w:val="en-US" w:eastAsia="zh-CN"/>
        </w:rPr>
        <w:t>会计</w:t>
      </w:r>
      <w:r>
        <w:rPr>
          <w:rFonts w:hint="eastAsia" w:ascii="宋体" w:hAnsi="宋体"/>
          <w:iCs/>
          <w:sz w:val="24"/>
        </w:rPr>
        <w:t>学术前沿与学术动态，</w:t>
      </w:r>
      <w:bookmarkStart w:id="2" w:name="_Hlk99793239"/>
      <w:r>
        <w:rPr>
          <w:rFonts w:hint="eastAsia" w:ascii="宋体" w:hAnsi="宋体"/>
          <w:iCs/>
          <w:sz w:val="24"/>
        </w:rPr>
        <w:t>善于提炼科学研究问题</w:t>
      </w:r>
      <w:bookmarkEnd w:id="2"/>
      <w:r>
        <w:rPr>
          <w:rFonts w:hint="eastAsia" w:ascii="宋体" w:hAnsi="宋体"/>
          <w:iCs/>
          <w:sz w:val="24"/>
        </w:rPr>
        <w:t>，</w:t>
      </w:r>
      <w:bookmarkStart w:id="3" w:name="_Hlk99793335"/>
      <w:r>
        <w:rPr>
          <w:rFonts w:hint="eastAsia" w:ascii="宋体" w:hAnsi="宋体"/>
          <w:iCs/>
          <w:sz w:val="24"/>
        </w:rPr>
        <w:t>具备一定的学术研究创新能力和解决问题实际能力，</w:t>
      </w:r>
      <w:bookmarkEnd w:id="3"/>
      <w:r>
        <w:rPr>
          <w:rFonts w:hint="eastAsia" w:ascii="宋体" w:hAnsi="宋体"/>
          <w:iCs/>
          <w:sz w:val="24"/>
        </w:rPr>
        <w:t>能够开展本专业学术研究和应用研究的高层次复合型管理人才。</w:t>
      </w:r>
    </w:p>
    <w:p w14:paraId="05F08C4A">
      <w:pPr>
        <w:spacing w:line="440" w:lineRule="exact"/>
        <w:ind w:firstLine="560" w:firstLineChars="200"/>
        <w:rPr>
          <w:rFonts w:eastAsia="黑体"/>
          <w:bCs/>
          <w:sz w:val="28"/>
          <w:szCs w:val="28"/>
        </w:rPr>
      </w:pPr>
      <w:r>
        <w:rPr>
          <w:rFonts w:eastAsia="黑体"/>
          <w:bCs/>
          <w:sz w:val="28"/>
          <w:szCs w:val="28"/>
        </w:rPr>
        <w:t>六、培养方式</w:t>
      </w:r>
    </w:p>
    <w:p w14:paraId="098ABBC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1.</w:t>
      </w:r>
      <w:r>
        <w:rPr>
          <w:rFonts w:hint="default" w:ascii="Times New Roman" w:hAnsi="Times New Roman" w:eastAsia="宋体" w:cs="Times New Roman"/>
          <w:sz w:val="24"/>
        </w:rPr>
        <w:t>思政和专业学习相结合</w:t>
      </w:r>
    </w:p>
    <w:p w14:paraId="44DD0A9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rPr>
        <w:t>要求学生必须参加思想政治学习活动，树立正确的人生观和价值观。坚持思政贯穿研究生学习生涯始终。</w:t>
      </w:r>
    </w:p>
    <w:p w14:paraId="5890F7D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2.</w:t>
      </w:r>
      <w:r>
        <w:rPr>
          <w:rFonts w:hint="default" w:ascii="Times New Roman" w:hAnsi="Times New Roman" w:eastAsia="宋体" w:cs="Times New Roman"/>
          <w:sz w:val="24"/>
        </w:rPr>
        <w:t>学分制</w:t>
      </w:r>
    </w:p>
    <w:p w14:paraId="5C5DF588">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highlight w:val="none"/>
        </w:rPr>
        <w:t>实行学分制，总学分不低于</w:t>
      </w:r>
      <w:r>
        <w:rPr>
          <w:rFonts w:hint="eastAsia" w:ascii="Times New Roman" w:hAnsi="Times New Roman" w:cs="Times New Roman"/>
          <w:sz w:val="24"/>
          <w:highlight w:val="none"/>
          <w:lang w:val="en-US" w:eastAsia="zh-CN"/>
        </w:rPr>
        <w:t>30</w:t>
      </w:r>
      <w:r>
        <w:rPr>
          <w:rFonts w:hint="default" w:ascii="Times New Roman" w:hAnsi="Times New Roman" w:eastAsia="宋体" w:cs="Times New Roman"/>
          <w:sz w:val="24"/>
          <w:highlight w:val="none"/>
        </w:rPr>
        <w:t>学分。学分采取综合评定学生学习成绩的方式，具体依据包括考试、作业、案例分析、课堂讨论、撰写专题报告等。鼓励教师采用案例教学方法，并逐步增加案例教学的比</w:t>
      </w:r>
      <w:r>
        <w:rPr>
          <w:rFonts w:hint="default" w:ascii="Times New Roman" w:hAnsi="Times New Roman" w:eastAsia="宋体" w:cs="Times New Roman"/>
          <w:sz w:val="24"/>
        </w:rPr>
        <w:t>例，注重理论联系实际，强调培养学生分析和解决实际问题的能力。</w:t>
      </w:r>
    </w:p>
    <w:p w14:paraId="593A273C">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eastAsia" w:ascii="Times New Roman" w:hAnsi="Times New Roman" w:cs="Times New Roman"/>
          <w:sz w:val="24"/>
          <w:lang w:val="en-US" w:eastAsia="zh-CN"/>
        </w:rPr>
        <w:t>3</w:t>
      </w:r>
      <w:r>
        <w:rPr>
          <w:rFonts w:hint="default" w:ascii="Times New Roman" w:hAnsi="Times New Roman" w:eastAsia="宋体" w:cs="Times New Roman"/>
          <w:sz w:val="24"/>
          <w:lang w:val="en-US" w:eastAsia="zh-CN"/>
        </w:rPr>
        <w:t>.</w:t>
      </w:r>
      <w:r>
        <w:rPr>
          <w:rFonts w:hint="default" w:ascii="Times New Roman" w:hAnsi="Times New Roman" w:eastAsia="宋体" w:cs="Times New Roman"/>
          <w:sz w:val="24"/>
        </w:rPr>
        <w:t>导师组和双导师制</w:t>
      </w:r>
    </w:p>
    <w:p w14:paraId="45EE066A">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default" w:ascii="Times New Roman" w:hAnsi="Times New Roman" w:eastAsia="宋体" w:cs="Times New Roman"/>
          <w:sz w:val="24"/>
        </w:rPr>
      </w:pPr>
      <w:r>
        <w:rPr>
          <w:rFonts w:hint="default" w:ascii="Times New Roman" w:hAnsi="Times New Roman" w:eastAsia="宋体" w:cs="Times New Roman"/>
          <w:sz w:val="24"/>
        </w:rPr>
        <w:t>成立校内导师组，加强教学管理和专业指导工作。实行双导师制，实现社会导师和校内导师联合培养制，聘请企事业单位、会计师事务所、政府部门等有关专家共同承担指导工作。开辟第二课堂，聘请有实践经验的专家开设讲座或承担部分课程。</w:t>
      </w:r>
    </w:p>
    <w:p w14:paraId="4B1E5728">
      <w:pPr>
        <w:spacing w:line="440" w:lineRule="exact"/>
        <w:ind w:firstLine="560" w:firstLineChars="200"/>
        <w:rPr>
          <w:rFonts w:eastAsia="黑体"/>
          <w:bCs/>
          <w:sz w:val="28"/>
          <w:szCs w:val="28"/>
        </w:rPr>
      </w:pPr>
      <w:r>
        <w:rPr>
          <w:rFonts w:eastAsia="黑体"/>
          <w:bCs/>
          <w:sz w:val="28"/>
          <w:szCs w:val="28"/>
        </w:rPr>
        <w:t>七、中期筛选</w:t>
      </w:r>
    </w:p>
    <w:p w14:paraId="7AC73D47">
      <w:pPr>
        <w:keepNext w:val="0"/>
        <w:keepLines w:val="0"/>
        <w:pageBreakBefore w:val="0"/>
        <w:widowControl w:val="0"/>
        <w:kinsoku/>
        <w:wordWrap/>
        <w:overflowPunct/>
        <w:topLinePunct w:val="0"/>
        <w:autoSpaceDE/>
        <w:autoSpaceDN/>
        <w:bidi w:val="0"/>
        <w:adjustRightInd/>
        <w:snapToGrid/>
        <w:spacing w:before="156" w:beforeLines="50" w:line="440" w:lineRule="exact"/>
        <w:ind w:firstLine="480" w:firstLineChars="200"/>
        <w:textAlignment w:val="auto"/>
        <w:rPr>
          <w:rFonts w:eastAsiaTheme="minorEastAsia"/>
          <w:bCs/>
          <w:sz w:val="24"/>
        </w:rPr>
      </w:pPr>
      <w:bookmarkStart w:id="4" w:name="_Toc59002625"/>
      <w:r>
        <w:rPr>
          <w:rFonts w:eastAsiaTheme="minorEastAsia"/>
          <w:bCs/>
          <w:sz w:val="24"/>
        </w:rPr>
        <w:t>在完成培养方案规定的课程学习、考核成绩合格、获得规定的学分后，</w:t>
      </w:r>
      <w:bookmarkEnd w:id="4"/>
      <w:r>
        <w:rPr>
          <w:rFonts w:eastAsiaTheme="minorEastAsia"/>
          <w:bCs/>
          <w:sz w:val="24"/>
        </w:rPr>
        <w:t>按照《河北大学研究生中期筛选管理办法》（校政字〔2021〕15号）的相关规定，组织开展中期筛选工作。</w:t>
      </w:r>
    </w:p>
    <w:p w14:paraId="03BAF060">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00772852">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rFonts w:hint="eastAsia" w:eastAsia="宋体"/>
          <w:i/>
          <w:color w:val="FF0000"/>
          <w:kern w:val="0"/>
          <w:sz w:val="18"/>
          <w:szCs w:val="18"/>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〔2025〕*号</w:t>
      </w:r>
      <w:r>
        <w:rPr>
          <w:color w:val="000000" w:themeColor="text1"/>
          <w:kern w:val="0"/>
          <w:sz w:val="24"/>
          <w14:textFill>
            <w14:solidFill>
              <w14:schemeClr w14:val="tx1"/>
            </w14:solidFill>
          </w14:textFill>
        </w:rPr>
        <w:t>）规定，硕士研究生论文开题与答辩时间间隔原则上不少于12个月。</w:t>
      </w:r>
      <w:r>
        <w:rPr>
          <w:i w:val="0"/>
          <w:iCs/>
          <w:color w:val="auto"/>
          <w:kern w:val="0"/>
          <w:sz w:val="24"/>
        </w:rPr>
        <w:t>学位（毕业）论文应当表明作者具有独立从事学术研究工作的能力，鼓励硕士研究生参与科学研究，取得创新性成果</w:t>
      </w:r>
      <w:r>
        <w:rPr>
          <w:rFonts w:hint="eastAsia"/>
          <w:i w:val="0"/>
          <w:iCs/>
          <w:color w:val="auto"/>
          <w:kern w:val="0"/>
          <w:sz w:val="24"/>
          <w:lang w:eastAsia="zh-CN"/>
        </w:rPr>
        <w:t>。</w:t>
      </w:r>
    </w:p>
    <w:p w14:paraId="6445F89D">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color w:val="222222"/>
          <w:kern w:val="0"/>
          <w:sz w:val="18"/>
          <w:szCs w:val="18"/>
        </w:rPr>
      </w:pPr>
      <w:r>
        <w:rPr>
          <w:bCs/>
          <w:color w:val="222222"/>
          <w:kern w:val="0"/>
          <w:sz w:val="24"/>
        </w:rPr>
        <w:t>2.开题：</w:t>
      </w:r>
      <w:r>
        <w:rPr>
          <w:i w:val="0"/>
          <w:iCs/>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A6E610C">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i w:val="0"/>
          <w:iCs/>
          <w:color w:val="auto"/>
          <w:kern w:val="0"/>
          <w:sz w:val="18"/>
          <w:szCs w:val="18"/>
        </w:rPr>
      </w:pPr>
      <w:r>
        <w:rPr>
          <w:i w:val="0"/>
          <w:iCs/>
          <w:color w:val="auto"/>
          <w:kern w:val="0"/>
          <w:sz w:val="24"/>
        </w:rPr>
        <w:t>原则上在入学后第3学期（最迟不超过第4学期）完成开题。开题由3-5名具有高级专业技术职务人员参加，以学术报告的方式进行。</w:t>
      </w:r>
    </w:p>
    <w:p w14:paraId="091ACF9D">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i w:val="0"/>
          <w:iCs/>
          <w:color w:val="auto"/>
          <w:kern w:val="0"/>
          <w:sz w:val="24"/>
        </w:rPr>
      </w:pPr>
      <w:r>
        <w:rPr>
          <w:bCs/>
          <w:color w:val="222222"/>
          <w:kern w:val="0"/>
          <w:sz w:val="24"/>
        </w:rPr>
        <w:t>3.中期进展报告：</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B2D1FDE">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i w:val="0"/>
          <w:iCs/>
          <w:color w:val="auto"/>
          <w:kern w:val="0"/>
          <w:sz w:val="24"/>
        </w:rPr>
      </w:pPr>
      <w:r>
        <w:rPr>
          <w:bCs/>
          <w:color w:val="222222"/>
          <w:kern w:val="0"/>
          <w:sz w:val="24"/>
        </w:rPr>
        <w:t>4.学位申请：</w:t>
      </w:r>
      <w:r>
        <w:rPr>
          <w:i w:val="0"/>
          <w:iCs/>
          <w:color w:val="auto"/>
          <w:kern w:val="0"/>
          <w:sz w:val="24"/>
        </w:rPr>
        <w:t>达到学位授予条件的申请人，经导师同意后，应于答辩前三个月，向所属学位评定分委员会提出学位申请，提交学位申请材料。</w:t>
      </w:r>
    </w:p>
    <w:p w14:paraId="4ACB8050">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i w:val="0"/>
          <w:iCs/>
          <w:color w:val="auto"/>
          <w:kern w:val="0"/>
          <w:sz w:val="24"/>
        </w:rPr>
      </w:pPr>
      <w:r>
        <w:rPr>
          <w:bCs/>
          <w:color w:val="222222"/>
          <w:kern w:val="0"/>
          <w:sz w:val="24"/>
        </w:rPr>
        <w:t>5.预答辩：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2C01C791">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color w:val="222222"/>
          <w:kern w:val="0"/>
          <w:sz w:val="24"/>
        </w:rPr>
      </w:pPr>
      <w:r>
        <w:rPr>
          <w:bCs/>
          <w:color w:val="222222"/>
          <w:kern w:val="0"/>
          <w:sz w:val="24"/>
        </w:rPr>
        <w:t>6.论文评阅：</w:t>
      </w:r>
      <w:r>
        <w:rPr>
          <w:i w:val="0"/>
          <w:iCs/>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47C94100">
      <w:pPr>
        <w:keepNext w:val="0"/>
        <w:keepLines w:val="0"/>
        <w:pageBreakBefore w:val="0"/>
        <w:widowControl/>
        <w:kinsoku/>
        <w:wordWrap/>
        <w:overflowPunct/>
        <w:topLinePunct w:val="0"/>
        <w:autoSpaceDE/>
        <w:autoSpaceDN/>
        <w:bidi w:val="0"/>
        <w:adjustRightInd/>
        <w:snapToGrid/>
        <w:spacing w:beforeAutospacing="0" w:afterAutospacing="0" w:line="440" w:lineRule="exact"/>
        <w:ind w:firstLine="482"/>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21C6F22A">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FC360D0">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57C26C8">
      <w:pPr>
        <w:spacing w:line="440" w:lineRule="exact"/>
        <w:ind w:firstLine="480" w:firstLineChars="200"/>
        <w:rPr>
          <w:rFonts w:eastAsiaTheme="minorEastAsia"/>
          <w:color w:val="000000"/>
          <w:sz w:val="24"/>
        </w:rPr>
      </w:pPr>
      <w:r>
        <w:rPr>
          <w:rFonts w:eastAsiaTheme="minorEastAsia"/>
          <w:bCs/>
          <w:sz w:val="24"/>
        </w:rPr>
        <w:t>2.</w:t>
      </w:r>
      <w:r>
        <w:rPr>
          <w:rFonts w:eastAsiaTheme="minorEastAsia"/>
          <w:bCs/>
          <w:sz w:val="24"/>
          <w:highlight w:val="none"/>
        </w:rPr>
        <w:t xml:space="preserve"> 学术活动。研</w:t>
      </w:r>
      <w:r>
        <w:rPr>
          <w:rFonts w:eastAsiaTheme="minorEastAsia"/>
          <w:bCs/>
          <w:sz w:val="24"/>
        </w:rPr>
        <w:t>究生</w:t>
      </w:r>
      <w:r>
        <w:rPr>
          <w:rFonts w:eastAsiaTheme="minorEastAsia"/>
          <w:color w:val="000000"/>
          <w:sz w:val="24"/>
        </w:rPr>
        <w:t>在读期间参加不少于</w:t>
      </w:r>
      <w:r>
        <w:rPr>
          <w:rFonts w:eastAsiaTheme="minorEastAsia"/>
          <w:i w:val="0"/>
          <w:iCs/>
          <w:color w:val="auto"/>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 w:val="0"/>
          <w:iCs/>
          <w:color w:val="auto"/>
          <w:sz w:val="24"/>
        </w:rPr>
        <w:t>1次</w:t>
      </w:r>
      <w:r>
        <w:rPr>
          <w:rFonts w:eastAsiaTheme="minorEastAsia"/>
          <w:color w:val="000000"/>
          <w:sz w:val="24"/>
        </w:rPr>
        <w:t>。</w:t>
      </w:r>
    </w:p>
    <w:p w14:paraId="5D8BA640">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C794141">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287C90D0">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94085D9">
      <w:pPr>
        <w:spacing w:line="360" w:lineRule="auto"/>
        <w:ind w:firstLine="480" w:firstLineChars="200"/>
        <w:rPr>
          <w:rFonts w:hint="eastAsia"/>
          <w:bCs/>
          <w:kern w:val="0"/>
          <w:sz w:val="24"/>
        </w:rPr>
      </w:pPr>
      <w:r>
        <w:rPr>
          <w:rFonts w:hint="eastAsia"/>
          <w:bCs/>
          <w:kern w:val="0"/>
          <w:sz w:val="24"/>
        </w:rPr>
        <w:t>1.在核心期刊发表论文1篇及以上；或在全国性学术会议或省级学会、学术组织的学术会议上</w:t>
      </w:r>
      <w:r>
        <w:rPr>
          <w:rFonts w:hint="eastAsia"/>
          <w:bCs/>
          <w:kern w:val="0"/>
          <w:sz w:val="24"/>
          <w:lang w:eastAsia="zh-CN"/>
        </w:rPr>
        <w:t>（</w:t>
      </w:r>
      <w:r>
        <w:rPr>
          <w:rFonts w:hint="eastAsia"/>
          <w:bCs/>
          <w:kern w:val="0"/>
          <w:sz w:val="24"/>
        </w:rPr>
        <w:t>含征文活动</w:t>
      </w:r>
      <w:r>
        <w:rPr>
          <w:rFonts w:hint="eastAsia"/>
          <w:bCs/>
          <w:kern w:val="0"/>
          <w:sz w:val="24"/>
          <w:lang w:eastAsia="zh-CN"/>
        </w:rPr>
        <w:t>）</w:t>
      </w:r>
      <w:r>
        <w:rPr>
          <w:rFonts w:hint="eastAsia"/>
          <w:bCs/>
          <w:kern w:val="0"/>
          <w:sz w:val="24"/>
        </w:rPr>
        <w:t>入选论文，或获得优秀论文奖励。以上论文要求研究生为第一作者；或导师第一作者，研究生第二、第三作者；</w:t>
      </w:r>
    </w:p>
    <w:p w14:paraId="5B1A5C07">
      <w:pPr>
        <w:spacing w:line="360" w:lineRule="auto"/>
        <w:ind w:firstLine="480" w:firstLineChars="200"/>
        <w:rPr>
          <w:rFonts w:hint="eastAsia"/>
          <w:bCs/>
          <w:kern w:val="0"/>
          <w:sz w:val="24"/>
        </w:rPr>
      </w:pPr>
      <w:r>
        <w:rPr>
          <w:rFonts w:hint="eastAsia"/>
          <w:bCs/>
          <w:kern w:val="0"/>
          <w:sz w:val="24"/>
        </w:rPr>
        <w:t>2.参加著作或教材编写前五名或字数2万字以上；</w:t>
      </w:r>
    </w:p>
    <w:p w14:paraId="017DABC5">
      <w:pPr>
        <w:spacing w:line="360" w:lineRule="auto"/>
        <w:ind w:firstLine="480" w:firstLineChars="200"/>
        <w:rPr>
          <w:rFonts w:hint="eastAsia"/>
          <w:bCs/>
          <w:kern w:val="0"/>
          <w:sz w:val="24"/>
        </w:rPr>
      </w:pPr>
      <w:r>
        <w:rPr>
          <w:rFonts w:hint="eastAsia"/>
          <w:bCs/>
          <w:kern w:val="0"/>
          <w:sz w:val="24"/>
        </w:rPr>
        <w:t>3.主持或参与厅级科研和教学研究项目</w:t>
      </w:r>
      <w:r>
        <w:rPr>
          <w:rFonts w:hint="eastAsia"/>
          <w:bCs/>
          <w:kern w:val="0"/>
          <w:sz w:val="24"/>
          <w:lang w:eastAsia="zh-CN"/>
        </w:rPr>
        <w:t>、</w:t>
      </w:r>
      <w:r>
        <w:rPr>
          <w:rFonts w:hint="eastAsia"/>
          <w:bCs/>
          <w:kern w:val="0"/>
          <w:sz w:val="24"/>
          <w:lang w:val="en-US" w:eastAsia="zh-CN"/>
        </w:rPr>
        <w:t>校级研究生创新资助项目</w:t>
      </w:r>
      <w:r>
        <w:rPr>
          <w:rFonts w:hint="eastAsia"/>
          <w:bCs/>
          <w:kern w:val="0"/>
          <w:sz w:val="24"/>
        </w:rPr>
        <w:t>1项，排名前三名；或参与省级、教育部项目，排名前五名；或参与国家级项目，排名前七名；</w:t>
      </w:r>
    </w:p>
    <w:p w14:paraId="7F8A300C">
      <w:pPr>
        <w:spacing w:line="360" w:lineRule="auto"/>
        <w:ind w:firstLine="480" w:firstLineChars="200"/>
        <w:rPr>
          <w:rFonts w:hint="eastAsia"/>
          <w:bCs/>
          <w:kern w:val="0"/>
          <w:sz w:val="24"/>
        </w:rPr>
      </w:pPr>
      <w:r>
        <w:rPr>
          <w:rFonts w:hint="eastAsia"/>
          <w:bCs/>
          <w:kern w:val="0"/>
          <w:sz w:val="24"/>
        </w:rPr>
        <w:t>4.市厅级及以上科研、教研课题奖励</w:t>
      </w:r>
      <w:r>
        <w:rPr>
          <w:rFonts w:hint="eastAsia"/>
          <w:bCs/>
          <w:kern w:val="0"/>
          <w:sz w:val="24"/>
          <w:lang w:eastAsia="zh-CN"/>
        </w:rPr>
        <w:t>（</w:t>
      </w:r>
      <w:r>
        <w:rPr>
          <w:rFonts w:hint="eastAsia"/>
          <w:bCs/>
          <w:kern w:val="0"/>
          <w:sz w:val="24"/>
        </w:rPr>
        <w:t>国家级排名前九、省级排名前七、市厅级排名前五</w:t>
      </w:r>
      <w:r>
        <w:rPr>
          <w:rFonts w:hint="eastAsia"/>
          <w:bCs/>
          <w:kern w:val="0"/>
          <w:sz w:val="24"/>
          <w:lang w:eastAsia="zh-CN"/>
        </w:rPr>
        <w:t>）</w:t>
      </w:r>
      <w:r>
        <w:rPr>
          <w:rFonts w:hint="eastAsia"/>
          <w:bCs/>
          <w:kern w:val="0"/>
          <w:sz w:val="24"/>
        </w:rPr>
        <w:t>，科研奖励及其级别认定以学校或上级主管部门正式文件为准；</w:t>
      </w:r>
    </w:p>
    <w:p w14:paraId="187AE9E6">
      <w:pPr>
        <w:spacing w:line="360" w:lineRule="auto"/>
        <w:ind w:firstLine="480" w:firstLineChars="200"/>
        <w:rPr>
          <w:rFonts w:eastAsiaTheme="minorEastAsia"/>
          <w:i/>
          <w:color w:val="FF0000"/>
          <w:sz w:val="24"/>
        </w:rPr>
      </w:pPr>
      <w:r>
        <w:rPr>
          <w:rFonts w:hint="eastAsia"/>
          <w:bCs/>
          <w:kern w:val="0"/>
          <w:sz w:val="24"/>
        </w:rPr>
        <w:t>5.科研成果或政策建议获得国家、省、市、县级政府领导批示</w:t>
      </w:r>
      <w:r>
        <w:rPr>
          <w:rFonts w:hint="eastAsia"/>
          <w:bCs/>
          <w:kern w:val="0"/>
          <w:sz w:val="24"/>
          <w:lang w:eastAsia="zh-CN"/>
        </w:rPr>
        <w:t>（</w:t>
      </w:r>
      <w:r>
        <w:rPr>
          <w:rFonts w:hint="eastAsia"/>
          <w:bCs/>
          <w:kern w:val="0"/>
          <w:sz w:val="24"/>
        </w:rPr>
        <w:t>国家级前七名、省级前五名、市级前三名、县级前两名</w:t>
      </w:r>
      <w:r>
        <w:rPr>
          <w:rFonts w:hint="eastAsia"/>
          <w:bCs/>
          <w:kern w:val="0"/>
          <w:sz w:val="24"/>
          <w:lang w:eastAsia="zh-CN"/>
        </w:rPr>
        <w:t>）</w:t>
      </w:r>
      <w:r>
        <w:rPr>
          <w:rFonts w:hint="eastAsia"/>
          <w:bCs/>
          <w:kern w:val="0"/>
          <w:sz w:val="24"/>
        </w:rPr>
        <w:t>。</w:t>
      </w:r>
    </w:p>
    <w:p w14:paraId="4D88C917">
      <w:pPr>
        <w:spacing w:line="440" w:lineRule="exact"/>
        <w:ind w:firstLine="560" w:firstLineChars="200"/>
        <w:rPr>
          <w:rFonts w:eastAsia="黑体"/>
          <w:bCs/>
          <w:sz w:val="28"/>
          <w:szCs w:val="28"/>
        </w:rPr>
      </w:pPr>
      <w:r>
        <w:rPr>
          <w:rFonts w:eastAsia="黑体"/>
          <w:bCs/>
          <w:sz w:val="28"/>
          <w:szCs w:val="28"/>
        </w:rPr>
        <w:t>十一、学位授予</w:t>
      </w:r>
    </w:p>
    <w:p w14:paraId="24E6EE5E">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highlight w:val="none"/>
        </w:rPr>
        <w:t>满足本</w:t>
      </w:r>
      <w:r>
        <w:rPr>
          <w:rFonts w:hint="eastAsia"/>
          <w:i w:val="0"/>
          <w:iCs/>
          <w:color w:val="auto"/>
          <w:kern w:val="0"/>
          <w:sz w:val="24"/>
          <w:highlight w:val="none"/>
          <w:lang w:val="en-US" w:eastAsia="zh-CN"/>
        </w:rPr>
        <w:t>系</w:t>
      </w:r>
      <w:r>
        <w:rPr>
          <w:color w:val="222222"/>
          <w:kern w:val="0"/>
          <w:sz w:val="24"/>
          <w:highlight w:val="none"/>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4EEF3E2">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E6670F3">
      <w:pPr>
        <w:spacing w:line="440" w:lineRule="exact"/>
        <w:ind w:firstLine="480" w:firstLineChars="200"/>
        <w:rPr>
          <w:rFonts w:eastAsiaTheme="minorEastAsia"/>
          <w:color w:val="auto"/>
          <w:sz w:val="24"/>
        </w:rPr>
      </w:pPr>
      <w:r>
        <w:rPr>
          <w:rFonts w:eastAsiaTheme="minorEastAsia"/>
          <w:color w:val="000000"/>
          <w:sz w:val="24"/>
        </w:rPr>
        <w:t>本专业</w:t>
      </w:r>
      <w:r>
        <w:rPr>
          <w:rFonts w:eastAsiaTheme="minorEastAsia"/>
          <w:color w:val="auto"/>
          <w:sz w:val="24"/>
        </w:rPr>
        <w:t>最低毕业学分为</w:t>
      </w:r>
      <w:r>
        <w:rPr>
          <w:rFonts w:hint="eastAsia" w:eastAsiaTheme="minorEastAsia"/>
          <w:color w:val="auto"/>
          <w:sz w:val="24"/>
          <w:lang w:val="en-US" w:eastAsia="zh-CN"/>
        </w:rPr>
        <w:t>30学</w:t>
      </w:r>
      <w:r>
        <w:rPr>
          <w:rFonts w:eastAsiaTheme="minorEastAsia"/>
          <w:color w:val="auto"/>
          <w:sz w:val="24"/>
        </w:rPr>
        <w:t>分，其中学位课</w:t>
      </w:r>
      <w:r>
        <w:rPr>
          <w:rFonts w:hint="eastAsia" w:eastAsiaTheme="minorEastAsia"/>
          <w:color w:val="auto"/>
          <w:sz w:val="24"/>
          <w:lang w:val="en-US" w:eastAsia="zh-CN"/>
        </w:rPr>
        <w:t>18</w:t>
      </w:r>
      <w:bookmarkStart w:id="5" w:name="_GoBack"/>
      <w:bookmarkEnd w:id="5"/>
      <w:r>
        <w:rPr>
          <w:rFonts w:eastAsiaTheme="minorEastAsia"/>
          <w:color w:val="auto"/>
          <w:sz w:val="24"/>
        </w:rPr>
        <w:t>学分，非学位课</w:t>
      </w:r>
      <w:r>
        <w:rPr>
          <w:rFonts w:hint="eastAsia" w:eastAsiaTheme="minorEastAsia"/>
          <w:color w:val="auto"/>
          <w:sz w:val="24"/>
          <w:lang w:val="en-US" w:eastAsia="zh-CN"/>
        </w:rPr>
        <w:t>11</w:t>
      </w:r>
      <w:r>
        <w:rPr>
          <w:rFonts w:eastAsiaTheme="minorEastAsia"/>
          <w:color w:val="auto"/>
          <w:sz w:val="24"/>
        </w:rPr>
        <w:t>学分，必修环节</w:t>
      </w:r>
      <w:r>
        <w:rPr>
          <w:rFonts w:hint="eastAsia" w:eastAsiaTheme="minorEastAsia"/>
          <w:color w:val="auto"/>
          <w:sz w:val="24"/>
          <w:lang w:val="en-US" w:eastAsia="zh-CN"/>
        </w:rPr>
        <w:t>2学</w:t>
      </w:r>
      <w:r>
        <w:rPr>
          <w:rFonts w:eastAsiaTheme="minorEastAsia"/>
          <w:color w:val="auto"/>
          <w:sz w:val="24"/>
        </w:rPr>
        <w:t>分。</w:t>
      </w:r>
    </w:p>
    <w:p w14:paraId="775ADC3C">
      <w:pPr>
        <w:spacing w:line="420" w:lineRule="exact"/>
        <w:rPr>
          <w:color w:val="FF0000"/>
          <w:sz w:val="24"/>
        </w:rPr>
      </w:pPr>
      <w:r>
        <w:rPr>
          <w:rFonts w:eastAsiaTheme="minorEastAsia"/>
          <w:color w:val="000000"/>
          <w:sz w:val="24"/>
        </w:rPr>
        <w:t xml:space="preserve">    课程考试不设补考环节，</w:t>
      </w:r>
      <w:r>
        <w:rPr>
          <w:color w:val="000000"/>
          <w:sz w:val="24"/>
        </w:rPr>
        <w:t>考试成绩低于60分的需重修。</w:t>
      </w:r>
    </w:p>
    <w:p w14:paraId="6D243854">
      <w:pPr>
        <w:spacing w:line="420" w:lineRule="exact"/>
        <w:rPr>
          <w:rFonts w:eastAsiaTheme="minorEastAsia"/>
          <w:i w:val="0"/>
          <w:iCs/>
          <w:color w:val="auto"/>
          <w:sz w:val="24"/>
        </w:rPr>
      </w:pPr>
      <w:r>
        <w:rPr>
          <w:i w:val="0"/>
          <w:iCs/>
          <w:color w:val="auto"/>
          <w:sz w:val="24"/>
        </w:rPr>
        <w:t xml:space="preserve">    课程考核方式包括考试和考查，</w:t>
      </w:r>
      <w:r>
        <w:rPr>
          <w:rFonts w:eastAsiaTheme="minorEastAsia"/>
          <w:i w:val="0"/>
          <w:iCs/>
          <w:color w:val="auto"/>
          <w:sz w:val="24"/>
        </w:rPr>
        <w:t>可以采用口试、笔试或写读书报告、论文的形式，但应有</w:t>
      </w:r>
      <w:r>
        <w:rPr>
          <w:rFonts w:hint="eastAsia" w:eastAsiaTheme="minorEastAsia"/>
          <w:i w:val="0"/>
          <w:iCs/>
          <w:color w:val="auto"/>
          <w:sz w:val="24"/>
          <w:lang w:val="en-US" w:eastAsia="zh-CN"/>
        </w:rPr>
        <w:t>一定次数</w:t>
      </w:r>
      <w:r>
        <w:rPr>
          <w:rFonts w:eastAsiaTheme="minorEastAsia"/>
          <w:i w:val="0"/>
          <w:iCs/>
          <w:color w:val="auto"/>
          <w:sz w:val="24"/>
        </w:rPr>
        <w:t>的笔试。无论采取何种考核方式，均应能真实反映学生对所学课程掌握的程度及运用知识的能力。</w:t>
      </w:r>
    </w:p>
    <w:p w14:paraId="40804FCD">
      <w:pPr>
        <w:spacing w:after="156" w:afterLines="50" w:line="440" w:lineRule="exact"/>
        <w:ind w:firstLine="482" w:firstLineChars="200"/>
        <w:jc w:val="center"/>
        <w:rPr>
          <w:rFonts w:eastAsiaTheme="minorEastAsia"/>
          <w:b/>
          <w:bCs/>
          <w:sz w:val="24"/>
        </w:rPr>
      </w:pPr>
    </w:p>
    <w:p w14:paraId="5BF93B91">
      <w:pPr>
        <w:spacing w:after="156" w:afterLines="50" w:line="440" w:lineRule="exact"/>
        <w:ind w:firstLine="482" w:firstLineChars="200"/>
        <w:jc w:val="center"/>
        <w:rPr>
          <w:rFonts w:eastAsiaTheme="minorEastAsia"/>
          <w:b/>
          <w:bCs/>
          <w:sz w:val="24"/>
        </w:rPr>
      </w:pPr>
    </w:p>
    <w:p w14:paraId="453482E7">
      <w:pPr>
        <w:spacing w:after="156" w:afterLines="50" w:line="440" w:lineRule="exact"/>
        <w:ind w:firstLine="482" w:firstLineChars="200"/>
        <w:jc w:val="center"/>
        <w:rPr>
          <w:rFonts w:eastAsiaTheme="minorEastAsia"/>
          <w:b/>
          <w:bCs/>
          <w:sz w:val="24"/>
        </w:rPr>
      </w:pPr>
    </w:p>
    <w:p w14:paraId="65D881EE">
      <w:pPr>
        <w:spacing w:after="156" w:afterLines="50" w:line="440" w:lineRule="exact"/>
        <w:jc w:val="both"/>
        <w:rPr>
          <w:rFonts w:eastAsiaTheme="minorEastAsia"/>
          <w:b/>
          <w:bCs/>
          <w:sz w:val="24"/>
        </w:rPr>
      </w:pPr>
    </w:p>
    <w:p w14:paraId="08BD5817">
      <w:pPr>
        <w:spacing w:after="156" w:afterLines="50" w:line="440" w:lineRule="exact"/>
        <w:jc w:val="both"/>
        <w:rPr>
          <w:rFonts w:eastAsiaTheme="minorEastAsia"/>
          <w:b/>
          <w:bCs/>
          <w:sz w:val="24"/>
        </w:rPr>
      </w:pPr>
    </w:p>
    <w:p w14:paraId="0C182EC9">
      <w:pPr>
        <w:spacing w:after="156" w:afterLines="50" w:line="440" w:lineRule="exact"/>
        <w:jc w:val="both"/>
        <w:rPr>
          <w:rFonts w:eastAsiaTheme="minorEastAsia"/>
          <w:b/>
          <w:bCs/>
          <w:sz w:val="24"/>
        </w:rPr>
      </w:pPr>
    </w:p>
    <w:p w14:paraId="78994D2B">
      <w:pPr>
        <w:spacing w:after="156" w:afterLines="50" w:line="440" w:lineRule="exact"/>
        <w:jc w:val="both"/>
        <w:rPr>
          <w:rFonts w:eastAsiaTheme="minorEastAsia"/>
          <w:b/>
          <w:bCs/>
          <w:sz w:val="24"/>
        </w:rPr>
      </w:pPr>
    </w:p>
    <w:p w14:paraId="221C1C15">
      <w:pPr>
        <w:spacing w:after="156" w:afterLines="50" w:line="440" w:lineRule="exact"/>
        <w:jc w:val="both"/>
        <w:rPr>
          <w:rFonts w:eastAsiaTheme="minorEastAsia"/>
          <w:b/>
          <w:bCs/>
          <w:sz w:val="24"/>
        </w:rPr>
      </w:pPr>
    </w:p>
    <w:p w14:paraId="47A60102">
      <w:pPr>
        <w:spacing w:after="156" w:afterLines="50" w:line="440" w:lineRule="exact"/>
        <w:jc w:val="both"/>
        <w:rPr>
          <w:rFonts w:eastAsiaTheme="minorEastAsia"/>
          <w:b/>
          <w:bCs/>
          <w:sz w:val="24"/>
        </w:rPr>
      </w:pPr>
    </w:p>
    <w:p w14:paraId="4DB8E31B">
      <w:pPr>
        <w:spacing w:after="156" w:afterLines="50" w:line="440" w:lineRule="exact"/>
        <w:jc w:val="both"/>
        <w:rPr>
          <w:rFonts w:eastAsiaTheme="minorEastAsia"/>
          <w:b/>
          <w:bCs/>
          <w:sz w:val="24"/>
        </w:rPr>
      </w:pPr>
    </w:p>
    <w:p w14:paraId="62AC391F">
      <w:pPr>
        <w:spacing w:after="156" w:afterLines="50" w:line="440" w:lineRule="exact"/>
        <w:ind w:firstLine="482" w:firstLineChars="200"/>
        <w:jc w:val="center"/>
        <w:rPr>
          <w:rFonts w:eastAsiaTheme="minorEastAsia"/>
          <w:b/>
          <w:bCs/>
          <w:sz w:val="24"/>
        </w:rPr>
      </w:pPr>
      <w:r>
        <w:rPr>
          <w:rFonts w:hint="eastAsia" w:eastAsiaTheme="minorEastAsia"/>
          <w:b/>
          <w:bCs/>
          <w:sz w:val="24"/>
          <w:lang w:val="en-US" w:eastAsia="zh-CN"/>
        </w:rPr>
        <w:t>会计</w:t>
      </w:r>
      <w:r>
        <w:rPr>
          <w:rFonts w:eastAsiaTheme="minorEastAsia"/>
          <w:b/>
          <w:bCs/>
          <w:sz w:val="24"/>
        </w:rPr>
        <w:t>专业学术学位硕士研究生课程及培养环节设置一览表</w:t>
      </w:r>
    </w:p>
    <w:tbl>
      <w:tblPr>
        <w:tblStyle w:val="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DE799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613C17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9477B6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11150C9C">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E9C1A0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69499C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2455532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36A563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B168BA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69D2F8E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008CE44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57504722">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新时代中国特色社会主义理论与实践</w:t>
            </w:r>
          </w:p>
        </w:tc>
        <w:tc>
          <w:tcPr>
            <w:tcW w:w="1081" w:type="dxa"/>
            <w:vAlign w:val="center"/>
          </w:tcPr>
          <w:p w14:paraId="1127708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59081DE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998F02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700024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9C143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7C7C167">
            <w:pPr>
              <w:jc w:val="center"/>
              <w:rPr>
                <w:b/>
                <w:color w:val="000000" w:themeColor="text1"/>
                <w:sz w:val="18"/>
                <w:szCs w:val="18"/>
                <w14:textFill>
                  <w14:solidFill>
                    <w14:schemeClr w14:val="tx1"/>
                  </w14:solidFill>
                </w14:textFill>
              </w:rPr>
            </w:pPr>
          </w:p>
        </w:tc>
        <w:tc>
          <w:tcPr>
            <w:tcW w:w="1226" w:type="dxa"/>
            <w:vMerge w:val="continue"/>
            <w:vAlign w:val="center"/>
          </w:tcPr>
          <w:p w14:paraId="5AB98685">
            <w:pPr>
              <w:jc w:val="center"/>
              <w:rPr>
                <w:b/>
                <w:color w:val="000000" w:themeColor="text1"/>
                <w:sz w:val="18"/>
                <w:szCs w:val="18"/>
                <w14:textFill>
                  <w14:solidFill>
                    <w14:schemeClr w14:val="tx1"/>
                  </w14:solidFill>
                </w14:textFill>
              </w:rPr>
            </w:pPr>
          </w:p>
        </w:tc>
        <w:tc>
          <w:tcPr>
            <w:tcW w:w="3516" w:type="dxa"/>
            <w:vAlign w:val="center"/>
          </w:tcPr>
          <w:p w14:paraId="3974AC81">
            <w:pPr>
              <w:rPr>
                <w:sz w:val="18"/>
                <w:szCs w:val="18"/>
                <w:highlight w:val="none"/>
              </w:rPr>
            </w:pPr>
            <w:r>
              <w:rPr>
                <w:sz w:val="18"/>
                <w:szCs w:val="18"/>
                <w:highlight w:val="none"/>
              </w:rPr>
              <w:t>通用学术英语</w:t>
            </w:r>
          </w:p>
        </w:tc>
        <w:tc>
          <w:tcPr>
            <w:tcW w:w="1081" w:type="dxa"/>
            <w:vAlign w:val="center"/>
          </w:tcPr>
          <w:p w14:paraId="73662B41">
            <w:pPr>
              <w:jc w:val="center"/>
              <w:rPr>
                <w:sz w:val="18"/>
                <w:szCs w:val="18"/>
              </w:rPr>
            </w:pPr>
            <w:r>
              <w:rPr>
                <w:sz w:val="18"/>
                <w:szCs w:val="18"/>
              </w:rPr>
              <w:t>TS0000002</w:t>
            </w:r>
          </w:p>
        </w:tc>
        <w:tc>
          <w:tcPr>
            <w:tcW w:w="709" w:type="dxa"/>
            <w:vAlign w:val="center"/>
          </w:tcPr>
          <w:p w14:paraId="65B80960">
            <w:pPr>
              <w:jc w:val="center"/>
              <w:rPr>
                <w:sz w:val="18"/>
                <w:szCs w:val="18"/>
              </w:rPr>
            </w:pPr>
            <w:r>
              <w:rPr>
                <w:sz w:val="18"/>
                <w:szCs w:val="18"/>
              </w:rPr>
              <w:t>2</w:t>
            </w:r>
          </w:p>
        </w:tc>
        <w:tc>
          <w:tcPr>
            <w:tcW w:w="709" w:type="dxa"/>
            <w:vAlign w:val="center"/>
          </w:tcPr>
          <w:p w14:paraId="07F97A7B">
            <w:pPr>
              <w:jc w:val="center"/>
              <w:rPr>
                <w:sz w:val="18"/>
                <w:szCs w:val="18"/>
              </w:rPr>
            </w:pPr>
            <w:r>
              <w:rPr>
                <w:sz w:val="18"/>
                <w:szCs w:val="18"/>
              </w:rPr>
              <w:t>1</w:t>
            </w:r>
          </w:p>
        </w:tc>
        <w:tc>
          <w:tcPr>
            <w:tcW w:w="1045" w:type="dxa"/>
            <w:vAlign w:val="center"/>
          </w:tcPr>
          <w:p w14:paraId="7FE8EC28">
            <w:pPr>
              <w:jc w:val="center"/>
              <w:rPr>
                <w:sz w:val="18"/>
                <w:szCs w:val="18"/>
              </w:rPr>
            </w:pPr>
            <w:r>
              <w:rPr>
                <w:rFonts w:hint="eastAsia"/>
                <w:sz w:val="18"/>
                <w:szCs w:val="18"/>
              </w:rPr>
              <w:t>考查</w:t>
            </w:r>
          </w:p>
        </w:tc>
      </w:tr>
      <w:tr w14:paraId="4AEB0B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CCE53AA">
            <w:pPr>
              <w:jc w:val="center"/>
              <w:rPr>
                <w:b/>
                <w:color w:val="000000" w:themeColor="text1"/>
                <w:sz w:val="18"/>
                <w:szCs w:val="18"/>
                <w14:textFill>
                  <w14:solidFill>
                    <w14:schemeClr w14:val="tx1"/>
                  </w14:solidFill>
                </w14:textFill>
              </w:rPr>
            </w:pPr>
          </w:p>
        </w:tc>
        <w:tc>
          <w:tcPr>
            <w:tcW w:w="1226" w:type="dxa"/>
            <w:vMerge w:val="restart"/>
            <w:vAlign w:val="center"/>
          </w:tcPr>
          <w:p w14:paraId="24577FA6">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5CE1EF35">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9</w:t>
            </w:r>
            <w:r>
              <w:rPr>
                <w:b/>
                <w:color w:val="000000" w:themeColor="text1"/>
                <w:sz w:val="18"/>
                <w:szCs w:val="18"/>
                <w:highlight w:val="none"/>
                <w14:textFill>
                  <w14:solidFill>
                    <w14:schemeClr w14:val="tx1"/>
                  </w14:solidFill>
                </w14:textFill>
              </w:rPr>
              <w:t>学分）</w:t>
            </w:r>
          </w:p>
        </w:tc>
        <w:tc>
          <w:tcPr>
            <w:tcW w:w="3516" w:type="dxa"/>
            <w:vAlign w:val="center"/>
          </w:tcPr>
          <w:p w14:paraId="316215CC">
            <w:pPr>
              <w:rPr>
                <w:rFonts w:hint="eastAsia" w:eastAsia="宋体"/>
                <w:color w:val="000000" w:themeColor="text1"/>
                <w:sz w:val="18"/>
                <w:szCs w:val="18"/>
                <w:highlight w:val="none"/>
                <w:lang w:eastAsia="zh-CN"/>
                <w14:textFill>
                  <w14:solidFill>
                    <w14:schemeClr w14:val="tx1"/>
                  </w14:solidFill>
                </w14:textFill>
              </w:rPr>
            </w:pPr>
            <w:r>
              <w:rPr>
                <w:color w:val="000000" w:themeColor="text1"/>
                <w:sz w:val="18"/>
                <w:szCs w:val="18"/>
                <w:highlight w:val="none"/>
                <w14:textFill>
                  <w14:solidFill>
                    <w14:schemeClr w14:val="tx1"/>
                  </w14:solidFill>
                </w14:textFill>
              </w:rPr>
              <w:t>学术道德与论文写作</w:t>
            </w:r>
          </w:p>
        </w:tc>
        <w:tc>
          <w:tcPr>
            <w:tcW w:w="1081" w:type="dxa"/>
            <w:vAlign w:val="center"/>
          </w:tcPr>
          <w:p w14:paraId="7F7F69EB">
            <w:pPr>
              <w:jc w:val="center"/>
              <w:rPr>
                <w:rFonts w:hint="default" w:eastAsia="宋体"/>
                <w:i/>
                <w:color w:val="FF0000"/>
                <w:sz w:val="18"/>
                <w:szCs w:val="18"/>
                <w:lang w:val="en-US" w:eastAsia="zh-CN"/>
              </w:rPr>
            </w:pPr>
            <w:r>
              <w:rPr>
                <w:rFonts w:hint="eastAsia"/>
                <w:i w:val="0"/>
                <w:iCs/>
                <w:color w:val="auto"/>
                <w:sz w:val="18"/>
                <w:szCs w:val="18"/>
                <w:lang w:val="en-US" w:eastAsia="zh-CN"/>
              </w:rPr>
              <w:t>XS0430011</w:t>
            </w:r>
          </w:p>
        </w:tc>
        <w:tc>
          <w:tcPr>
            <w:tcW w:w="709" w:type="dxa"/>
            <w:vAlign w:val="center"/>
          </w:tcPr>
          <w:p w14:paraId="1B3BE375">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shd w:val="clear" w:color="auto" w:fill="auto"/>
            <w:vAlign w:val="center"/>
          </w:tcPr>
          <w:p w14:paraId="5EC73DF5">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24EF80B4">
            <w:pPr>
              <w:jc w:val="center"/>
              <w:rPr>
                <w:rFonts w:hint="eastAsia" w:eastAsia="宋体"/>
                <w:i/>
                <w:color w:val="FF0000"/>
                <w:sz w:val="18"/>
                <w:szCs w:val="18"/>
                <w:lang w:val="en-US" w:eastAsia="zh-CN"/>
              </w:rPr>
            </w:pPr>
            <w:r>
              <w:rPr>
                <w:rFonts w:hint="eastAsia"/>
                <w:sz w:val="18"/>
                <w:szCs w:val="18"/>
              </w:rPr>
              <w:t>考查</w:t>
            </w:r>
          </w:p>
        </w:tc>
      </w:tr>
      <w:tr w14:paraId="5B697F1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1777396">
            <w:pPr>
              <w:jc w:val="center"/>
              <w:rPr>
                <w:b/>
                <w:color w:val="000000" w:themeColor="text1"/>
                <w:sz w:val="18"/>
                <w:szCs w:val="18"/>
                <w14:textFill>
                  <w14:solidFill>
                    <w14:schemeClr w14:val="tx1"/>
                  </w14:solidFill>
                </w14:textFill>
              </w:rPr>
            </w:pPr>
          </w:p>
        </w:tc>
        <w:tc>
          <w:tcPr>
            <w:tcW w:w="1226" w:type="dxa"/>
            <w:vMerge w:val="continue"/>
            <w:vAlign w:val="center"/>
          </w:tcPr>
          <w:p w14:paraId="7DE63EC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BA814D8">
            <w:pPr>
              <w:rPr>
                <w:rFonts w:hint="eastAsia" w:ascii="Times New Roman" w:hAnsi="Times New Roman" w:eastAsia="宋体" w:cs="Times New Roman"/>
                <w:color w:val="000000"/>
                <w:kern w:val="2"/>
                <w:sz w:val="18"/>
                <w:szCs w:val="18"/>
                <w:highlight w:val="none"/>
                <w:lang w:val="en-US" w:eastAsia="zh-CN" w:bidi="ar-SA"/>
              </w:rPr>
            </w:pPr>
            <w:r>
              <w:rPr>
                <w:rFonts w:hint="eastAsia"/>
                <w:color w:val="000000"/>
                <w:sz w:val="18"/>
                <w:szCs w:val="18"/>
                <w:highlight w:val="none"/>
              </w:rPr>
              <w:t>管理研究方法</w:t>
            </w:r>
          </w:p>
        </w:tc>
        <w:tc>
          <w:tcPr>
            <w:tcW w:w="1081" w:type="dxa"/>
            <w:vAlign w:val="center"/>
          </w:tcPr>
          <w:p w14:paraId="0E03D79C">
            <w:pPr>
              <w:jc w:val="center"/>
              <w:rPr>
                <w:rFonts w:hint="default"/>
                <w:color w:val="FF0000"/>
                <w:sz w:val="18"/>
                <w:szCs w:val="18"/>
                <w:lang w:val="en-US"/>
              </w:rPr>
            </w:pPr>
            <w:r>
              <w:rPr>
                <w:rFonts w:hint="eastAsia"/>
                <w:i w:val="0"/>
                <w:iCs/>
                <w:color w:val="auto"/>
                <w:sz w:val="18"/>
                <w:szCs w:val="18"/>
                <w:lang w:val="en-US" w:eastAsia="zh-CN"/>
              </w:rPr>
              <w:t>XS0430003</w:t>
            </w:r>
          </w:p>
        </w:tc>
        <w:tc>
          <w:tcPr>
            <w:tcW w:w="709" w:type="dxa"/>
            <w:vAlign w:val="center"/>
          </w:tcPr>
          <w:p w14:paraId="54F74798">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5E1361B6">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1</w:t>
            </w:r>
          </w:p>
        </w:tc>
        <w:tc>
          <w:tcPr>
            <w:tcW w:w="1045" w:type="dxa"/>
            <w:vAlign w:val="center"/>
          </w:tcPr>
          <w:p w14:paraId="41B41310">
            <w:pPr>
              <w:jc w:val="center"/>
              <w:rPr>
                <w:color w:val="auto"/>
                <w:sz w:val="18"/>
                <w:szCs w:val="18"/>
              </w:rPr>
            </w:pPr>
            <w:r>
              <w:rPr>
                <w:rFonts w:hint="eastAsia"/>
                <w:color w:val="auto"/>
                <w:sz w:val="18"/>
                <w:szCs w:val="18"/>
                <w:lang w:val="en-US" w:eastAsia="zh-CN"/>
              </w:rPr>
              <w:t>考试</w:t>
            </w:r>
          </w:p>
        </w:tc>
      </w:tr>
      <w:tr w14:paraId="68E374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2EF7DE1">
            <w:pPr>
              <w:jc w:val="center"/>
              <w:rPr>
                <w:b/>
                <w:color w:val="000000" w:themeColor="text1"/>
                <w:sz w:val="18"/>
                <w:szCs w:val="18"/>
                <w14:textFill>
                  <w14:solidFill>
                    <w14:schemeClr w14:val="tx1"/>
                  </w14:solidFill>
                </w14:textFill>
              </w:rPr>
            </w:pPr>
          </w:p>
        </w:tc>
        <w:tc>
          <w:tcPr>
            <w:tcW w:w="1226" w:type="dxa"/>
            <w:vMerge w:val="continue"/>
            <w:vAlign w:val="center"/>
          </w:tcPr>
          <w:p w14:paraId="3CB3359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208900D">
            <w:pPr>
              <w:rPr>
                <w:rFonts w:hint="eastAsia" w:ascii="Times New Roman" w:hAnsi="Times New Roman" w:eastAsia="宋体" w:cs="Times New Roman"/>
                <w:color w:val="000000"/>
                <w:kern w:val="2"/>
                <w:sz w:val="18"/>
                <w:szCs w:val="18"/>
                <w:highlight w:val="none"/>
                <w:lang w:val="en-US" w:eastAsia="zh-CN" w:bidi="ar-SA"/>
              </w:rPr>
            </w:pPr>
            <w:r>
              <w:rPr>
                <w:rFonts w:hint="eastAsia"/>
                <w:color w:val="000000"/>
                <w:sz w:val="18"/>
                <w:szCs w:val="18"/>
                <w:highlight w:val="none"/>
              </w:rPr>
              <w:t>统计分析方法</w:t>
            </w:r>
          </w:p>
        </w:tc>
        <w:tc>
          <w:tcPr>
            <w:tcW w:w="1081" w:type="dxa"/>
            <w:vAlign w:val="center"/>
          </w:tcPr>
          <w:p w14:paraId="47C7C876">
            <w:pPr>
              <w:jc w:val="center"/>
              <w:rPr>
                <w:rFonts w:hint="default"/>
                <w:i/>
                <w:color w:val="FF0000"/>
                <w:sz w:val="18"/>
                <w:szCs w:val="18"/>
                <w:lang w:val="en-US"/>
              </w:rPr>
            </w:pPr>
            <w:r>
              <w:rPr>
                <w:rFonts w:hint="eastAsia"/>
                <w:i w:val="0"/>
                <w:iCs/>
                <w:color w:val="auto"/>
                <w:sz w:val="18"/>
                <w:szCs w:val="18"/>
                <w:lang w:val="en-US" w:eastAsia="zh-CN"/>
              </w:rPr>
              <w:t>XS0430004</w:t>
            </w:r>
          </w:p>
        </w:tc>
        <w:tc>
          <w:tcPr>
            <w:tcW w:w="709" w:type="dxa"/>
            <w:vAlign w:val="center"/>
          </w:tcPr>
          <w:p w14:paraId="11CF275F">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shd w:val="clear" w:color="auto" w:fill="auto"/>
            <w:vAlign w:val="center"/>
          </w:tcPr>
          <w:p w14:paraId="553BF517">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Align w:val="center"/>
          </w:tcPr>
          <w:p w14:paraId="378B5803">
            <w:pPr>
              <w:jc w:val="center"/>
              <w:rPr>
                <w:i/>
                <w:color w:val="auto"/>
                <w:sz w:val="18"/>
                <w:szCs w:val="18"/>
              </w:rPr>
            </w:pPr>
            <w:r>
              <w:rPr>
                <w:rFonts w:hint="eastAsia"/>
                <w:color w:val="auto"/>
                <w:sz w:val="18"/>
                <w:szCs w:val="18"/>
                <w:lang w:val="en-US" w:eastAsia="zh-CN"/>
              </w:rPr>
              <w:t>考试</w:t>
            </w:r>
          </w:p>
        </w:tc>
      </w:tr>
      <w:tr w14:paraId="78FF7B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4FAE027">
            <w:pPr>
              <w:jc w:val="center"/>
              <w:rPr>
                <w:b/>
                <w:color w:val="000000" w:themeColor="text1"/>
                <w:sz w:val="18"/>
                <w:szCs w:val="18"/>
                <w14:textFill>
                  <w14:solidFill>
                    <w14:schemeClr w14:val="tx1"/>
                  </w14:solidFill>
                </w14:textFill>
              </w:rPr>
            </w:pPr>
          </w:p>
        </w:tc>
        <w:tc>
          <w:tcPr>
            <w:tcW w:w="1226" w:type="dxa"/>
            <w:vMerge w:val="continue"/>
            <w:vAlign w:val="center"/>
          </w:tcPr>
          <w:p w14:paraId="3FCE1809">
            <w:pPr>
              <w:jc w:val="center"/>
              <w:rPr>
                <w:b/>
                <w:color w:val="000000" w:themeColor="text1"/>
                <w:sz w:val="18"/>
                <w:szCs w:val="18"/>
                <w14:textFill>
                  <w14:solidFill>
                    <w14:schemeClr w14:val="tx1"/>
                  </w14:solidFill>
                </w14:textFill>
              </w:rPr>
            </w:pPr>
          </w:p>
        </w:tc>
        <w:tc>
          <w:tcPr>
            <w:tcW w:w="3516" w:type="dxa"/>
            <w:shd w:val="clear" w:color="auto" w:fill="auto"/>
            <w:vAlign w:val="top"/>
          </w:tcPr>
          <w:p w14:paraId="6F60CC5C">
            <w:pPr>
              <w:rPr>
                <w:rFonts w:hint="eastAsia" w:ascii="Times New Roman" w:hAnsi="Times New Roman" w:eastAsia="宋体" w:cs="Times New Roman"/>
                <w:kern w:val="2"/>
                <w:sz w:val="21"/>
                <w:szCs w:val="24"/>
                <w:highlight w:val="none"/>
                <w:lang w:val="en-US" w:eastAsia="zh-CN" w:bidi="ar-SA"/>
              </w:rPr>
            </w:pPr>
            <w:r>
              <w:rPr>
                <w:rFonts w:hint="eastAsia"/>
                <w:color w:val="000000"/>
                <w:sz w:val="18"/>
                <w:szCs w:val="18"/>
                <w:highlight w:val="none"/>
              </w:rPr>
              <w:t>中级微观经济学</w:t>
            </w:r>
          </w:p>
        </w:tc>
        <w:tc>
          <w:tcPr>
            <w:tcW w:w="1081" w:type="dxa"/>
            <w:shd w:val="clear" w:color="auto" w:fill="auto"/>
            <w:vAlign w:val="center"/>
          </w:tcPr>
          <w:p w14:paraId="145BAD5D">
            <w:pPr>
              <w:jc w:val="center"/>
              <w:rPr>
                <w:rFonts w:hint="default" w:ascii="Times New Roman" w:hAnsi="Times New Roman" w:eastAsia="宋体" w:cs="Times New Roman"/>
                <w:color w:val="FF0000"/>
                <w:kern w:val="2"/>
                <w:sz w:val="18"/>
                <w:szCs w:val="18"/>
                <w:lang w:val="en-US" w:eastAsia="zh-CN" w:bidi="ar-SA"/>
              </w:rPr>
            </w:pPr>
            <w:r>
              <w:rPr>
                <w:rFonts w:hint="eastAsia"/>
                <w:i w:val="0"/>
                <w:iCs/>
                <w:color w:val="auto"/>
                <w:sz w:val="18"/>
                <w:szCs w:val="18"/>
                <w:lang w:val="en-US" w:eastAsia="zh-CN"/>
              </w:rPr>
              <w:t>XS0430002</w:t>
            </w:r>
          </w:p>
        </w:tc>
        <w:tc>
          <w:tcPr>
            <w:tcW w:w="709" w:type="dxa"/>
            <w:shd w:val="clear" w:color="auto" w:fill="auto"/>
            <w:vAlign w:val="center"/>
          </w:tcPr>
          <w:p w14:paraId="6B754FB1">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2</w:t>
            </w:r>
          </w:p>
        </w:tc>
        <w:tc>
          <w:tcPr>
            <w:tcW w:w="709" w:type="dxa"/>
            <w:shd w:val="clear" w:color="auto" w:fill="auto"/>
            <w:vAlign w:val="center"/>
          </w:tcPr>
          <w:p w14:paraId="3F6B9C24">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1</w:t>
            </w:r>
          </w:p>
        </w:tc>
        <w:tc>
          <w:tcPr>
            <w:tcW w:w="1045" w:type="dxa"/>
            <w:shd w:val="clear" w:color="auto" w:fill="auto"/>
            <w:vAlign w:val="center"/>
          </w:tcPr>
          <w:p w14:paraId="3E0F81B8">
            <w:pPr>
              <w:jc w:val="center"/>
              <w:rPr>
                <w:rFonts w:hint="eastAsia" w:ascii="Times New Roman" w:hAnsi="Times New Roman" w:eastAsia="宋体" w:cs="Times New Roman"/>
                <w:color w:val="FF0000"/>
                <w:kern w:val="2"/>
                <w:sz w:val="18"/>
                <w:szCs w:val="18"/>
                <w:lang w:val="en-US" w:eastAsia="zh-CN" w:bidi="ar-SA"/>
              </w:rPr>
            </w:pPr>
            <w:r>
              <w:rPr>
                <w:rFonts w:hint="eastAsia"/>
                <w:color w:val="auto"/>
                <w:sz w:val="18"/>
                <w:szCs w:val="18"/>
                <w:lang w:val="en-US" w:eastAsia="zh-CN"/>
              </w:rPr>
              <w:t>考试</w:t>
            </w:r>
          </w:p>
        </w:tc>
      </w:tr>
      <w:tr w14:paraId="30B26B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0F1CF85">
            <w:pPr>
              <w:jc w:val="center"/>
              <w:rPr>
                <w:b/>
                <w:color w:val="000000" w:themeColor="text1"/>
                <w:sz w:val="18"/>
                <w:szCs w:val="18"/>
                <w14:textFill>
                  <w14:solidFill>
                    <w14:schemeClr w14:val="tx1"/>
                  </w14:solidFill>
                </w14:textFill>
              </w:rPr>
            </w:pPr>
          </w:p>
        </w:tc>
        <w:tc>
          <w:tcPr>
            <w:tcW w:w="1226" w:type="dxa"/>
            <w:vMerge w:val="continue"/>
            <w:vAlign w:val="center"/>
          </w:tcPr>
          <w:p w14:paraId="0DAE6B1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53A13DF">
            <w:pPr>
              <w:rPr>
                <w:rFonts w:hint="eastAsia" w:ascii="Times New Roman" w:hAnsi="Times New Roman" w:eastAsia="宋体" w:cs="Times New Roman"/>
                <w:color w:val="000000"/>
                <w:kern w:val="2"/>
                <w:sz w:val="18"/>
                <w:szCs w:val="18"/>
                <w:highlight w:val="none"/>
                <w:lang w:val="en-US" w:eastAsia="zh-CN" w:bidi="ar-SA"/>
              </w:rPr>
            </w:pPr>
            <w:r>
              <w:rPr>
                <w:rFonts w:hint="default"/>
                <w:color w:val="000000"/>
                <w:sz w:val="18"/>
                <w:szCs w:val="18"/>
                <w:highlight w:val="none"/>
                <w:lang w:eastAsia="zh-CN"/>
              </w:rPr>
              <w:t>计量经济学</w:t>
            </w:r>
          </w:p>
        </w:tc>
        <w:tc>
          <w:tcPr>
            <w:tcW w:w="1081" w:type="dxa"/>
            <w:shd w:val="clear" w:color="auto" w:fill="auto"/>
            <w:vAlign w:val="center"/>
          </w:tcPr>
          <w:p w14:paraId="7EF3AF37">
            <w:pPr>
              <w:jc w:val="center"/>
              <w:rPr>
                <w:rFonts w:hint="default" w:ascii="Times New Roman" w:hAnsi="Times New Roman" w:eastAsia="宋体" w:cs="Times New Roman"/>
                <w:color w:val="FF0000"/>
                <w:kern w:val="2"/>
                <w:sz w:val="18"/>
                <w:szCs w:val="18"/>
                <w:lang w:val="en-US" w:eastAsia="zh-CN" w:bidi="ar-SA"/>
              </w:rPr>
            </w:pPr>
            <w:r>
              <w:rPr>
                <w:rFonts w:hint="eastAsia"/>
                <w:i w:val="0"/>
                <w:iCs/>
                <w:color w:val="auto"/>
                <w:sz w:val="18"/>
                <w:szCs w:val="18"/>
                <w:lang w:val="en-US" w:eastAsia="zh-CN"/>
              </w:rPr>
              <w:t>XS0403003</w:t>
            </w:r>
          </w:p>
        </w:tc>
        <w:tc>
          <w:tcPr>
            <w:tcW w:w="709" w:type="dxa"/>
            <w:shd w:val="clear" w:color="auto" w:fill="auto"/>
            <w:vAlign w:val="center"/>
          </w:tcPr>
          <w:p w14:paraId="3B477F8D">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3</w:t>
            </w:r>
          </w:p>
        </w:tc>
        <w:tc>
          <w:tcPr>
            <w:tcW w:w="709" w:type="dxa"/>
            <w:shd w:val="clear" w:color="auto" w:fill="auto"/>
            <w:vAlign w:val="center"/>
          </w:tcPr>
          <w:p w14:paraId="0F9F3892">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1</w:t>
            </w:r>
          </w:p>
        </w:tc>
        <w:tc>
          <w:tcPr>
            <w:tcW w:w="1045" w:type="dxa"/>
            <w:shd w:val="clear" w:color="auto" w:fill="auto"/>
            <w:vAlign w:val="center"/>
          </w:tcPr>
          <w:p w14:paraId="4FDF6A76">
            <w:pPr>
              <w:jc w:val="center"/>
              <w:rPr>
                <w:rFonts w:hint="eastAsia" w:ascii="Times New Roman" w:hAnsi="Times New Roman" w:eastAsia="宋体" w:cs="Times New Roman"/>
                <w:color w:val="FF0000"/>
                <w:kern w:val="2"/>
                <w:sz w:val="18"/>
                <w:szCs w:val="18"/>
                <w:lang w:val="en-US" w:eastAsia="zh-CN" w:bidi="ar-SA"/>
              </w:rPr>
            </w:pPr>
            <w:r>
              <w:rPr>
                <w:rFonts w:hint="eastAsia"/>
                <w:color w:val="auto"/>
                <w:sz w:val="18"/>
                <w:szCs w:val="18"/>
                <w:lang w:val="en-US" w:eastAsia="zh-CN"/>
              </w:rPr>
              <w:t>考试</w:t>
            </w:r>
          </w:p>
        </w:tc>
      </w:tr>
      <w:tr w14:paraId="5DD3B9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C438CD5">
            <w:pPr>
              <w:jc w:val="center"/>
              <w:rPr>
                <w:b/>
                <w:color w:val="000000" w:themeColor="text1"/>
                <w:sz w:val="18"/>
                <w:szCs w:val="18"/>
                <w14:textFill>
                  <w14:solidFill>
                    <w14:schemeClr w14:val="tx1"/>
                  </w14:solidFill>
                </w14:textFill>
              </w:rPr>
            </w:pPr>
          </w:p>
        </w:tc>
        <w:tc>
          <w:tcPr>
            <w:tcW w:w="1226" w:type="dxa"/>
            <w:vMerge w:val="restart"/>
            <w:vAlign w:val="center"/>
          </w:tcPr>
          <w:p w14:paraId="5B97FFAC">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1848A74B">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4</w:t>
            </w:r>
            <w:r>
              <w:rPr>
                <w:b/>
                <w:color w:val="000000" w:themeColor="text1"/>
                <w:sz w:val="18"/>
                <w:szCs w:val="18"/>
                <w:highlight w:val="none"/>
                <w14:textFill>
                  <w14:solidFill>
                    <w14:schemeClr w14:val="tx1"/>
                  </w14:solidFill>
                </w14:textFill>
              </w:rPr>
              <w:t>学分）</w:t>
            </w:r>
          </w:p>
        </w:tc>
        <w:tc>
          <w:tcPr>
            <w:tcW w:w="3516" w:type="dxa"/>
          </w:tcPr>
          <w:p w14:paraId="7B5DC0D1">
            <w:pPr>
              <w:rPr>
                <w:rFonts w:hint="default"/>
                <w:color w:val="000000"/>
                <w:sz w:val="18"/>
                <w:szCs w:val="18"/>
                <w:highlight w:val="none"/>
                <w:lang w:val="en-US" w:eastAsia="zh-CN"/>
              </w:rPr>
            </w:pPr>
            <w:r>
              <w:rPr>
                <w:rFonts w:hint="eastAsia"/>
                <w:color w:val="000000"/>
                <w:sz w:val="18"/>
                <w:szCs w:val="18"/>
                <w:highlight w:val="none"/>
                <w:lang w:val="en-US" w:eastAsia="zh-CN"/>
              </w:rPr>
              <w:t>高级财务会计</w:t>
            </w:r>
          </w:p>
        </w:tc>
        <w:tc>
          <w:tcPr>
            <w:tcW w:w="1081" w:type="dxa"/>
            <w:vAlign w:val="center"/>
          </w:tcPr>
          <w:p w14:paraId="55B77285">
            <w:pPr>
              <w:jc w:val="center"/>
              <w:rPr>
                <w:rFonts w:hint="default" w:eastAsia="宋体"/>
                <w:color w:val="auto"/>
                <w:sz w:val="18"/>
                <w:szCs w:val="18"/>
                <w:lang w:val="en-US" w:eastAsia="zh-CN"/>
              </w:rPr>
            </w:pPr>
            <w:r>
              <w:rPr>
                <w:rFonts w:hint="eastAsia"/>
                <w:color w:val="auto"/>
                <w:sz w:val="18"/>
                <w:szCs w:val="18"/>
                <w:lang w:val="en-US" w:eastAsia="zh-CN"/>
              </w:rPr>
              <w:t>XS0431212</w:t>
            </w:r>
          </w:p>
        </w:tc>
        <w:tc>
          <w:tcPr>
            <w:tcW w:w="709" w:type="dxa"/>
            <w:vAlign w:val="center"/>
          </w:tcPr>
          <w:p w14:paraId="6600D936">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58E44D95">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1045" w:type="dxa"/>
            <w:vAlign w:val="center"/>
          </w:tcPr>
          <w:p w14:paraId="6A55F35A">
            <w:pPr>
              <w:jc w:val="center"/>
              <w:rPr>
                <w:rFonts w:hint="eastAsia" w:eastAsia="宋体"/>
                <w:color w:val="auto"/>
                <w:sz w:val="18"/>
                <w:szCs w:val="18"/>
                <w:lang w:val="en-US" w:eastAsia="zh-CN"/>
              </w:rPr>
            </w:pPr>
            <w:r>
              <w:rPr>
                <w:rFonts w:hint="eastAsia"/>
                <w:color w:val="auto"/>
                <w:sz w:val="18"/>
                <w:szCs w:val="18"/>
                <w:lang w:val="en-US" w:eastAsia="zh-CN"/>
              </w:rPr>
              <w:t>考试</w:t>
            </w:r>
          </w:p>
        </w:tc>
      </w:tr>
      <w:tr w14:paraId="643D43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D5BC648">
            <w:pPr>
              <w:jc w:val="center"/>
              <w:rPr>
                <w:b/>
                <w:color w:val="000000" w:themeColor="text1"/>
                <w:sz w:val="18"/>
                <w:szCs w:val="18"/>
                <w14:textFill>
                  <w14:solidFill>
                    <w14:schemeClr w14:val="tx1"/>
                  </w14:solidFill>
                </w14:textFill>
              </w:rPr>
            </w:pPr>
          </w:p>
        </w:tc>
        <w:tc>
          <w:tcPr>
            <w:tcW w:w="1226" w:type="dxa"/>
            <w:vMerge w:val="continue"/>
            <w:vAlign w:val="center"/>
          </w:tcPr>
          <w:p w14:paraId="7DCB18B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F361778">
            <w:pPr>
              <w:rPr>
                <w:rFonts w:hint="default"/>
                <w:color w:val="000000"/>
                <w:sz w:val="18"/>
                <w:szCs w:val="18"/>
                <w:highlight w:val="none"/>
                <w:lang w:val="en-US" w:eastAsia="zh-CN"/>
              </w:rPr>
            </w:pPr>
            <w:r>
              <w:rPr>
                <w:rFonts w:hint="eastAsia"/>
                <w:color w:val="000000"/>
                <w:sz w:val="18"/>
                <w:szCs w:val="18"/>
                <w:highlight w:val="none"/>
                <w:lang w:val="en-US" w:eastAsia="zh-CN"/>
              </w:rPr>
              <w:t>高级财务管理</w:t>
            </w:r>
          </w:p>
        </w:tc>
        <w:tc>
          <w:tcPr>
            <w:tcW w:w="1081" w:type="dxa"/>
            <w:shd w:val="clear" w:color="auto" w:fill="auto"/>
            <w:vAlign w:val="center"/>
          </w:tcPr>
          <w:p w14:paraId="52BEA598">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XS0432208</w:t>
            </w:r>
          </w:p>
        </w:tc>
        <w:tc>
          <w:tcPr>
            <w:tcW w:w="709" w:type="dxa"/>
            <w:shd w:val="clear" w:color="auto" w:fill="auto"/>
            <w:vAlign w:val="center"/>
          </w:tcPr>
          <w:p w14:paraId="28220854">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2</w:t>
            </w:r>
          </w:p>
        </w:tc>
        <w:tc>
          <w:tcPr>
            <w:tcW w:w="709" w:type="dxa"/>
            <w:shd w:val="clear" w:color="auto" w:fill="auto"/>
            <w:vAlign w:val="center"/>
          </w:tcPr>
          <w:p w14:paraId="2AB0CBE4">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1</w:t>
            </w:r>
          </w:p>
        </w:tc>
        <w:tc>
          <w:tcPr>
            <w:tcW w:w="1045" w:type="dxa"/>
            <w:vAlign w:val="center"/>
          </w:tcPr>
          <w:p w14:paraId="4E3B68E5">
            <w:pPr>
              <w:jc w:val="center"/>
              <w:rPr>
                <w:rFonts w:hint="eastAsia" w:eastAsia="宋体"/>
                <w:color w:val="auto"/>
                <w:sz w:val="18"/>
                <w:szCs w:val="18"/>
                <w:lang w:val="en-US" w:eastAsia="zh-CN"/>
              </w:rPr>
            </w:pPr>
            <w:r>
              <w:rPr>
                <w:rFonts w:hint="eastAsia"/>
                <w:color w:val="auto"/>
                <w:sz w:val="18"/>
                <w:szCs w:val="18"/>
                <w:lang w:val="en-US" w:eastAsia="zh-CN"/>
              </w:rPr>
              <w:t>考试</w:t>
            </w:r>
          </w:p>
        </w:tc>
      </w:tr>
      <w:tr w14:paraId="3BBF62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782C179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D4A642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05E71C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C9EFBD6">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《习近平谈治国理政》研读</w:t>
            </w:r>
          </w:p>
        </w:tc>
        <w:tc>
          <w:tcPr>
            <w:tcW w:w="1081" w:type="dxa"/>
            <w:vAlign w:val="center"/>
          </w:tcPr>
          <w:p w14:paraId="7407CD5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15B393F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B421BE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34BBB8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03B76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7D34E75F">
            <w:pPr>
              <w:jc w:val="center"/>
              <w:rPr>
                <w:b/>
                <w:color w:val="000000" w:themeColor="text1"/>
                <w:sz w:val="18"/>
                <w:szCs w:val="18"/>
                <w14:textFill>
                  <w14:solidFill>
                    <w14:schemeClr w14:val="tx1"/>
                  </w14:solidFill>
                </w14:textFill>
              </w:rPr>
            </w:pPr>
          </w:p>
        </w:tc>
        <w:tc>
          <w:tcPr>
            <w:tcW w:w="1226" w:type="dxa"/>
            <w:vMerge w:val="continue"/>
            <w:vAlign w:val="center"/>
          </w:tcPr>
          <w:p w14:paraId="3B45AD83">
            <w:pPr>
              <w:jc w:val="center"/>
              <w:rPr>
                <w:b/>
                <w:color w:val="000000" w:themeColor="text1"/>
                <w:sz w:val="18"/>
                <w:szCs w:val="18"/>
                <w14:textFill>
                  <w14:solidFill>
                    <w14:schemeClr w14:val="tx1"/>
                  </w14:solidFill>
                </w14:textFill>
              </w:rPr>
            </w:pPr>
          </w:p>
        </w:tc>
        <w:tc>
          <w:tcPr>
            <w:tcW w:w="3516" w:type="dxa"/>
            <w:vAlign w:val="center"/>
          </w:tcPr>
          <w:p w14:paraId="5F323AE7">
            <w:pP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马克思主义与社会科学方法论</w:t>
            </w:r>
          </w:p>
        </w:tc>
        <w:tc>
          <w:tcPr>
            <w:tcW w:w="1081" w:type="dxa"/>
            <w:vAlign w:val="center"/>
          </w:tcPr>
          <w:p w14:paraId="0D90A07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236F3C8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30A7E0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ED8297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0A1FE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76F7D2">
            <w:pPr>
              <w:rPr>
                <w:b/>
                <w:color w:val="000000" w:themeColor="text1"/>
                <w:sz w:val="18"/>
                <w:szCs w:val="18"/>
                <w14:textFill>
                  <w14:solidFill>
                    <w14:schemeClr w14:val="tx1"/>
                  </w14:solidFill>
                </w14:textFill>
              </w:rPr>
            </w:pPr>
          </w:p>
        </w:tc>
        <w:tc>
          <w:tcPr>
            <w:tcW w:w="1226" w:type="dxa"/>
            <w:vMerge w:val="restart"/>
            <w:vAlign w:val="center"/>
          </w:tcPr>
          <w:p w14:paraId="0B1914B1">
            <w:pPr>
              <w:adjustRightInd w:val="0"/>
              <w:snapToGrid w:val="0"/>
              <w:jc w:val="center"/>
              <w:rPr>
                <w:b/>
                <w:color w:val="000000" w:themeColor="text1"/>
                <w:sz w:val="18"/>
                <w:szCs w:val="18"/>
                <w14:textFill>
                  <w14:solidFill>
                    <w14:schemeClr w14:val="tx1"/>
                  </w14:solidFill>
                </w14:textFill>
              </w:rPr>
            </w:pPr>
            <w:r>
              <w:rPr>
                <w:rFonts w:hint="eastAsia"/>
                <w:b/>
                <w:color w:val="auto"/>
                <w:sz w:val="18"/>
                <w:szCs w:val="18"/>
                <w:lang w:val="en-US" w:eastAsia="zh-CN"/>
              </w:rPr>
              <w:t>财务会计与审计</w:t>
            </w:r>
            <w:r>
              <w:rPr>
                <w:b/>
                <w:color w:val="000000" w:themeColor="text1"/>
                <w:sz w:val="18"/>
                <w:szCs w:val="18"/>
                <w14:textFill>
                  <w14:solidFill>
                    <w14:schemeClr w14:val="tx1"/>
                  </w14:solidFill>
                </w14:textFill>
              </w:rPr>
              <w:t>方向选修课</w:t>
            </w:r>
          </w:p>
        </w:tc>
        <w:tc>
          <w:tcPr>
            <w:tcW w:w="3516" w:type="dxa"/>
            <w:vAlign w:val="center"/>
          </w:tcPr>
          <w:p w14:paraId="54FDEED4">
            <w:pPr>
              <w:rPr>
                <w:i w:val="0"/>
                <w:iCs/>
                <w:color w:val="auto"/>
                <w:sz w:val="18"/>
                <w:szCs w:val="18"/>
                <w:highlight w:val="none"/>
              </w:rPr>
            </w:pPr>
            <w:r>
              <w:rPr>
                <w:rFonts w:hint="eastAsia"/>
                <w:i w:val="0"/>
                <w:iCs/>
                <w:color w:val="auto"/>
                <w:sz w:val="18"/>
                <w:szCs w:val="18"/>
                <w:highlight w:val="none"/>
                <w:lang w:val="en-US" w:eastAsia="zh-CN"/>
              </w:rPr>
              <w:t>审计学研究</w:t>
            </w:r>
          </w:p>
        </w:tc>
        <w:tc>
          <w:tcPr>
            <w:tcW w:w="1081" w:type="dxa"/>
            <w:vAlign w:val="center"/>
          </w:tcPr>
          <w:p w14:paraId="08E96EB3">
            <w:pPr>
              <w:jc w:val="center"/>
              <w:rPr>
                <w:rFonts w:hint="default" w:eastAsia="宋体"/>
                <w:i w:val="0"/>
                <w:iCs/>
                <w:color w:val="auto"/>
                <w:sz w:val="18"/>
                <w:szCs w:val="18"/>
                <w:lang w:val="en-US" w:eastAsia="zh-CN"/>
              </w:rPr>
            </w:pPr>
            <w:r>
              <w:rPr>
                <w:rFonts w:hint="eastAsia"/>
                <w:i w:val="0"/>
                <w:iCs/>
                <w:color w:val="auto"/>
                <w:sz w:val="18"/>
                <w:szCs w:val="18"/>
                <w:lang w:val="en-US" w:eastAsia="zh-CN"/>
              </w:rPr>
              <w:t>XS0431213</w:t>
            </w:r>
          </w:p>
        </w:tc>
        <w:tc>
          <w:tcPr>
            <w:tcW w:w="709" w:type="dxa"/>
            <w:shd w:val="clear" w:color="auto" w:fill="auto"/>
            <w:vAlign w:val="center"/>
          </w:tcPr>
          <w:p w14:paraId="537EF692">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2</w:t>
            </w:r>
          </w:p>
        </w:tc>
        <w:tc>
          <w:tcPr>
            <w:tcW w:w="709" w:type="dxa"/>
            <w:shd w:val="clear" w:color="auto" w:fill="auto"/>
            <w:vAlign w:val="center"/>
          </w:tcPr>
          <w:p w14:paraId="2684458E">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restart"/>
            <w:vAlign w:val="center"/>
          </w:tcPr>
          <w:p w14:paraId="45EE33CF">
            <w:pPr>
              <w:adjustRightInd w:val="0"/>
              <w:snapToGrid w:val="0"/>
              <w:jc w:val="center"/>
              <w:rPr>
                <w:color w:val="auto"/>
                <w:sz w:val="18"/>
                <w:szCs w:val="18"/>
              </w:rPr>
            </w:pPr>
            <w:r>
              <w:rPr>
                <w:color w:val="auto"/>
                <w:sz w:val="18"/>
                <w:szCs w:val="18"/>
              </w:rPr>
              <w:t>本方向研究生至少选修</w:t>
            </w:r>
          </w:p>
          <w:p w14:paraId="13E15FF5">
            <w:pPr>
              <w:adjustRightInd w:val="0"/>
              <w:snapToGrid w:val="0"/>
              <w:jc w:val="center"/>
              <w:rPr>
                <w:color w:val="auto"/>
                <w:sz w:val="18"/>
                <w:szCs w:val="18"/>
              </w:rPr>
            </w:pPr>
            <w:r>
              <w:rPr>
                <w:rFonts w:hint="eastAsia"/>
                <w:color w:val="auto"/>
                <w:sz w:val="18"/>
                <w:szCs w:val="18"/>
                <w:lang w:val="en-US" w:eastAsia="zh-CN"/>
              </w:rPr>
              <w:t>3</w:t>
            </w:r>
            <w:r>
              <w:rPr>
                <w:color w:val="auto"/>
                <w:sz w:val="18"/>
                <w:szCs w:val="18"/>
              </w:rPr>
              <w:t>学分</w:t>
            </w:r>
          </w:p>
        </w:tc>
      </w:tr>
      <w:tr w14:paraId="0A9ACD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5133E08">
            <w:pPr>
              <w:rPr>
                <w:b/>
                <w:color w:val="000000" w:themeColor="text1"/>
                <w:sz w:val="18"/>
                <w:szCs w:val="18"/>
                <w14:textFill>
                  <w14:solidFill>
                    <w14:schemeClr w14:val="tx1"/>
                  </w14:solidFill>
                </w14:textFill>
              </w:rPr>
            </w:pPr>
          </w:p>
        </w:tc>
        <w:tc>
          <w:tcPr>
            <w:tcW w:w="1226" w:type="dxa"/>
            <w:vMerge w:val="continue"/>
            <w:vAlign w:val="center"/>
          </w:tcPr>
          <w:p w14:paraId="10567F52">
            <w:pPr>
              <w:adjustRightInd w:val="0"/>
              <w:snapToGrid w:val="0"/>
              <w:jc w:val="center"/>
              <w:rPr>
                <w:b/>
                <w:color w:val="FF0000"/>
                <w:sz w:val="18"/>
                <w:szCs w:val="18"/>
              </w:rPr>
            </w:pPr>
          </w:p>
        </w:tc>
        <w:tc>
          <w:tcPr>
            <w:tcW w:w="3516" w:type="dxa"/>
            <w:vAlign w:val="center"/>
          </w:tcPr>
          <w:p w14:paraId="3F3DBF82">
            <w:pPr>
              <w:rPr>
                <w:rFonts w:hint="eastAsia" w:eastAsia="宋体"/>
                <w:i w:val="0"/>
                <w:iCs/>
                <w:color w:val="auto"/>
                <w:sz w:val="18"/>
                <w:szCs w:val="18"/>
                <w:highlight w:val="none"/>
                <w:lang w:val="en-US" w:eastAsia="zh-CN"/>
              </w:rPr>
            </w:pPr>
            <w:r>
              <w:rPr>
                <w:rFonts w:hint="eastAsia"/>
                <w:sz w:val="18"/>
                <w:szCs w:val="18"/>
              </w:rPr>
              <w:t>内部控制与</w:t>
            </w:r>
            <w:r>
              <w:rPr>
                <w:rFonts w:hint="eastAsia"/>
                <w:sz w:val="18"/>
                <w:szCs w:val="18"/>
                <w:lang w:val="en-US" w:eastAsia="zh-CN"/>
              </w:rPr>
              <w:t>内部审计</w:t>
            </w:r>
          </w:p>
        </w:tc>
        <w:tc>
          <w:tcPr>
            <w:tcW w:w="1081" w:type="dxa"/>
            <w:vAlign w:val="center"/>
          </w:tcPr>
          <w:p w14:paraId="668F1C03">
            <w:pPr>
              <w:jc w:val="center"/>
              <w:rPr>
                <w:rFonts w:hint="default"/>
                <w:i w:val="0"/>
                <w:iCs/>
                <w:color w:val="auto"/>
                <w:sz w:val="18"/>
                <w:szCs w:val="18"/>
                <w:lang w:val="en-US"/>
              </w:rPr>
            </w:pPr>
            <w:r>
              <w:rPr>
                <w:rFonts w:hint="eastAsia"/>
                <w:i w:val="0"/>
                <w:iCs/>
                <w:color w:val="auto"/>
                <w:sz w:val="18"/>
                <w:szCs w:val="18"/>
                <w:lang w:val="en-US" w:eastAsia="zh-CN"/>
              </w:rPr>
              <w:t>XS0431214</w:t>
            </w:r>
          </w:p>
        </w:tc>
        <w:tc>
          <w:tcPr>
            <w:tcW w:w="709" w:type="dxa"/>
            <w:shd w:val="clear" w:color="auto" w:fill="auto"/>
            <w:vAlign w:val="center"/>
          </w:tcPr>
          <w:p w14:paraId="547ED1BE">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2</w:t>
            </w:r>
          </w:p>
        </w:tc>
        <w:tc>
          <w:tcPr>
            <w:tcW w:w="709" w:type="dxa"/>
            <w:shd w:val="clear" w:color="auto" w:fill="auto"/>
            <w:vAlign w:val="center"/>
          </w:tcPr>
          <w:p w14:paraId="562F55D7">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2</w:t>
            </w:r>
          </w:p>
        </w:tc>
        <w:tc>
          <w:tcPr>
            <w:tcW w:w="1045" w:type="dxa"/>
            <w:vMerge w:val="continue"/>
            <w:vAlign w:val="center"/>
          </w:tcPr>
          <w:p w14:paraId="107173DE">
            <w:pPr>
              <w:adjustRightInd w:val="0"/>
              <w:snapToGrid w:val="0"/>
              <w:jc w:val="center"/>
              <w:rPr>
                <w:color w:val="auto"/>
                <w:sz w:val="18"/>
                <w:szCs w:val="18"/>
              </w:rPr>
            </w:pPr>
          </w:p>
        </w:tc>
      </w:tr>
      <w:tr w14:paraId="7B16B0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555540">
            <w:pPr>
              <w:rPr>
                <w:b/>
                <w:color w:val="000000" w:themeColor="text1"/>
                <w:sz w:val="18"/>
                <w:szCs w:val="18"/>
                <w14:textFill>
                  <w14:solidFill>
                    <w14:schemeClr w14:val="tx1"/>
                  </w14:solidFill>
                </w14:textFill>
              </w:rPr>
            </w:pPr>
          </w:p>
        </w:tc>
        <w:tc>
          <w:tcPr>
            <w:tcW w:w="1226" w:type="dxa"/>
            <w:vMerge w:val="continue"/>
            <w:vAlign w:val="center"/>
          </w:tcPr>
          <w:p w14:paraId="01888385">
            <w:pPr>
              <w:adjustRightInd w:val="0"/>
              <w:snapToGrid w:val="0"/>
              <w:jc w:val="center"/>
              <w:rPr>
                <w:b/>
                <w:color w:val="FF0000"/>
                <w:sz w:val="18"/>
                <w:szCs w:val="18"/>
              </w:rPr>
            </w:pPr>
          </w:p>
        </w:tc>
        <w:tc>
          <w:tcPr>
            <w:tcW w:w="3516" w:type="dxa"/>
            <w:shd w:val="clear" w:color="auto" w:fill="auto"/>
            <w:vAlign w:val="center"/>
          </w:tcPr>
          <w:p w14:paraId="7F6197CD">
            <w:pPr>
              <w:adjustRightInd w:val="0"/>
              <w:snapToGrid w:val="0"/>
              <w:rPr>
                <w:rFonts w:hint="default" w:ascii="Times New Roman" w:hAnsi="Times New Roman" w:eastAsia="宋体" w:cs="Times New Roman"/>
                <w:i w:val="0"/>
                <w:iCs/>
                <w:color w:val="auto"/>
                <w:kern w:val="2"/>
                <w:sz w:val="18"/>
                <w:szCs w:val="18"/>
                <w:lang w:val="en-US" w:eastAsia="zh-CN" w:bidi="ar-SA"/>
              </w:rPr>
            </w:pPr>
            <w:r>
              <w:rPr>
                <w:rFonts w:hint="eastAsia" w:cs="Times New Roman"/>
                <w:i w:val="0"/>
                <w:iCs/>
                <w:color w:val="auto"/>
                <w:kern w:val="2"/>
                <w:sz w:val="18"/>
                <w:szCs w:val="18"/>
                <w:lang w:val="en-US" w:eastAsia="zh-CN" w:bidi="ar-SA"/>
              </w:rPr>
              <w:t>企业重组与并购</w:t>
            </w:r>
          </w:p>
        </w:tc>
        <w:tc>
          <w:tcPr>
            <w:tcW w:w="1081" w:type="dxa"/>
            <w:shd w:val="clear" w:color="auto" w:fill="auto"/>
            <w:vAlign w:val="center"/>
          </w:tcPr>
          <w:p w14:paraId="5BAA2242">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XS0431215</w:t>
            </w:r>
          </w:p>
        </w:tc>
        <w:tc>
          <w:tcPr>
            <w:tcW w:w="709" w:type="dxa"/>
            <w:shd w:val="clear" w:color="auto" w:fill="auto"/>
            <w:vAlign w:val="center"/>
          </w:tcPr>
          <w:p w14:paraId="41B5D80E">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709" w:type="dxa"/>
            <w:shd w:val="clear" w:color="auto" w:fill="auto"/>
            <w:vAlign w:val="center"/>
          </w:tcPr>
          <w:p w14:paraId="35310312">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1045" w:type="dxa"/>
            <w:vMerge w:val="continue"/>
            <w:vAlign w:val="center"/>
          </w:tcPr>
          <w:p w14:paraId="1E73F527">
            <w:pPr>
              <w:adjustRightInd w:val="0"/>
              <w:snapToGrid w:val="0"/>
              <w:jc w:val="center"/>
              <w:rPr>
                <w:color w:val="auto"/>
                <w:sz w:val="18"/>
                <w:szCs w:val="18"/>
              </w:rPr>
            </w:pPr>
          </w:p>
        </w:tc>
      </w:tr>
      <w:tr w14:paraId="689A27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834EDF1">
            <w:pPr>
              <w:rPr>
                <w:b/>
                <w:color w:val="000000" w:themeColor="text1"/>
                <w:sz w:val="18"/>
                <w:szCs w:val="18"/>
                <w14:textFill>
                  <w14:solidFill>
                    <w14:schemeClr w14:val="tx1"/>
                  </w14:solidFill>
                </w14:textFill>
              </w:rPr>
            </w:pPr>
          </w:p>
        </w:tc>
        <w:tc>
          <w:tcPr>
            <w:tcW w:w="1226" w:type="dxa"/>
            <w:vMerge w:val="continue"/>
            <w:vAlign w:val="center"/>
          </w:tcPr>
          <w:p w14:paraId="5E04BF4E">
            <w:pPr>
              <w:adjustRightInd w:val="0"/>
              <w:snapToGrid w:val="0"/>
              <w:jc w:val="center"/>
              <w:rPr>
                <w:b/>
                <w:color w:val="FF0000"/>
                <w:sz w:val="18"/>
                <w:szCs w:val="18"/>
              </w:rPr>
            </w:pPr>
          </w:p>
        </w:tc>
        <w:tc>
          <w:tcPr>
            <w:tcW w:w="3516" w:type="dxa"/>
            <w:shd w:val="clear" w:color="auto" w:fill="auto"/>
            <w:vAlign w:val="center"/>
          </w:tcPr>
          <w:p w14:paraId="1333AD77">
            <w:pPr>
              <w:adjustRightInd w:val="0"/>
              <w:snapToGrid w:val="0"/>
              <w:rPr>
                <w:rFonts w:hint="eastAsia" w:eastAsia="宋体"/>
                <w:sz w:val="18"/>
                <w:szCs w:val="18"/>
                <w:lang w:val="en-US" w:eastAsia="zh-CN"/>
              </w:rPr>
            </w:pPr>
            <w:r>
              <w:rPr>
                <w:rFonts w:hint="eastAsia"/>
                <w:sz w:val="18"/>
                <w:szCs w:val="18"/>
                <w:lang w:val="en-US" w:eastAsia="zh-CN"/>
              </w:rPr>
              <w:t>税收筹划</w:t>
            </w:r>
          </w:p>
        </w:tc>
        <w:tc>
          <w:tcPr>
            <w:tcW w:w="1081" w:type="dxa"/>
            <w:shd w:val="clear" w:color="auto" w:fill="auto"/>
            <w:vAlign w:val="center"/>
          </w:tcPr>
          <w:p w14:paraId="6D2112D8">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XS0431216</w:t>
            </w:r>
          </w:p>
        </w:tc>
        <w:tc>
          <w:tcPr>
            <w:tcW w:w="709" w:type="dxa"/>
            <w:shd w:val="clear" w:color="auto" w:fill="auto"/>
            <w:vAlign w:val="center"/>
          </w:tcPr>
          <w:p w14:paraId="31784577">
            <w:pPr>
              <w:jc w:val="center"/>
              <w:rPr>
                <w:rFonts w:hint="default"/>
                <w:i w:val="0"/>
                <w:iCs/>
                <w:color w:val="auto"/>
                <w:sz w:val="18"/>
                <w:szCs w:val="18"/>
                <w:lang w:val="en-US" w:eastAsia="zh-CN"/>
              </w:rPr>
            </w:pPr>
            <w:r>
              <w:rPr>
                <w:rFonts w:hint="eastAsia"/>
                <w:i w:val="0"/>
                <w:iCs/>
                <w:color w:val="auto"/>
                <w:sz w:val="18"/>
                <w:szCs w:val="18"/>
                <w:lang w:val="en-US" w:eastAsia="zh-CN"/>
              </w:rPr>
              <w:t>2</w:t>
            </w:r>
          </w:p>
        </w:tc>
        <w:tc>
          <w:tcPr>
            <w:tcW w:w="709" w:type="dxa"/>
            <w:shd w:val="clear" w:color="auto" w:fill="auto"/>
            <w:vAlign w:val="center"/>
          </w:tcPr>
          <w:p w14:paraId="15DA212A">
            <w:pPr>
              <w:jc w:val="center"/>
              <w:rPr>
                <w:rFonts w:hint="default"/>
                <w:i w:val="0"/>
                <w:iCs/>
                <w:color w:val="auto"/>
                <w:sz w:val="18"/>
                <w:szCs w:val="18"/>
                <w:lang w:val="en-US" w:eastAsia="zh-CN"/>
              </w:rPr>
            </w:pPr>
            <w:r>
              <w:rPr>
                <w:rFonts w:hint="eastAsia"/>
                <w:i w:val="0"/>
                <w:iCs/>
                <w:color w:val="auto"/>
                <w:sz w:val="18"/>
                <w:szCs w:val="18"/>
                <w:lang w:val="en-US" w:eastAsia="zh-CN"/>
              </w:rPr>
              <w:t>1</w:t>
            </w:r>
          </w:p>
        </w:tc>
        <w:tc>
          <w:tcPr>
            <w:tcW w:w="1045" w:type="dxa"/>
            <w:vMerge w:val="continue"/>
            <w:vAlign w:val="center"/>
          </w:tcPr>
          <w:p w14:paraId="0D296A49">
            <w:pPr>
              <w:adjustRightInd w:val="0"/>
              <w:snapToGrid w:val="0"/>
              <w:jc w:val="center"/>
              <w:rPr>
                <w:color w:val="auto"/>
                <w:sz w:val="18"/>
                <w:szCs w:val="18"/>
              </w:rPr>
            </w:pPr>
          </w:p>
        </w:tc>
      </w:tr>
      <w:tr w14:paraId="1294EC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5FE388C">
            <w:pPr>
              <w:rPr>
                <w:b/>
                <w:color w:val="000000" w:themeColor="text1"/>
                <w:sz w:val="18"/>
                <w:szCs w:val="18"/>
                <w14:textFill>
                  <w14:solidFill>
                    <w14:schemeClr w14:val="tx1"/>
                  </w14:solidFill>
                </w14:textFill>
              </w:rPr>
            </w:pPr>
          </w:p>
        </w:tc>
        <w:tc>
          <w:tcPr>
            <w:tcW w:w="1226" w:type="dxa"/>
            <w:vMerge w:val="continue"/>
            <w:vAlign w:val="center"/>
          </w:tcPr>
          <w:p w14:paraId="74348432">
            <w:pPr>
              <w:jc w:val="center"/>
              <w:rPr>
                <w:b/>
                <w:color w:val="000000" w:themeColor="text1"/>
                <w:sz w:val="18"/>
                <w:szCs w:val="18"/>
                <w14:textFill>
                  <w14:solidFill>
                    <w14:schemeClr w14:val="tx1"/>
                  </w14:solidFill>
                </w14:textFill>
              </w:rPr>
            </w:pPr>
          </w:p>
        </w:tc>
        <w:tc>
          <w:tcPr>
            <w:tcW w:w="3516" w:type="dxa"/>
            <w:vAlign w:val="center"/>
          </w:tcPr>
          <w:p w14:paraId="54445285">
            <w:pPr>
              <w:adjustRightInd w:val="0"/>
              <w:snapToGrid w:val="0"/>
              <w:rPr>
                <w:rFonts w:hint="default" w:eastAsia="宋体"/>
                <w:i w:val="0"/>
                <w:iCs/>
                <w:color w:val="auto"/>
                <w:sz w:val="18"/>
                <w:szCs w:val="18"/>
                <w:highlight w:val="none"/>
                <w:lang w:val="en-US" w:eastAsia="zh-CN"/>
              </w:rPr>
            </w:pPr>
            <w:r>
              <w:rPr>
                <w:rFonts w:hint="eastAsia"/>
                <w:i w:val="0"/>
                <w:iCs/>
                <w:color w:val="auto"/>
                <w:sz w:val="18"/>
                <w:szCs w:val="18"/>
                <w:highlight w:val="none"/>
                <w:lang w:val="en-US" w:eastAsia="zh-CN"/>
              </w:rPr>
              <w:t>环境会计</w:t>
            </w:r>
          </w:p>
        </w:tc>
        <w:tc>
          <w:tcPr>
            <w:tcW w:w="1081" w:type="dxa"/>
            <w:shd w:val="clear" w:color="auto" w:fill="auto"/>
            <w:vAlign w:val="center"/>
          </w:tcPr>
          <w:p w14:paraId="0E00F7FF">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XS0431217</w:t>
            </w:r>
          </w:p>
        </w:tc>
        <w:tc>
          <w:tcPr>
            <w:tcW w:w="709" w:type="dxa"/>
            <w:vAlign w:val="center"/>
          </w:tcPr>
          <w:p w14:paraId="48D19656">
            <w:pPr>
              <w:jc w:val="center"/>
              <w:rPr>
                <w:rFonts w:hint="default" w:eastAsia="宋体"/>
                <w:i w:val="0"/>
                <w:iCs/>
                <w:color w:val="auto"/>
                <w:sz w:val="18"/>
                <w:szCs w:val="18"/>
                <w:lang w:val="en-US" w:eastAsia="zh-CN"/>
              </w:rPr>
            </w:pPr>
            <w:r>
              <w:rPr>
                <w:rFonts w:hint="eastAsia"/>
                <w:i w:val="0"/>
                <w:iCs/>
                <w:color w:val="auto"/>
                <w:sz w:val="18"/>
                <w:szCs w:val="18"/>
                <w:lang w:val="en-US" w:eastAsia="zh-CN"/>
              </w:rPr>
              <w:t>1</w:t>
            </w:r>
          </w:p>
        </w:tc>
        <w:tc>
          <w:tcPr>
            <w:tcW w:w="709" w:type="dxa"/>
            <w:vAlign w:val="center"/>
          </w:tcPr>
          <w:p w14:paraId="2C69158A">
            <w:pPr>
              <w:jc w:val="center"/>
              <w:rPr>
                <w:rFonts w:hint="default" w:eastAsia="宋体"/>
                <w:i w:val="0"/>
                <w:iCs/>
                <w:color w:val="auto"/>
                <w:sz w:val="18"/>
                <w:szCs w:val="18"/>
                <w:lang w:val="en-US" w:eastAsia="zh-CN"/>
              </w:rPr>
            </w:pPr>
            <w:r>
              <w:rPr>
                <w:rFonts w:hint="eastAsia"/>
                <w:i w:val="0"/>
                <w:iCs/>
                <w:color w:val="auto"/>
                <w:sz w:val="18"/>
                <w:szCs w:val="18"/>
                <w:lang w:val="en-US" w:eastAsia="zh-CN"/>
              </w:rPr>
              <w:t>2</w:t>
            </w:r>
          </w:p>
        </w:tc>
        <w:tc>
          <w:tcPr>
            <w:tcW w:w="1045" w:type="dxa"/>
            <w:vMerge w:val="continue"/>
            <w:vAlign w:val="center"/>
          </w:tcPr>
          <w:p w14:paraId="403FE1B3">
            <w:pPr>
              <w:jc w:val="center"/>
              <w:rPr>
                <w:color w:val="auto"/>
                <w:sz w:val="18"/>
                <w:szCs w:val="18"/>
              </w:rPr>
            </w:pPr>
          </w:p>
        </w:tc>
      </w:tr>
      <w:tr w14:paraId="0EA654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481047">
            <w:pPr>
              <w:rPr>
                <w:b/>
                <w:color w:val="000000" w:themeColor="text1"/>
                <w:sz w:val="18"/>
                <w:szCs w:val="18"/>
                <w14:textFill>
                  <w14:solidFill>
                    <w14:schemeClr w14:val="tx1"/>
                  </w14:solidFill>
                </w14:textFill>
              </w:rPr>
            </w:pPr>
          </w:p>
        </w:tc>
        <w:tc>
          <w:tcPr>
            <w:tcW w:w="1226" w:type="dxa"/>
            <w:vMerge w:val="restart"/>
            <w:vAlign w:val="center"/>
          </w:tcPr>
          <w:p w14:paraId="02CEC336">
            <w:pPr>
              <w:adjustRightInd w:val="0"/>
              <w:snapToGrid w:val="0"/>
              <w:jc w:val="center"/>
              <w:rPr>
                <w:b/>
                <w:color w:val="FF0000"/>
                <w:sz w:val="18"/>
                <w:szCs w:val="18"/>
              </w:rPr>
            </w:pPr>
            <w:r>
              <w:rPr>
                <w:rFonts w:hint="eastAsia"/>
                <w:b/>
                <w:color w:val="000000" w:themeColor="text1"/>
                <w:sz w:val="18"/>
                <w:szCs w:val="18"/>
                <w:lang w:val="en-US" w:eastAsia="zh-CN"/>
                <w14:textFill>
                  <w14:solidFill>
                    <w14:schemeClr w14:val="tx1"/>
                  </w14:solidFill>
                </w14:textFill>
              </w:rPr>
              <w:t>财务成本管理</w:t>
            </w:r>
            <w:r>
              <w:rPr>
                <w:b/>
                <w:color w:val="000000" w:themeColor="text1"/>
                <w:sz w:val="18"/>
                <w:szCs w:val="18"/>
                <w14:textFill>
                  <w14:solidFill>
                    <w14:schemeClr w14:val="tx1"/>
                  </w14:solidFill>
                </w14:textFill>
              </w:rPr>
              <w:t>方向选修课</w:t>
            </w:r>
          </w:p>
        </w:tc>
        <w:tc>
          <w:tcPr>
            <w:tcW w:w="3516" w:type="dxa"/>
            <w:shd w:val="clear" w:color="auto" w:fill="auto"/>
            <w:vAlign w:val="center"/>
          </w:tcPr>
          <w:p w14:paraId="45C7D0CC">
            <w:pPr>
              <w:rPr>
                <w:rFonts w:hint="eastAsia" w:ascii="Times New Roman" w:hAnsi="Times New Roman" w:eastAsia="宋体" w:cs="Times New Roman"/>
                <w:i w:val="0"/>
                <w:iCs/>
                <w:color w:val="auto"/>
                <w:kern w:val="2"/>
                <w:sz w:val="18"/>
                <w:szCs w:val="18"/>
                <w:highlight w:val="none"/>
                <w:lang w:val="en-US" w:eastAsia="zh-CN" w:bidi="ar-SA"/>
              </w:rPr>
            </w:pPr>
            <w:r>
              <w:rPr>
                <w:rFonts w:hint="eastAsia"/>
                <w:i w:val="0"/>
                <w:iCs/>
                <w:color w:val="auto"/>
                <w:sz w:val="18"/>
                <w:szCs w:val="18"/>
                <w:highlight w:val="none"/>
                <w:lang w:val="en-US" w:eastAsia="zh-CN"/>
              </w:rPr>
              <w:t>管理会计研究</w:t>
            </w:r>
          </w:p>
        </w:tc>
        <w:tc>
          <w:tcPr>
            <w:tcW w:w="1081" w:type="dxa"/>
            <w:shd w:val="clear" w:color="auto" w:fill="auto"/>
            <w:vAlign w:val="center"/>
          </w:tcPr>
          <w:p w14:paraId="4C93101C">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XS0431209</w:t>
            </w:r>
          </w:p>
        </w:tc>
        <w:tc>
          <w:tcPr>
            <w:tcW w:w="709" w:type="dxa"/>
            <w:shd w:val="clear" w:color="auto" w:fill="auto"/>
            <w:vAlign w:val="center"/>
          </w:tcPr>
          <w:p w14:paraId="72A6202E">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2</w:t>
            </w:r>
          </w:p>
        </w:tc>
        <w:tc>
          <w:tcPr>
            <w:tcW w:w="709" w:type="dxa"/>
            <w:shd w:val="clear" w:color="auto" w:fill="auto"/>
            <w:vAlign w:val="center"/>
          </w:tcPr>
          <w:p w14:paraId="091F7CA8">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eastAsia="zh-CN"/>
                <w14:textFill>
                  <w14:solidFill>
                    <w14:schemeClr w14:val="tx1"/>
                  </w14:solidFill>
                </w14:textFill>
              </w:rPr>
              <w:t>1</w:t>
            </w:r>
          </w:p>
        </w:tc>
        <w:tc>
          <w:tcPr>
            <w:tcW w:w="1045" w:type="dxa"/>
            <w:vMerge w:val="restart"/>
            <w:vAlign w:val="center"/>
          </w:tcPr>
          <w:p w14:paraId="1FE07EFC">
            <w:pPr>
              <w:adjustRightInd w:val="0"/>
              <w:snapToGrid w:val="0"/>
              <w:jc w:val="center"/>
              <w:rPr>
                <w:color w:val="auto"/>
                <w:sz w:val="18"/>
                <w:szCs w:val="18"/>
              </w:rPr>
            </w:pPr>
            <w:r>
              <w:rPr>
                <w:color w:val="auto"/>
                <w:sz w:val="18"/>
                <w:szCs w:val="18"/>
              </w:rPr>
              <w:t>本方向研究生至少选修</w:t>
            </w:r>
          </w:p>
          <w:p w14:paraId="29126767">
            <w:pPr>
              <w:adjustRightInd w:val="0"/>
              <w:snapToGrid w:val="0"/>
              <w:jc w:val="center"/>
              <w:rPr>
                <w:color w:val="auto"/>
                <w:sz w:val="18"/>
                <w:szCs w:val="18"/>
              </w:rPr>
            </w:pPr>
            <w:r>
              <w:rPr>
                <w:rFonts w:hint="eastAsia"/>
                <w:color w:val="auto"/>
                <w:sz w:val="18"/>
                <w:szCs w:val="18"/>
                <w:lang w:val="en-US" w:eastAsia="zh-CN"/>
              </w:rPr>
              <w:t>3</w:t>
            </w:r>
            <w:r>
              <w:rPr>
                <w:color w:val="auto"/>
                <w:sz w:val="18"/>
                <w:szCs w:val="18"/>
              </w:rPr>
              <w:t>学分</w:t>
            </w:r>
          </w:p>
        </w:tc>
      </w:tr>
      <w:tr w14:paraId="7AB3FF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045DEE">
            <w:pPr>
              <w:rPr>
                <w:b/>
                <w:color w:val="000000" w:themeColor="text1"/>
                <w:sz w:val="18"/>
                <w:szCs w:val="18"/>
                <w14:textFill>
                  <w14:solidFill>
                    <w14:schemeClr w14:val="tx1"/>
                  </w14:solidFill>
                </w14:textFill>
              </w:rPr>
            </w:pPr>
          </w:p>
        </w:tc>
        <w:tc>
          <w:tcPr>
            <w:tcW w:w="1226" w:type="dxa"/>
            <w:vMerge w:val="continue"/>
            <w:vAlign w:val="center"/>
          </w:tcPr>
          <w:p w14:paraId="43B27910">
            <w:pPr>
              <w:adjustRightInd w:val="0"/>
              <w:snapToGrid w:val="0"/>
              <w:jc w:val="center"/>
              <w:rPr>
                <w:b/>
                <w:color w:val="FF0000"/>
                <w:sz w:val="18"/>
                <w:szCs w:val="18"/>
              </w:rPr>
            </w:pPr>
          </w:p>
        </w:tc>
        <w:tc>
          <w:tcPr>
            <w:tcW w:w="3516" w:type="dxa"/>
            <w:shd w:val="clear" w:color="auto" w:fill="auto"/>
            <w:vAlign w:val="center"/>
          </w:tcPr>
          <w:p w14:paraId="22CF2677">
            <w:pP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成本管理专题</w:t>
            </w:r>
          </w:p>
        </w:tc>
        <w:tc>
          <w:tcPr>
            <w:tcW w:w="1081" w:type="dxa"/>
            <w:shd w:val="clear" w:color="auto" w:fill="auto"/>
            <w:vAlign w:val="center"/>
          </w:tcPr>
          <w:p w14:paraId="441A65D3">
            <w:pPr>
              <w:jc w:val="center"/>
              <w:rPr>
                <w:rFonts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XS0431207</w:t>
            </w:r>
          </w:p>
        </w:tc>
        <w:tc>
          <w:tcPr>
            <w:tcW w:w="709" w:type="dxa"/>
            <w:vAlign w:val="center"/>
          </w:tcPr>
          <w:p w14:paraId="1D03B570">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576D6DEE">
            <w:pPr>
              <w:jc w:val="center"/>
              <w:rPr>
                <w:rFonts w:hint="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7B711B84">
            <w:pPr>
              <w:adjustRightInd w:val="0"/>
              <w:snapToGrid w:val="0"/>
              <w:jc w:val="center"/>
              <w:rPr>
                <w:color w:val="auto"/>
                <w:sz w:val="18"/>
                <w:szCs w:val="18"/>
              </w:rPr>
            </w:pPr>
          </w:p>
        </w:tc>
      </w:tr>
      <w:tr w14:paraId="63FBF4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08B57C">
            <w:pPr>
              <w:rPr>
                <w:b/>
                <w:color w:val="000000" w:themeColor="text1"/>
                <w:sz w:val="18"/>
                <w:szCs w:val="18"/>
                <w14:textFill>
                  <w14:solidFill>
                    <w14:schemeClr w14:val="tx1"/>
                  </w14:solidFill>
                </w14:textFill>
              </w:rPr>
            </w:pPr>
          </w:p>
        </w:tc>
        <w:tc>
          <w:tcPr>
            <w:tcW w:w="1226" w:type="dxa"/>
            <w:vMerge w:val="continue"/>
            <w:vAlign w:val="center"/>
          </w:tcPr>
          <w:p w14:paraId="71A6CA1D">
            <w:pPr>
              <w:adjustRightInd w:val="0"/>
              <w:snapToGrid w:val="0"/>
              <w:jc w:val="center"/>
              <w:rPr>
                <w:b/>
                <w:color w:val="FF0000"/>
                <w:sz w:val="18"/>
                <w:szCs w:val="18"/>
              </w:rPr>
            </w:pPr>
          </w:p>
        </w:tc>
        <w:tc>
          <w:tcPr>
            <w:tcW w:w="3516" w:type="dxa"/>
            <w:shd w:val="clear" w:color="auto" w:fill="auto"/>
            <w:vAlign w:val="center"/>
          </w:tcPr>
          <w:p w14:paraId="7CD0D87B">
            <w:pPr>
              <w:adjustRightInd w:val="0"/>
              <w:snapToGrid w:val="0"/>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资本市场与公司治理</w:t>
            </w:r>
          </w:p>
        </w:tc>
        <w:tc>
          <w:tcPr>
            <w:tcW w:w="1081" w:type="dxa"/>
            <w:shd w:val="clear" w:color="auto" w:fill="auto"/>
            <w:vAlign w:val="center"/>
          </w:tcPr>
          <w:p w14:paraId="761D712C">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XS0431218</w:t>
            </w:r>
          </w:p>
        </w:tc>
        <w:tc>
          <w:tcPr>
            <w:tcW w:w="709" w:type="dxa"/>
            <w:vAlign w:val="center"/>
          </w:tcPr>
          <w:p w14:paraId="28EC273D">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6D1E3CCA">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74A58B07">
            <w:pPr>
              <w:adjustRightInd w:val="0"/>
              <w:snapToGrid w:val="0"/>
              <w:jc w:val="center"/>
              <w:rPr>
                <w:color w:val="auto"/>
                <w:sz w:val="18"/>
                <w:szCs w:val="18"/>
              </w:rPr>
            </w:pPr>
          </w:p>
        </w:tc>
      </w:tr>
      <w:tr w14:paraId="20EF18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1987F16">
            <w:pPr>
              <w:rPr>
                <w:b/>
                <w:color w:val="000000" w:themeColor="text1"/>
                <w:sz w:val="18"/>
                <w:szCs w:val="18"/>
                <w14:textFill>
                  <w14:solidFill>
                    <w14:schemeClr w14:val="tx1"/>
                  </w14:solidFill>
                </w14:textFill>
              </w:rPr>
            </w:pPr>
          </w:p>
        </w:tc>
        <w:tc>
          <w:tcPr>
            <w:tcW w:w="1226" w:type="dxa"/>
            <w:vMerge w:val="continue"/>
          </w:tcPr>
          <w:p w14:paraId="56CB4A55">
            <w:pPr>
              <w:jc w:val="center"/>
              <w:rPr>
                <w:b/>
                <w:color w:val="000000" w:themeColor="text1"/>
                <w:sz w:val="18"/>
                <w:szCs w:val="18"/>
                <w14:textFill>
                  <w14:solidFill>
                    <w14:schemeClr w14:val="tx1"/>
                  </w14:solidFill>
                </w14:textFill>
              </w:rPr>
            </w:pPr>
          </w:p>
        </w:tc>
        <w:tc>
          <w:tcPr>
            <w:tcW w:w="3516" w:type="dxa"/>
            <w:vAlign w:val="center"/>
          </w:tcPr>
          <w:p w14:paraId="5F740625">
            <w:pPr>
              <w:adjustRightInd w:val="0"/>
              <w:snapToGrid w:val="0"/>
              <w:rPr>
                <w:rFonts w:hint="default" w:eastAsia="宋体"/>
                <w:i w:val="0"/>
                <w:iCs/>
                <w:color w:val="auto"/>
                <w:sz w:val="18"/>
                <w:szCs w:val="18"/>
                <w:lang w:val="en-US" w:eastAsia="zh-CN"/>
              </w:rPr>
            </w:pPr>
            <w:r>
              <w:rPr>
                <w:rFonts w:hint="eastAsia"/>
                <w:i w:val="0"/>
                <w:iCs/>
                <w:color w:val="auto"/>
                <w:sz w:val="18"/>
                <w:szCs w:val="18"/>
                <w:lang w:val="en-US" w:eastAsia="zh-CN"/>
              </w:rPr>
              <w:t>金融市场与金融机构</w:t>
            </w:r>
          </w:p>
        </w:tc>
        <w:tc>
          <w:tcPr>
            <w:tcW w:w="1081" w:type="dxa"/>
            <w:shd w:val="clear" w:color="auto" w:fill="auto"/>
            <w:vAlign w:val="center"/>
          </w:tcPr>
          <w:p w14:paraId="701296F9">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XS0431219</w:t>
            </w:r>
          </w:p>
        </w:tc>
        <w:tc>
          <w:tcPr>
            <w:tcW w:w="709" w:type="dxa"/>
            <w:vAlign w:val="center"/>
          </w:tcPr>
          <w:p w14:paraId="3E420B10">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16D935DD">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4EED31B5">
            <w:pPr>
              <w:jc w:val="center"/>
              <w:rPr>
                <w:color w:val="auto"/>
                <w:sz w:val="18"/>
                <w:szCs w:val="18"/>
              </w:rPr>
            </w:pPr>
          </w:p>
        </w:tc>
      </w:tr>
      <w:tr w14:paraId="52D428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DAE15E">
            <w:pPr>
              <w:rPr>
                <w:b/>
                <w:color w:val="000000" w:themeColor="text1"/>
                <w:sz w:val="18"/>
                <w:szCs w:val="18"/>
                <w14:textFill>
                  <w14:solidFill>
                    <w14:schemeClr w14:val="tx1"/>
                  </w14:solidFill>
                </w14:textFill>
              </w:rPr>
            </w:pPr>
          </w:p>
        </w:tc>
        <w:tc>
          <w:tcPr>
            <w:tcW w:w="1226" w:type="dxa"/>
            <w:vMerge w:val="continue"/>
          </w:tcPr>
          <w:p w14:paraId="20651E5D">
            <w:pPr>
              <w:jc w:val="center"/>
              <w:rPr>
                <w:b/>
                <w:color w:val="000000" w:themeColor="text1"/>
                <w:sz w:val="18"/>
                <w:szCs w:val="18"/>
                <w14:textFill>
                  <w14:solidFill>
                    <w14:schemeClr w14:val="tx1"/>
                  </w14:solidFill>
                </w14:textFill>
              </w:rPr>
            </w:pPr>
          </w:p>
        </w:tc>
        <w:tc>
          <w:tcPr>
            <w:tcW w:w="3516" w:type="dxa"/>
            <w:vAlign w:val="center"/>
          </w:tcPr>
          <w:p w14:paraId="25719B99">
            <w:pPr>
              <w:adjustRightInd w:val="0"/>
              <w:snapToGrid w:val="0"/>
              <w:rPr>
                <w:rFonts w:hint="default"/>
                <w:i w:val="0"/>
                <w:iCs/>
                <w:color w:val="auto"/>
                <w:sz w:val="18"/>
                <w:szCs w:val="18"/>
                <w:lang w:val="en-US" w:eastAsia="zh-CN"/>
              </w:rPr>
            </w:pPr>
            <w:r>
              <w:rPr>
                <w:rFonts w:hint="eastAsia"/>
                <w:i w:val="0"/>
                <w:iCs/>
                <w:color w:val="auto"/>
                <w:sz w:val="18"/>
                <w:szCs w:val="18"/>
                <w:lang w:val="en-US" w:eastAsia="zh-CN"/>
              </w:rPr>
              <w:t>证券市场评估与预测</w:t>
            </w:r>
          </w:p>
        </w:tc>
        <w:tc>
          <w:tcPr>
            <w:tcW w:w="1081" w:type="dxa"/>
            <w:shd w:val="clear" w:color="auto" w:fill="auto"/>
            <w:vAlign w:val="center"/>
          </w:tcPr>
          <w:p w14:paraId="7F5CBED6">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XS0431220</w:t>
            </w:r>
          </w:p>
        </w:tc>
        <w:tc>
          <w:tcPr>
            <w:tcW w:w="709" w:type="dxa"/>
            <w:vAlign w:val="center"/>
          </w:tcPr>
          <w:p w14:paraId="06A494F4">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w:t>
            </w:r>
          </w:p>
        </w:tc>
        <w:tc>
          <w:tcPr>
            <w:tcW w:w="709" w:type="dxa"/>
            <w:vAlign w:val="center"/>
          </w:tcPr>
          <w:p w14:paraId="31EEB034">
            <w:pPr>
              <w:jc w:val="center"/>
              <w:rPr>
                <w:rFonts w:hint="default"/>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1045" w:type="dxa"/>
            <w:vMerge w:val="continue"/>
            <w:vAlign w:val="center"/>
          </w:tcPr>
          <w:p w14:paraId="15CA4EF8">
            <w:pPr>
              <w:jc w:val="center"/>
              <w:rPr>
                <w:color w:val="auto"/>
                <w:sz w:val="18"/>
                <w:szCs w:val="18"/>
              </w:rPr>
            </w:pPr>
          </w:p>
        </w:tc>
      </w:tr>
      <w:tr w14:paraId="7A4A47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6" w:hRule="atLeast"/>
          <w:jc w:val="center"/>
        </w:trPr>
        <w:tc>
          <w:tcPr>
            <w:tcW w:w="571" w:type="dxa"/>
            <w:vMerge w:val="continue"/>
          </w:tcPr>
          <w:p w14:paraId="643B084D">
            <w:pPr>
              <w:rPr>
                <w:b/>
                <w:color w:val="000000" w:themeColor="text1"/>
                <w:sz w:val="18"/>
                <w:szCs w:val="18"/>
                <w14:textFill>
                  <w14:solidFill>
                    <w14:schemeClr w14:val="tx1"/>
                  </w14:solidFill>
                </w14:textFill>
              </w:rPr>
            </w:pPr>
          </w:p>
        </w:tc>
        <w:tc>
          <w:tcPr>
            <w:tcW w:w="1226" w:type="dxa"/>
            <w:vMerge w:val="restart"/>
            <w:vAlign w:val="center"/>
          </w:tcPr>
          <w:p w14:paraId="4FE1E39B">
            <w:pPr>
              <w:jc w:val="center"/>
              <w:rPr>
                <w:rFonts w:hint="default" w:eastAsia="宋体"/>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智能会计与数据分析方向选修课</w:t>
            </w:r>
          </w:p>
        </w:tc>
        <w:tc>
          <w:tcPr>
            <w:tcW w:w="3516" w:type="dxa"/>
            <w:vAlign w:val="center"/>
          </w:tcPr>
          <w:p w14:paraId="637A3B22">
            <w:pPr>
              <w:adjustRightInd w:val="0"/>
              <w:snapToGrid w:val="0"/>
              <w:rPr>
                <w:rFonts w:hint="default" w:eastAsia="宋体"/>
                <w:i w:val="0"/>
                <w:iCs/>
                <w:color w:val="auto"/>
                <w:sz w:val="18"/>
                <w:szCs w:val="18"/>
                <w:highlight w:val="none"/>
                <w:lang w:val="en-US" w:eastAsia="zh-CN"/>
              </w:rPr>
            </w:pPr>
            <w:r>
              <w:rPr>
                <w:rFonts w:hint="eastAsia"/>
                <w:i w:val="0"/>
                <w:iCs/>
                <w:color w:val="auto"/>
                <w:sz w:val="18"/>
                <w:szCs w:val="18"/>
                <w:highlight w:val="none"/>
                <w:lang w:val="en-US" w:eastAsia="zh-CN"/>
              </w:rPr>
              <w:t>基于Python的财务报表分析</w:t>
            </w:r>
          </w:p>
        </w:tc>
        <w:tc>
          <w:tcPr>
            <w:tcW w:w="1081" w:type="dxa"/>
            <w:shd w:val="clear" w:color="auto" w:fill="auto"/>
            <w:vAlign w:val="center"/>
          </w:tcPr>
          <w:p w14:paraId="752621EB">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XS0431221</w:t>
            </w:r>
          </w:p>
        </w:tc>
        <w:tc>
          <w:tcPr>
            <w:tcW w:w="709" w:type="dxa"/>
            <w:vAlign w:val="center"/>
          </w:tcPr>
          <w:p w14:paraId="452BC4EF">
            <w:pPr>
              <w:jc w:val="center"/>
              <w:rPr>
                <w:rFonts w:hint="eastAsia" w:eastAsia="宋体"/>
                <w:i w:val="0"/>
                <w:iCs/>
                <w:color w:val="auto"/>
                <w:sz w:val="18"/>
                <w:szCs w:val="18"/>
                <w:lang w:val="en-US" w:eastAsia="zh-CN"/>
              </w:rPr>
            </w:pPr>
            <w:r>
              <w:rPr>
                <w:rFonts w:hint="eastAsia"/>
                <w:i w:val="0"/>
                <w:iCs/>
                <w:color w:val="auto"/>
                <w:sz w:val="18"/>
                <w:szCs w:val="18"/>
                <w:lang w:val="en-US" w:eastAsia="zh-CN"/>
              </w:rPr>
              <w:t>2</w:t>
            </w:r>
          </w:p>
        </w:tc>
        <w:tc>
          <w:tcPr>
            <w:tcW w:w="709" w:type="dxa"/>
            <w:vAlign w:val="center"/>
          </w:tcPr>
          <w:p w14:paraId="571D4C54">
            <w:pPr>
              <w:jc w:val="center"/>
              <w:rPr>
                <w:rFonts w:hint="eastAsia" w:eastAsia="宋体"/>
                <w:i w:val="0"/>
                <w:iCs/>
                <w:color w:val="auto"/>
                <w:sz w:val="18"/>
                <w:szCs w:val="18"/>
                <w:lang w:val="en-US" w:eastAsia="zh-CN"/>
              </w:rPr>
            </w:pPr>
            <w:r>
              <w:rPr>
                <w:rFonts w:hint="eastAsia"/>
                <w:i w:val="0"/>
                <w:iCs/>
                <w:color w:val="auto"/>
                <w:sz w:val="18"/>
                <w:szCs w:val="18"/>
                <w:lang w:val="en-US" w:eastAsia="zh-CN"/>
              </w:rPr>
              <w:t>2</w:t>
            </w:r>
          </w:p>
        </w:tc>
        <w:tc>
          <w:tcPr>
            <w:tcW w:w="1045" w:type="dxa"/>
            <w:vMerge w:val="restart"/>
            <w:vAlign w:val="center"/>
          </w:tcPr>
          <w:p w14:paraId="2AF7496B">
            <w:pPr>
              <w:adjustRightInd w:val="0"/>
              <w:snapToGrid w:val="0"/>
              <w:jc w:val="center"/>
              <w:rPr>
                <w:color w:val="auto"/>
                <w:sz w:val="18"/>
                <w:szCs w:val="18"/>
              </w:rPr>
            </w:pPr>
            <w:r>
              <w:rPr>
                <w:color w:val="auto"/>
                <w:sz w:val="18"/>
                <w:szCs w:val="18"/>
              </w:rPr>
              <w:t>本方向研究生至少选修</w:t>
            </w:r>
          </w:p>
          <w:p w14:paraId="3C3C3BF8">
            <w:pPr>
              <w:jc w:val="center"/>
              <w:rPr>
                <w:color w:val="auto"/>
                <w:sz w:val="18"/>
                <w:szCs w:val="18"/>
              </w:rPr>
            </w:pPr>
            <w:r>
              <w:rPr>
                <w:rFonts w:hint="eastAsia"/>
                <w:color w:val="auto"/>
                <w:sz w:val="18"/>
                <w:szCs w:val="18"/>
                <w:lang w:val="en-US" w:eastAsia="zh-CN"/>
              </w:rPr>
              <w:t>3</w:t>
            </w:r>
            <w:r>
              <w:rPr>
                <w:color w:val="auto"/>
                <w:sz w:val="18"/>
                <w:szCs w:val="18"/>
              </w:rPr>
              <w:t>学分</w:t>
            </w:r>
          </w:p>
        </w:tc>
      </w:tr>
      <w:tr w14:paraId="2C761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5A2B579">
            <w:pPr>
              <w:rPr>
                <w:b/>
                <w:color w:val="000000" w:themeColor="text1"/>
                <w:sz w:val="18"/>
                <w:szCs w:val="18"/>
                <w14:textFill>
                  <w14:solidFill>
                    <w14:schemeClr w14:val="tx1"/>
                  </w14:solidFill>
                </w14:textFill>
              </w:rPr>
            </w:pPr>
          </w:p>
        </w:tc>
        <w:tc>
          <w:tcPr>
            <w:tcW w:w="1226" w:type="dxa"/>
            <w:vMerge w:val="continue"/>
          </w:tcPr>
          <w:p w14:paraId="5A2AFDA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B284879">
            <w:pPr>
              <w:adjustRightInd w:val="0"/>
              <w:snapToGrid w:val="0"/>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数字经济概论</w:t>
            </w:r>
          </w:p>
        </w:tc>
        <w:tc>
          <w:tcPr>
            <w:tcW w:w="1081" w:type="dxa"/>
            <w:shd w:val="clear" w:color="auto" w:fill="auto"/>
            <w:vAlign w:val="center"/>
          </w:tcPr>
          <w:p w14:paraId="5137FAEE">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XS0431222</w:t>
            </w:r>
          </w:p>
        </w:tc>
        <w:tc>
          <w:tcPr>
            <w:tcW w:w="709" w:type="dxa"/>
            <w:shd w:val="clear" w:color="auto" w:fill="auto"/>
            <w:vAlign w:val="center"/>
          </w:tcPr>
          <w:p w14:paraId="0D453A61">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709" w:type="dxa"/>
            <w:shd w:val="clear" w:color="auto" w:fill="auto"/>
            <w:vAlign w:val="center"/>
          </w:tcPr>
          <w:p w14:paraId="349DC67F">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1045" w:type="dxa"/>
            <w:vMerge w:val="continue"/>
            <w:vAlign w:val="center"/>
          </w:tcPr>
          <w:p w14:paraId="565F9E17">
            <w:pPr>
              <w:jc w:val="center"/>
              <w:rPr>
                <w:color w:val="000000" w:themeColor="text1"/>
                <w:sz w:val="18"/>
                <w:szCs w:val="18"/>
                <w14:textFill>
                  <w14:solidFill>
                    <w14:schemeClr w14:val="tx1"/>
                  </w14:solidFill>
                </w14:textFill>
              </w:rPr>
            </w:pPr>
          </w:p>
        </w:tc>
      </w:tr>
      <w:tr w14:paraId="7C8E1A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199AB72">
            <w:pPr>
              <w:rPr>
                <w:b/>
                <w:color w:val="000000" w:themeColor="text1"/>
                <w:sz w:val="18"/>
                <w:szCs w:val="18"/>
                <w14:textFill>
                  <w14:solidFill>
                    <w14:schemeClr w14:val="tx1"/>
                  </w14:solidFill>
                </w14:textFill>
              </w:rPr>
            </w:pPr>
          </w:p>
        </w:tc>
        <w:tc>
          <w:tcPr>
            <w:tcW w:w="1226" w:type="dxa"/>
            <w:vMerge w:val="continue"/>
          </w:tcPr>
          <w:p w14:paraId="13103972">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3C4203A">
            <w:pPr>
              <w:adjustRightInd w:val="0"/>
              <w:snapToGrid w:val="0"/>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金融计量经济学</w:t>
            </w:r>
          </w:p>
        </w:tc>
        <w:tc>
          <w:tcPr>
            <w:tcW w:w="1081" w:type="dxa"/>
            <w:shd w:val="clear" w:color="auto" w:fill="auto"/>
            <w:vAlign w:val="center"/>
          </w:tcPr>
          <w:p w14:paraId="0DF97956">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XS0431223</w:t>
            </w:r>
          </w:p>
        </w:tc>
        <w:tc>
          <w:tcPr>
            <w:tcW w:w="709" w:type="dxa"/>
            <w:shd w:val="clear" w:color="auto" w:fill="auto"/>
            <w:vAlign w:val="center"/>
          </w:tcPr>
          <w:p w14:paraId="0EB33397">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709" w:type="dxa"/>
            <w:shd w:val="clear" w:color="auto" w:fill="auto"/>
            <w:vAlign w:val="center"/>
          </w:tcPr>
          <w:p w14:paraId="71FB75EB">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1045" w:type="dxa"/>
            <w:vMerge w:val="continue"/>
            <w:vAlign w:val="center"/>
          </w:tcPr>
          <w:p w14:paraId="71AB48A7">
            <w:pPr>
              <w:jc w:val="center"/>
              <w:rPr>
                <w:color w:val="000000" w:themeColor="text1"/>
                <w:sz w:val="18"/>
                <w:szCs w:val="18"/>
                <w14:textFill>
                  <w14:solidFill>
                    <w14:schemeClr w14:val="tx1"/>
                  </w14:solidFill>
                </w14:textFill>
              </w:rPr>
            </w:pPr>
          </w:p>
        </w:tc>
      </w:tr>
      <w:tr w14:paraId="1D095F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2B1D9F">
            <w:pPr>
              <w:rPr>
                <w:b/>
                <w:color w:val="000000" w:themeColor="text1"/>
                <w:sz w:val="18"/>
                <w:szCs w:val="18"/>
                <w14:textFill>
                  <w14:solidFill>
                    <w14:schemeClr w14:val="tx1"/>
                  </w14:solidFill>
                </w14:textFill>
              </w:rPr>
            </w:pPr>
          </w:p>
        </w:tc>
        <w:tc>
          <w:tcPr>
            <w:tcW w:w="1226" w:type="dxa"/>
            <w:vMerge w:val="continue"/>
          </w:tcPr>
          <w:p w14:paraId="389094F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6BAB642">
            <w:pPr>
              <w:adjustRightInd w:val="0"/>
              <w:snapToGrid w:val="0"/>
              <w:rPr>
                <w:rFonts w:hint="eastAsia" w:ascii="Times New Roman" w:hAnsi="Times New Roman" w:eastAsia="宋体" w:cs="Times New Roman"/>
                <w:i w:val="0"/>
                <w:iCs/>
                <w:color w:val="auto"/>
                <w:kern w:val="2"/>
                <w:sz w:val="18"/>
                <w:szCs w:val="18"/>
                <w:highlight w:val="none"/>
                <w:lang w:val="en-US" w:eastAsia="zh-CN" w:bidi="ar-SA"/>
              </w:rPr>
            </w:pPr>
            <w:r>
              <w:rPr>
                <w:rFonts w:hint="eastAsia"/>
                <w:i w:val="0"/>
                <w:iCs/>
                <w:color w:val="auto"/>
                <w:sz w:val="18"/>
                <w:szCs w:val="18"/>
                <w:highlight w:val="none"/>
                <w:lang w:val="en-US" w:eastAsia="zh-CN"/>
              </w:rPr>
              <w:t>财务大数据实训</w:t>
            </w:r>
          </w:p>
        </w:tc>
        <w:tc>
          <w:tcPr>
            <w:tcW w:w="1081" w:type="dxa"/>
            <w:shd w:val="clear" w:color="auto" w:fill="auto"/>
            <w:vAlign w:val="center"/>
          </w:tcPr>
          <w:p w14:paraId="5ADE0522">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XS0431224</w:t>
            </w:r>
          </w:p>
        </w:tc>
        <w:tc>
          <w:tcPr>
            <w:tcW w:w="709" w:type="dxa"/>
            <w:shd w:val="clear" w:color="auto" w:fill="auto"/>
            <w:vAlign w:val="center"/>
          </w:tcPr>
          <w:p w14:paraId="7E8389D1">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1</w:t>
            </w:r>
          </w:p>
        </w:tc>
        <w:tc>
          <w:tcPr>
            <w:tcW w:w="709" w:type="dxa"/>
            <w:shd w:val="clear" w:color="auto" w:fill="auto"/>
            <w:vAlign w:val="center"/>
          </w:tcPr>
          <w:p w14:paraId="76CEED19">
            <w:pPr>
              <w:jc w:val="center"/>
              <w:rPr>
                <w:rFonts w:hint="eastAsia"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2</w:t>
            </w:r>
          </w:p>
        </w:tc>
        <w:tc>
          <w:tcPr>
            <w:tcW w:w="1045" w:type="dxa"/>
            <w:vMerge w:val="continue"/>
            <w:vAlign w:val="center"/>
          </w:tcPr>
          <w:p w14:paraId="720CCFFF">
            <w:pPr>
              <w:jc w:val="center"/>
              <w:rPr>
                <w:color w:val="000000" w:themeColor="text1"/>
                <w:sz w:val="18"/>
                <w:szCs w:val="18"/>
                <w14:textFill>
                  <w14:solidFill>
                    <w14:schemeClr w14:val="tx1"/>
                  </w14:solidFill>
                </w14:textFill>
              </w:rPr>
            </w:pPr>
          </w:p>
        </w:tc>
      </w:tr>
      <w:tr w14:paraId="38F13B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914AD3">
            <w:pPr>
              <w:rPr>
                <w:b/>
                <w:color w:val="000000" w:themeColor="text1"/>
                <w:sz w:val="18"/>
                <w:szCs w:val="18"/>
                <w14:textFill>
                  <w14:solidFill>
                    <w14:schemeClr w14:val="tx1"/>
                  </w14:solidFill>
                </w14:textFill>
              </w:rPr>
            </w:pPr>
          </w:p>
        </w:tc>
        <w:tc>
          <w:tcPr>
            <w:tcW w:w="1226" w:type="dxa"/>
            <w:vMerge w:val="continue"/>
          </w:tcPr>
          <w:p w14:paraId="13356329">
            <w:pPr>
              <w:jc w:val="center"/>
              <w:rPr>
                <w:b/>
                <w:color w:val="000000" w:themeColor="text1"/>
                <w:sz w:val="18"/>
                <w:szCs w:val="18"/>
                <w14:textFill>
                  <w14:solidFill>
                    <w14:schemeClr w14:val="tx1"/>
                  </w14:solidFill>
                </w14:textFill>
              </w:rPr>
            </w:pPr>
          </w:p>
        </w:tc>
        <w:tc>
          <w:tcPr>
            <w:tcW w:w="3516" w:type="dxa"/>
            <w:vAlign w:val="center"/>
          </w:tcPr>
          <w:p w14:paraId="7C123ECC">
            <w:pPr>
              <w:adjustRightInd w:val="0"/>
              <w:snapToGrid w:val="0"/>
              <w:rPr>
                <w:rFonts w:hint="default" w:eastAsia="宋体"/>
                <w:i w:val="0"/>
                <w:iCs/>
                <w:color w:val="auto"/>
                <w:sz w:val="18"/>
                <w:szCs w:val="18"/>
                <w:lang w:val="en-US" w:eastAsia="zh-CN"/>
              </w:rPr>
            </w:pPr>
            <w:r>
              <w:rPr>
                <w:rFonts w:hint="eastAsia"/>
                <w:i w:val="0"/>
                <w:iCs/>
                <w:color w:val="auto"/>
                <w:sz w:val="18"/>
                <w:szCs w:val="18"/>
                <w:lang w:val="en-US" w:eastAsia="zh-CN"/>
              </w:rPr>
              <w:t>数据包络分析：基于MaxDea</w:t>
            </w:r>
          </w:p>
        </w:tc>
        <w:tc>
          <w:tcPr>
            <w:tcW w:w="1081" w:type="dxa"/>
            <w:vAlign w:val="center"/>
          </w:tcPr>
          <w:p w14:paraId="1E2A7FF7">
            <w:pPr>
              <w:jc w:val="center"/>
              <w:rPr>
                <w:rFonts w:hint="default"/>
                <w:i w:val="0"/>
                <w:iCs/>
                <w:color w:val="auto"/>
                <w:sz w:val="18"/>
                <w:szCs w:val="18"/>
                <w:lang w:val="en-US"/>
              </w:rPr>
            </w:pPr>
            <w:r>
              <w:rPr>
                <w:rFonts w:hint="eastAsia"/>
                <w:i w:val="0"/>
                <w:iCs/>
                <w:color w:val="auto"/>
                <w:sz w:val="18"/>
                <w:szCs w:val="18"/>
                <w:lang w:val="en-US" w:eastAsia="zh-CN"/>
              </w:rPr>
              <w:t>XS0431225</w:t>
            </w:r>
          </w:p>
        </w:tc>
        <w:tc>
          <w:tcPr>
            <w:tcW w:w="709" w:type="dxa"/>
            <w:vAlign w:val="center"/>
          </w:tcPr>
          <w:p w14:paraId="68BE3AEB">
            <w:pPr>
              <w:jc w:val="center"/>
              <w:rPr>
                <w:rFonts w:hint="eastAsia" w:eastAsia="宋体"/>
                <w:i w:val="0"/>
                <w:iCs/>
                <w:color w:val="auto"/>
                <w:sz w:val="18"/>
                <w:szCs w:val="18"/>
                <w:lang w:val="en-US" w:eastAsia="zh-CN"/>
              </w:rPr>
            </w:pPr>
            <w:r>
              <w:rPr>
                <w:rFonts w:hint="eastAsia"/>
                <w:i w:val="0"/>
                <w:iCs/>
                <w:color w:val="auto"/>
                <w:sz w:val="18"/>
                <w:szCs w:val="18"/>
                <w:lang w:val="en-US" w:eastAsia="zh-CN"/>
              </w:rPr>
              <w:t>1</w:t>
            </w:r>
          </w:p>
        </w:tc>
        <w:tc>
          <w:tcPr>
            <w:tcW w:w="709" w:type="dxa"/>
            <w:vAlign w:val="center"/>
          </w:tcPr>
          <w:p w14:paraId="35C8B359">
            <w:pPr>
              <w:jc w:val="center"/>
              <w:rPr>
                <w:rFonts w:hint="eastAsia" w:eastAsia="宋体"/>
                <w:i w:val="0"/>
                <w:iCs/>
                <w:color w:val="auto"/>
                <w:sz w:val="18"/>
                <w:szCs w:val="18"/>
                <w:lang w:val="en-US" w:eastAsia="zh-CN"/>
              </w:rPr>
            </w:pPr>
            <w:r>
              <w:rPr>
                <w:rFonts w:hint="eastAsia"/>
                <w:i w:val="0"/>
                <w:iCs/>
                <w:color w:val="auto"/>
                <w:sz w:val="18"/>
                <w:szCs w:val="18"/>
                <w:lang w:val="en-US" w:eastAsia="zh-CN"/>
              </w:rPr>
              <w:t>2</w:t>
            </w:r>
          </w:p>
        </w:tc>
        <w:tc>
          <w:tcPr>
            <w:tcW w:w="1045" w:type="dxa"/>
            <w:vMerge w:val="continue"/>
            <w:vAlign w:val="center"/>
          </w:tcPr>
          <w:p w14:paraId="0EB2BE1D">
            <w:pPr>
              <w:jc w:val="center"/>
              <w:rPr>
                <w:color w:val="000000" w:themeColor="text1"/>
                <w:sz w:val="18"/>
                <w:szCs w:val="18"/>
                <w14:textFill>
                  <w14:solidFill>
                    <w14:schemeClr w14:val="tx1"/>
                  </w14:solidFill>
                </w14:textFill>
              </w:rPr>
            </w:pPr>
          </w:p>
        </w:tc>
      </w:tr>
      <w:tr w14:paraId="19A5DA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5" w:hRule="atLeast"/>
          <w:jc w:val="center"/>
        </w:trPr>
        <w:tc>
          <w:tcPr>
            <w:tcW w:w="571" w:type="dxa"/>
            <w:vMerge w:val="restart"/>
            <w:vAlign w:val="center"/>
          </w:tcPr>
          <w:p w14:paraId="3B3DC05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FA6F471">
            <w:pPr>
              <w:jc w:val="center"/>
              <w:rPr>
                <w:b/>
                <w:color w:val="000000" w:themeColor="text1"/>
                <w:sz w:val="18"/>
                <w:szCs w:val="18"/>
                <w14:textFill>
                  <w14:solidFill>
                    <w14:schemeClr w14:val="tx1"/>
                  </w14:solidFill>
                </w14:textFill>
              </w:rPr>
            </w:pPr>
          </w:p>
        </w:tc>
        <w:tc>
          <w:tcPr>
            <w:tcW w:w="1226" w:type="dxa"/>
            <w:vMerge w:val="restart"/>
            <w:vAlign w:val="center"/>
          </w:tcPr>
          <w:p w14:paraId="3CF9824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047E3BA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14ADFFF5">
            <w:pPr>
              <w:jc w:val="center"/>
              <w:rPr>
                <w:color w:val="000000" w:themeColor="text1"/>
                <w:sz w:val="18"/>
                <w:szCs w:val="18"/>
                <w14:textFill>
                  <w14:solidFill>
                    <w14:schemeClr w14:val="tx1"/>
                  </w14:solidFill>
                </w14:textFill>
              </w:rPr>
            </w:pPr>
          </w:p>
        </w:tc>
        <w:tc>
          <w:tcPr>
            <w:tcW w:w="709" w:type="dxa"/>
            <w:vAlign w:val="center"/>
          </w:tcPr>
          <w:p w14:paraId="39F82FD5">
            <w:pPr>
              <w:jc w:val="center"/>
              <w:rPr>
                <w:color w:val="000000" w:themeColor="text1"/>
                <w:sz w:val="18"/>
                <w:szCs w:val="18"/>
                <w14:textFill>
                  <w14:solidFill>
                    <w14:schemeClr w14:val="tx1"/>
                  </w14:solidFill>
                </w14:textFill>
              </w:rPr>
            </w:pPr>
          </w:p>
        </w:tc>
        <w:tc>
          <w:tcPr>
            <w:tcW w:w="709" w:type="dxa"/>
            <w:vAlign w:val="center"/>
          </w:tcPr>
          <w:p w14:paraId="4CB7D5E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3D69B34">
            <w:pPr>
              <w:jc w:val="center"/>
              <w:rPr>
                <w:i/>
                <w:color w:val="FF0000"/>
                <w:sz w:val="18"/>
                <w:szCs w:val="18"/>
              </w:rPr>
            </w:pPr>
          </w:p>
        </w:tc>
      </w:tr>
      <w:tr w14:paraId="304CC7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9" w:hRule="atLeast"/>
          <w:jc w:val="center"/>
        </w:trPr>
        <w:tc>
          <w:tcPr>
            <w:tcW w:w="571" w:type="dxa"/>
            <w:vMerge w:val="continue"/>
            <w:vAlign w:val="center"/>
          </w:tcPr>
          <w:p w14:paraId="61C7AE2F">
            <w:pPr>
              <w:jc w:val="center"/>
              <w:rPr>
                <w:b/>
                <w:color w:val="000000" w:themeColor="text1"/>
                <w:sz w:val="18"/>
                <w:szCs w:val="18"/>
                <w14:textFill>
                  <w14:solidFill>
                    <w14:schemeClr w14:val="tx1"/>
                  </w14:solidFill>
                </w14:textFill>
              </w:rPr>
            </w:pPr>
          </w:p>
        </w:tc>
        <w:tc>
          <w:tcPr>
            <w:tcW w:w="1226" w:type="dxa"/>
            <w:vMerge w:val="continue"/>
            <w:vAlign w:val="center"/>
          </w:tcPr>
          <w:p w14:paraId="7A2CE138">
            <w:pPr>
              <w:jc w:val="center"/>
              <w:rPr>
                <w:b/>
                <w:color w:val="000000" w:themeColor="text1"/>
                <w:sz w:val="18"/>
                <w:szCs w:val="18"/>
                <w14:textFill>
                  <w14:solidFill>
                    <w14:schemeClr w14:val="tx1"/>
                  </w14:solidFill>
                </w14:textFill>
              </w:rPr>
            </w:pPr>
          </w:p>
        </w:tc>
        <w:tc>
          <w:tcPr>
            <w:tcW w:w="3516" w:type="dxa"/>
            <w:vAlign w:val="center"/>
          </w:tcPr>
          <w:p w14:paraId="256FF54F">
            <w:pPr>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学术活动</w:t>
            </w:r>
            <w:r>
              <w:rPr>
                <w:rFonts w:hint="eastAsia"/>
                <w:color w:val="000000" w:themeColor="text1"/>
                <w:sz w:val="18"/>
                <w:szCs w:val="18"/>
                <w:lang w:eastAsia="zh-CN"/>
                <w14:textFill>
                  <w14:solidFill>
                    <w14:schemeClr w14:val="tx1"/>
                  </w14:solidFill>
                </w14:textFill>
              </w:rPr>
              <w:t>与</w:t>
            </w:r>
            <w:r>
              <w:rPr>
                <w:rFonts w:hint="eastAsia"/>
                <w:color w:val="000000" w:themeColor="text1"/>
                <w:sz w:val="18"/>
                <w:szCs w:val="18"/>
                <w:lang w:val="en-US" w:eastAsia="zh-CN"/>
                <w14:textFill>
                  <w14:solidFill>
                    <w14:schemeClr w14:val="tx1"/>
                  </w14:solidFill>
                </w14:textFill>
              </w:rPr>
              <w:t>学科竞赛</w:t>
            </w:r>
          </w:p>
        </w:tc>
        <w:tc>
          <w:tcPr>
            <w:tcW w:w="1081" w:type="dxa"/>
            <w:shd w:val="clear" w:color="auto" w:fill="auto"/>
            <w:vAlign w:val="center"/>
          </w:tcPr>
          <w:p w14:paraId="3B699F63">
            <w:pPr>
              <w:jc w:val="center"/>
              <w:rPr>
                <w:rFonts w:hint="default" w:ascii="Times New Roman" w:hAnsi="Times New Roman" w:eastAsia="宋体" w:cs="Times New Roman"/>
                <w:i w:val="0"/>
                <w:iCs/>
                <w:color w:val="auto"/>
                <w:kern w:val="2"/>
                <w:sz w:val="18"/>
                <w:szCs w:val="18"/>
                <w:lang w:val="en-US" w:eastAsia="zh-CN" w:bidi="ar-SA"/>
              </w:rPr>
            </w:pPr>
            <w:r>
              <w:rPr>
                <w:rFonts w:hint="eastAsia"/>
                <w:i w:val="0"/>
                <w:iCs/>
                <w:color w:val="auto"/>
                <w:sz w:val="18"/>
                <w:szCs w:val="18"/>
                <w:lang w:val="en-US" w:eastAsia="zh-CN"/>
              </w:rPr>
              <w:t>XS0431216</w:t>
            </w:r>
          </w:p>
        </w:tc>
        <w:tc>
          <w:tcPr>
            <w:tcW w:w="709" w:type="dxa"/>
            <w:vAlign w:val="center"/>
          </w:tcPr>
          <w:p w14:paraId="7A653885">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3AA4433C">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1-5</w:t>
            </w:r>
          </w:p>
        </w:tc>
        <w:tc>
          <w:tcPr>
            <w:tcW w:w="1045" w:type="dxa"/>
            <w:vMerge w:val="continue"/>
            <w:vAlign w:val="center"/>
          </w:tcPr>
          <w:p w14:paraId="03968DC1">
            <w:pPr>
              <w:jc w:val="center"/>
              <w:rPr>
                <w:color w:val="000000" w:themeColor="text1"/>
                <w:sz w:val="18"/>
                <w:szCs w:val="18"/>
                <w14:textFill>
                  <w14:solidFill>
                    <w14:schemeClr w14:val="tx1"/>
                  </w14:solidFill>
                </w14:textFill>
              </w:rPr>
            </w:pPr>
          </w:p>
        </w:tc>
      </w:tr>
      <w:tr w14:paraId="792915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D28399">
            <w:pPr>
              <w:rPr>
                <w:b/>
                <w:color w:val="000000" w:themeColor="text1"/>
                <w:sz w:val="18"/>
                <w:szCs w:val="18"/>
                <w14:textFill>
                  <w14:solidFill>
                    <w14:schemeClr w14:val="tx1"/>
                  </w14:solidFill>
                </w14:textFill>
              </w:rPr>
            </w:pPr>
          </w:p>
        </w:tc>
        <w:tc>
          <w:tcPr>
            <w:tcW w:w="1226" w:type="dxa"/>
            <w:vMerge w:val="restart"/>
            <w:vAlign w:val="center"/>
          </w:tcPr>
          <w:p w14:paraId="0F19735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4B6722A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362682D7">
            <w:pPr>
              <w:jc w:val="center"/>
              <w:rPr>
                <w:color w:val="000000" w:themeColor="text1"/>
                <w:sz w:val="18"/>
                <w:szCs w:val="18"/>
                <w14:textFill>
                  <w14:solidFill>
                    <w14:schemeClr w14:val="tx1"/>
                  </w14:solidFill>
                </w14:textFill>
              </w:rPr>
            </w:pPr>
          </w:p>
        </w:tc>
        <w:tc>
          <w:tcPr>
            <w:tcW w:w="709" w:type="dxa"/>
            <w:vAlign w:val="center"/>
          </w:tcPr>
          <w:p w14:paraId="3AA7E1C3">
            <w:pPr>
              <w:jc w:val="center"/>
              <w:rPr>
                <w:color w:val="000000" w:themeColor="text1"/>
                <w:sz w:val="18"/>
                <w:szCs w:val="18"/>
                <w14:textFill>
                  <w14:solidFill>
                    <w14:schemeClr w14:val="tx1"/>
                  </w14:solidFill>
                </w14:textFill>
              </w:rPr>
            </w:pPr>
          </w:p>
        </w:tc>
        <w:tc>
          <w:tcPr>
            <w:tcW w:w="709" w:type="dxa"/>
            <w:vAlign w:val="center"/>
          </w:tcPr>
          <w:p w14:paraId="12F3F21B">
            <w:pPr>
              <w:jc w:val="center"/>
              <w:rPr>
                <w:rFonts w:hint="eastAsia" w:eastAsia="宋体"/>
                <w:i w:val="0"/>
                <w:iCs/>
                <w:color w:val="auto"/>
                <w:sz w:val="18"/>
                <w:szCs w:val="18"/>
                <w:lang w:eastAsia="zh-CN"/>
              </w:rPr>
            </w:pPr>
            <w:r>
              <w:rPr>
                <w:rFonts w:hint="eastAsia"/>
                <w:i w:val="0"/>
                <w:iCs/>
                <w:color w:val="auto"/>
                <w:sz w:val="18"/>
                <w:szCs w:val="18"/>
                <w:lang w:val="en-US" w:eastAsia="zh-CN"/>
              </w:rPr>
              <w:t>3</w:t>
            </w:r>
          </w:p>
        </w:tc>
        <w:tc>
          <w:tcPr>
            <w:tcW w:w="1045" w:type="dxa"/>
            <w:vMerge w:val="restart"/>
            <w:vAlign w:val="center"/>
          </w:tcPr>
          <w:p w14:paraId="40B77DD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DE1278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541426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4377BE">
            <w:pPr>
              <w:rPr>
                <w:b/>
                <w:color w:val="000000" w:themeColor="text1"/>
                <w:sz w:val="18"/>
                <w:szCs w:val="18"/>
                <w14:textFill>
                  <w14:solidFill>
                    <w14:schemeClr w14:val="tx1"/>
                  </w14:solidFill>
                </w14:textFill>
              </w:rPr>
            </w:pPr>
          </w:p>
        </w:tc>
        <w:tc>
          <w:tcPr>
            <w:tcW w:w="1226" w:type="dxa"/>
            <w:vMerge w:val="continue"/>
            <w:vAlign w:val="center"/>
          </w:tcPr>
          <w:p w14:paraId="5A9BF885">
            <w:pPr>
              <w:jc w:val="center"/>
              <w:rPr>
                <w:b/>
                <w:color w:val="000000" w:themeColor="text1"/>
                <w:sz w:val="18"/>
                <w:szCs w:val="18"/>
                <w14:textFill>
                  <w14:solidFill>
                    <w14:schemeClr w14:val="tx1"/>
                  </w14:solidFill>
                </w14:textFill>
              </w:rPr>
            </w:pPr>
          </w:p>
        </w:tc>
        <w:tc>
          <w:tcPr>
            <w:tcW w:w="3516" w:type="dxa"/>
            <w:vAlign w:val="center"/>
          </w:tcPr>
          <w:p w14:paraId="163BBA7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21998FE6">
            <w:pPr>
              <w:jc w:val="center"/>
              <w:rPr>
                <w:color w:val="000000" w:themeColor="text1"/>
                <w:sz w:val="18"/>
                <w:szCs w:val="18"/>
                <w14:textFill>
                  <w14:solidFill>
                    <w14:schemeClr w14:val="tx1"/>
                  </w14:solidFill>
                </w14:textFill>
              </w:rPr>
            </w:pPr>
          </w:p>
        </w:tc>
        <w:tc>
          <w:tcPr>
            <w:tcW w:w="709" w:type="dxa"/>
            <w:vAlign w:val="center"/>
          </w:tcPr>
          <w:p w14:paraId="403592F3">
            <w:pPr>
              <w:jc w:val="center"/>
              <w:rPr>
                <w:color w:val="000000" w:themeColor="text1"/>
                <w:sz w:val="18"/>
                <w:szCs w:val="18"/>
                <w14:textFill>
                  <w14:solidFill>
                    <w14:schemeClr w14:val="tx1"/>
                  </w14:solidFill>
                </w14:textFill>
              </w:rPr>
            </w:pPr>
          </w:p>
        </w:tc>
        <w:tc>
          <w:tcPr>
            <w:tcW w:w="709" w:type="dxa"/>
            <w:vAlign w:val="center"/>
          </w:tcPr>
          <w:p w14:paraId="5F9FD3E5">
            <w:pPr>
              <w:jc w:val="center"/>
              <w:rPr>
                <w:rFonts w:hint="eastAsia" w:eastAsia="宋体"/>
                <w:i w:val="0"/>
                <w:iCs/>
                <w:color w:val="auto"/>
                <w:sz w:val="18"/>
                <w:szCs w:val="18"/>
                <w:lang w:eastAsia="zh-CN"/>
              </w:rPr>
            </w:pPr>
            <w:r>
              <w:rPr>
                <w:rFonts w:hint="eastAsia"/>
                <w:i w:val="0"/>
                <w:iCs/>
                <w:color w:val="auto"/>
                <w:sz w:val="18"/>
                <w:szCs w:val="18"/>
                <w:lang w:val="en-US" w:eastAsia="zh-CN"/>
              </w:rPr>
              <w:t>4</w:t>
            </w:r>
          </w:p>
        </w:tc>
        <w:tc>
          <w:tcPr>
            <w:tcW w:w="1045" w:type="dxa"/>
            <w:vMerge w:val="continue"/>
            <w:vAlign w:val="center"/>
          </w:tcPr>
          <w:p w14:paraId="68D5DF60">
            <w:pPr>
              <w:jc w:val="center"/>
              <w:rPr>
                <w:color w:val="000000" w:themeColor="text1"/>
                <w:sz w:val="18"/>
                <w:szCs w:val="18"/>
                <w14:textFill>
                  <w14:solidFill>
                    <w14:schemeClr w14:val="tx1"/>
                  </w14:solidFill>
                </w14:textFill>
              </w:rPr>
            </w:pPr>
          </w:p>
        </w:tc>
      </w:tr>
      <w:tr w14:paraId="64D628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71D8E54">
            <w:pPr>
              <w:rPr>
                <w:b/>
                <w:color w:val="000000" w:themeColor="text1"/>
                <w:sz w:val="18"/>
                <w:szCs w:val="18"/>
                <w14:textFill>
                  <w14:solidFill>
                    <w14:schemeClr w14:val="tx1"/>
                  </w14:solidFill>
                </w14:textFill>
              </w:rPr>
            </w:pPr>
          </w:p>
        </w:tc>
        <w:tc>
          <w:tcPr>
            <w:tcW w:w="1226" w:type="dxa"/>
            <w:vMerge w:val="continue"/>
            <w:vAlign w:val="center"/>
          </w:tcPr>
          <w:p w14:paraId="1A2EE035">
            <w:pPr>
              <w:jc w:val="center"/>
              <w:rPr>
                <w:b/>
                <w:color w:val="000000" w:themeColor="text1"/>
                <w:sz w:val="18"/>
                <w:szCs w:val="18"/>
                <w14:textFill>
                  <w14:solidFill>
                    <w14:schemeClr w14:val="tx1"/>
                  </w14:solidFill>
                </w14:textFill>
              </w:rPr>
            </w:pPr>
          </w:p>
        </w:tc>
        <w:tc>
          <w:tcPr>
            <w:tcW w:w="3516" w:type="dxa"/>
            <w:vAlign w:val="center"/>
          </w:tcPr>
          <w:p w14:paraId="08BE8A1E">
            <w:pPr>
              <w:rPr>
                <w:sz w:val="18"/>
                <w:szCs w:val="18"/>
              </w:rPr>
            </w:pPr>
            <w:r>
              <w:rPr>
                <w:sz w:val="18"/>
                <w:szCs w:val="18"/>
              </w:rPr>
              <w:t>论文中期进展报告</w:t>
            </w:r>
          </w:p>
        </w:tc>
        <w:tc>
          <w:tcPr>
            <w:tcW w:w="1081" w:type="dxa"/>
            <w:vAlign w:val="center"/>
          </w:tcPr>
          <w:p w14:paraId="33BD260D">
            <w:pPr>
              <w:jc w:val="center"/>
              <w:rPr>
                <w:color w:val="000000" w:themeColor="text1"/>
                <w:sz w:val="18"/>
                <w:szCs w:val="18"/>
                <w14:textFill>
                  <w14:solidFill>
                    <w14:schemeClr w14:val="tx1"/>
                  </w14:solidFill>
                </w14:textFill>
              </w:rPr>
            </w:pPr>
          </w:p>
        </w:tc>
        <w:tc>
          <w:tcPr>
            <w:tcW w:w="709" w:type="dxa"/>
            <w:vAlign w:val="center"/>
          </w:tcPr>
          <w:p w14:paraId="14EE2F99">
            <w:pPr>
              <w:jc w:val="center"/>
              <w:rPr>
                <w:color w:val="000000" w:themeColor="text1"/>
                <w:sz w:val="18"/>
                <w:szCs w:val="18"/>
                <w14:textFill>
                  <w14:solidFill>
                    <w14:schemeClr w14:val="tx1"/>
                  </w14:solidFill>
                </w14:textFill>
              </w:rPr>
            </w:pPr>
          </w:p>
        </w:tc>
        <w:tc>
          <w:tcPr>
            <w:tcW w:w="709" w:type="dxa"/>
            <w:vAlign w:val="center"/>
          </w:tcPr>
          <w:p w14:paraId="53938F7C">
            <w:pPr>
              <w:jc w:val="center"/>
              <w:rPr>
                <w:rFonts w:hint="default" w:eastAsia="宋体"/>
                <w:i w:val="0"/>
                <w:iCs/>
                <w:color w:val="auto"/>
                <w:sz w:val="18"/>
                <w:szCs w:val="18"/>
                <w:lang w:val="en-US" w:eastAsia="zh-CN"/>
              </w:rPr>
            </w:pPr>
            <w:r>
              <w:rPr>
                <w:rFonts w:hint="eastAsia"/>
                <w:i w:val="0"/>
                <w:iCs/>
                <w:color w:val="auto"/>
                <w:sz w:val="18"/>
                <w:szCs w:val="18"/>
                <w:lang w:val="en-US" w:eastAsia="zh-CN"/>
              </w:rPr>
              <w:t>5</w:t>
            </w:r>
          </w:p>
        </w:tc>
        <w:tc>
          <w:tcPr>
            <w:tcW w:w="1045" w:type="dxa"/>
            <w:vMerge w:val="continue"/>
          </w:tcPr>
          <w:p w14:paraId="600FDCE7">
            <w:pPr>
              <w:jc w:val="center"/>
              <w:rPr>
                <w:color w:val="000000" w:themeColor="text1"/>
                <w:sz w:val="18"/>
                <w:szCs w:val="18"/>
                <w14:textFill>
                  <w14:solidFill>
                    <w14:schemeClr w14:val="tx1"/>
                  </w14:solidFill>
                </w14:textFill>
              </w:rPr>
            </w:pPr>
          </w:p>
        </w:tc>
      </w:tr>
      <w:tr w14:paraId="27E3F8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B887C0E">
            <w:pPr>
              <w:rPr>
                <w:b/>
                <w:color w:val="000000" w:themeColor="text1"/>
                <w:sz w:val="18"/>
                <w:szCs w:val="18"/>
                <w14:textFill>
                  <w14:solidFill>
                    <w14:schemeClr w14:val="tx1"/>
                  </w14:solidFill>
                </w14:textFill>
              </w:rPr>
            </w:pPr>
          </w:p>
        </w:tc>
        <w:tc>
          <w:tcPr>
            <w:tcW w:w="1226" w:type="dxa"/>
            <w:vMerge w:val="continue"/>
            <w:vAlign w:val="center"/>
          </w:tcPr>
          <w:p w14:paraId="36771725">
            <w:pPr>
              <w:jc w:val="center"/>
              <w:rPr>
                <w:b/>
                <w:color w:val="000000" w:themeColor="text1"/>
                <w:sz w:val="18"/>
                <w:szCs w:val="18"/>
                <w14:textFill>
                  <w14:solidFill>
                    <w14:schemeClr w14:val="tx1"/>
                  </w14:solidFill>
                </w14:textFill>
              </w:rPr>
            </w:pPr>
          </w:p>
        </w:tc>
        <w:tc>
          <w:tcPr>
            <w:tcW w:w="3516" w:type="dxa"/>
            <w:vAlign w:val="center"/>
          </w:tcPr>
          <w:p w14:paraId="1B5FA9DC">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6109C28">
            <w:pPr>
              <w:jc w:val="center"/>
              <w:rPr>
                <w:color w:val="000000" w:themeColor="text1"/>
                <w:sz w:val="18"/>
                <w:szCs w:val="18"/>
                <w14:textFill>
                  <w14:solidFill>
                    <w14:schemeClr w14:val="tx1"/>
                  </w14:solidFill>
                </w14:textFill>
              </w:rPr>
            </w:pPr>
          </w:p>
        </w:tc>
        <w:tc>
          <w:tcPr>
            <w:tcW w:w="709" w:type="dxa"/>
            <w:vAlign w:val="center"/>
          </w:tcPr>
          <w:p w14:paraId="023DBD91">
            <w:pPr>
              <w:jc w:val="center"/>
              <w:rPr>
                <w:color w:val="000000" w:themeColor="text1"/>
                <w:sz w:val="18"/>
                <w:szCs w:val="18"/>
                <w14:textFill>
                  <w14:solidFill>
                    <w14:schemeClr w14:val="tx1"/>
                  </w14:solidFill>
                </w14:textFill>
              </w:rPr>
            </w:pPr>
          </w:p>
        </w:tc>
        <w:tc>
          <w:tcPr>
            <w:tcW w:w="709" w:type="dxa"/>
            <w:vAlign w:val="center"/>
          </w:tcPr>
          <w:p w14:paraId="05FF1100">
            <w:pPr>
              <w:jc w:val="center"/>
              <w:rPr>
                <w:rFonts w:hint="default" w:eastAsia="宋体"/>
                <w:i w:val="0"/>
                <w:iCs/>
                <w:color w:val="auto"/>
                <w:sz w:val="18"/>
                <w:szCs w:val="18"/>
                <w:lang w:val="en-US" w:eastAsia="zh-CN"/>
              </w:rPr>
            </w:pPr>
            <w:r>
              <w:rPr>
                <w:rFonts w:hint="eastAsia"/>
                <w:i w:val="0"/>
                <w:iCs/>
                <w:color w:val="auto"/>
                <w:sz w:val="18"/>
                <w:szCs w:val="18"/>
                <w:lang w:val="en-US" w:eastAsia="zh-CN"/>
              </w:rPr>
              <w:t>6</w:t>
            </w:r>
          </w:p>
        </w:tc>
        <w:tc>
          <w:tcPr>
            <w:tcW w:w="1045" w:type="dxa"/>
            <w:vMerge w:val="continue"/>
          </w:tcPr>
          <w:p w14:paraId="460DF0CB">
            <w:pPr>
              <w:jc w:val="center"/>
              <w:rPr>
                <w:color w:val="000000" w:themeColor="text1"/>
                <w:sz w:val="18"/>
                <w:szCs w:val="18"/>
                <w14:textFill>
                  <w14:solidFill>
                    <w14:schemeClr w14:val="tx1"/>
                  </w14:solidFill>
                </w14:textFill>
              </w:rPr>
            </w:pPr>
          </w:p>
        </w:tc>
      </w:tr>
      <w:tr w14:paraId="01DF19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37E925">
            <w:pPr>
              <w:rPr>
                <w:color w:val="000000" w:themeColor="text1"/>
                <w:sz w:val="18"/>
                <w:szCs w:val="18"/>
                <w14:textFill>
                  <w14:solidFill>
                    <w14:schemeClr w14:val="tx1"/>
                  </w14:solidFill>
                </w14:textFill>
              </w:rPr>
            </w:pPr>
          </w:p>
        </w:tc>
        <w:tc>
          <w:tcPr>
            <w:tcW w:w="1226" w:type="dxa"/>
            <w:vMerge w:val="continue"/>
          </w:tcPr>
          <w:p w14:paraId="70D9B623">
            <w:pPr>
              <w:jc w:val="center"/>
              <w:rPr>
                <w:color w:val="000000" w:themeColor="text1"/>
                <w:sz w:val="18"/>
                <w:szCs w:val="18"/>
                <w14:textFill>
                  <w14:solidFill>
                    <w14:schemeClr w14:val="tx1"/>
                  </w14:solidFill>
                </w14:textFill>
              </w:rPr>
            </w:pPr>
          </w:p>
        </w:tc>
        <w:tc>
          <w:tcPr>
            <w:tcW w:w="3516" w:type="dxa"/>
            <w:vAlign w:val="center"/>
          </w:tcPr>
          <w:p w14:paraId="2D6F48C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4D415BB4">
            <w:pPr>
              <w:jc w:val="center"/>
              <w:rPr>
                <w:color w:val="000000" w:themeColor="text1"/>
                <w:sz w:val="18"/>
                <w:szCs w:val="18"/>
                <w14:textFill>
                  <w14:solidFill>
                    <w14:schemeClr w14:val="tx1"/>
                  </w14:solidFill>
                </w14:textFill>
              </w:rPr>
            </w:pPr>
          </w:p>
        </w:tc>
        <w:tc>
          <w:tcPr>
            <w:tcW w:w="709" w:type="dxa"/>
            <w:vAlign w:val="center"/>
          </w:tcPr>
          <w:p w14:paraId="3293E947">
            <w:pPr>
              <w:jc w:val="center"/>
              <w:rPr>
                <w:color w:val="000000" w:themeColor="text1"/>
                <w:sz w:val="18"/>
                <w:szCs w:val="18"/>
                <w14:textFill>
                  <w14:solidFill>
                    <w14:schemeClr w14:val="tx1"/>
                  </w14:solidFill>
                </w14:textFill>
              </w:rPr>
            </w:pPr>
          </w:p>
        </w:tc>
        <w:tc>
          <w:tcPr>
            <w:tcW w:w="709" w:type="dxa"/>
            <w:vAlign w:val="center"/>
          </w:tcPr>
          <w:p w14:paraId="7918C0A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1867A4E">
            <w:pPr>
              <w:jc w:val="center"/>
              <w:rPr>
                <w:color w:val="000000" w:themeColor="text1"/>
                <w:sz w:val="18"/>
                <w:szCs w:val="18"/>
                <w14:textFill>
                  <w14:solidFill>
                    <w14:schemeClr w14:val="tx1"/>
                  </w14:solidFill>
                </w14:textFill>
              </w:rPr>
            </w:pPr>
          </w:p>
        </w:tc>
      </w:tr>
      <w:tr w14:paraId="2D1D8E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0804A6">
            <w:pPr>
              <w:rPr>
                <w:color w:val="000000" w:themeColor="text1"/>
                <w:sz w:val="18"/>
                <w:szCs w:val="18"/>
                <w14:textFill>
                  <w14:solidFill>
                    <w14:schemeClr w14:val="tx1"/>
                  </w14:solidFill>
                </w14:textFill>
              </w:rPr>
            </w:pPr>
          </w:p>
        </w:tc>
        <w:tc>
          <w:tcPr>
            <w:tcW w:w="1226" w:type="dxa"/>
            <w:vMerge w:val="continue"/>
          </w:tcPr>
          <w:p w14:paraId="753E64D8">
            <w:pPr>
              <w:jc w:val="center"/>
              <w:rPr>
                <w:color w:val="000000" w:themeColor="text1"/>
                <w:sz w:val="18"/>
                <w:szCs w:val="18"/>
                <w14:textFill>
                  <w14:solidFill>
                    <w14:schemeClr w14:val="tx1"/>
                  </w14:solidFill>
                </w14:textFill>
              </w:rPr>
            </w:pPr>
          </w:p>
        </w:tc>
        <w:tc>
          <w:tcPr>
            <w:tcW w:w="3516" w:type="dxa"/>
            <w:vAlign w:val="center"/>
          </w:tcPr>
          <w:p w14:paraId="4CF370C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10FE5A7F">
            <w:pPr>
              <w:jc w:val="center"/>
              <w:rPr>
                <w:color w:val="000000" w:themeColor="text1"/>
                <w:sz w:val="18"/>
                <w:szCs w:val="18"/>
                <w14:textFill>
                  <w14:solidFill>
                    <w14:schemeClr w14:val="tx1"/>
                  </w14:solidFill>
                </w14:textFill>
              </w:rPr>
            </w:pPr>
          </w:p>
        </w:tc>
        <w:tc>
          <w:tcPr>
            <w:tcW w:w="709" w:type="dxa"/>
            <w:vAlign w:val="center"/>
          </w:tcPr>
          <w:p w14:paraId="2E113BDE">
            <w:pPr>
              <w:jc w:val="center"/>
              <w:rPr>
                <w:color w:val="000000" w:themeColor="text1"/>
                <w:sz w:val="18"/>
                <w:szCs w:val="18"/>
                <w14:textFill>
                  <w14:solidFill>
                    <w14:schemeClr w14:val="tx1"/>
                  </w14:solidFill>
                </w14:textFill>
              </w:rPr>
            </w:pPr>
          </w:p>
        </w:tc>
        <w:tc>
          <w:tcPr>
            <w:tcW w:w="709" w:type="dxa"/>
            <w:vAlign w:val="center"/>
          </w:tcPr>
          <w:p w14:paraId="2584DA8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65AB703">
            <w:pPr>
              <w:jc w:val="center"/>
              <w:rPr>
                <w:color w:val="000000" w:themeColor="text1"/>
                <w:sz w:val="18"/>
                <w:szCs w:val="18"/>
                <w14:textFill>
                  <w14:solidFill>
                    <w14:schemeClr w14:val="tx1"/>
                  </w14:solidFill>
                </w14:textFill>
              </w:rPr>
            </w:pPr>
          </w:p>
        </w:tc>
      </w:tr>
    </w:tbl>
    <w:p w14:paraId="76292D94">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1F20A9D">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46EFF3D">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C78995F">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4E1A5674">
      <w:pPr>
        <w:spacing w:line="440" w:lineRule="exact"/>
        <w:ind w:firstLine="480" w:firstLineChars="200"/>
        <w:rPr>
          <w:rFonts w:hint="eastAsia" w:eastAsiaTheme="minorEastAsia"/>
          <w:bCs/>
          <w:sz w:val="24"/>
          <w:highlight w:val="none"/>
          <w:lang w:val="en-US" w:eastAsia="zh-CN"/>
        </w:rPr>
      </w:pPr>
      <w:r>
        <w:rPr>
          <w:rFonts w:hint="eastAsia" w:eastAsiaTheme="minorEastAsia"/>
          <w:bCs/>
          <w:sz w:val="24"/>
          <w:highlight w:val="none"/>
          <w:lang w:val="en-US" w:eastAsia="zh-CN"/>
        </w:rPr>
        <w:t>3. 完成以下条件（每条件对应1学分，A条件为必选条件，B条件中任选一项），可获得学术活动与学科竞赛学分。</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1"/>
        <w:gridCol w:w="7291"/>
      </w:tblGrid>
      <w:tr w14:paraId="2D8B75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5AFAC5BB">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代码</w:t>
            </w:r>
          </w:p>
        </w:tc>
        <w:tc>
          <w:tcPr>
            <w:tcW w:w="7291" w:type="dxa"/>
          </w:tcPr>
          <w:p w14:paraId="298FEAB3">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条件</w:t>
            </w:r>
          </w:p>
        </w:tc>
      </w:tr>
      <w:tr w14:paraId="73440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63EEE247">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A</w:t>
            </w:r>
          </w:p>
        </w:tc>
        <w:tc>
          <w:tcPr>
            <w:tcW w:w="7291" w:type="dxa"/>
          </w:tcPr>
          <w:p w14:paraId="1B79A811">
            <w:pPr>
              <w:spacing w:line="440" w:lineRule="exact"/>
              <w:rPr>
                <w:rFonts w:hint="default" w:eastAsiaTheme="minorEastAsia"/>
                <w:bCs/>
                <w:sz w:val="18"/>
                <w:szCs w:val="18"/>
                <w:highlight w:val="none"/>
                <w:vertAlign w:val="baseline"/>
                <w:lang w:val="en-US" w:eastAsia="zh-CN"/>
              </w:rPr>
            </w:pPr>
            <w:r>
              <w:rPr>
                <w:rFonts w:hint="eastAsia" w:eastAsiaTheme="minorEastAsia"/>
                <w:bCs/>
                <w:sz w:val="18"/>
                <w:szCs w:val="18"/>
                <w:highlight w:val="none"/>
                <w:vertAlign w:val="baseline"/>
                <w:lang w:val="en-US" w:eastAsia="zh-CN"/>
              </w:rPr>
              <w:t>完成本方案中“九、毕业条件”中第2条</w:t>
            </w:r>
          </w:p>
        </w:tc>
      </w:tr>
      <w:tr w14:paraId="49C7F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4E7AF07A">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B-1</w:t>
            </w:r>
          </w:p>
        </w:tc>
        <w:tc>
          <w:tcPr>
            <w:tcW w:w="7291" w:type="dxa"/>
          </w:tcPr>
          <w:p w14:paraId="3897B68C">
            <w:pPr>
              <w:spacing w:line="440" w:lineRule="exact"/>
              <w:rPr>
                <w:rFonts w:hint="default" w:eastAsiaTheme="minorEastAsia"/>
                <w:bCs/>
                <w:sz w:val="18"/>
                <w:szCs w:val="18"/>
                <w:highlight w:val="none"/>
                <w:vertAlign w:val="baseline"/>
                <w:lang w:val="en-US" w:eastAsia="zh-CN"/>
              </w:rPr>
            </w:pPr>
            <w:r>
              <w:rPr>
                <w:rFonts w:hint="eastAsia" w:eastAsiaTheme="minorEastAsia"/>
                <w:bCs/>
                <w:sz w:val="18"/>
                <w:szCs w:val="18"/>
                <w:highlight w:val="none"/>
                <w:vertAlign w:val="baseline"/>
                <w:lang w:val="en-US" w:eastAsia="zh-CN"/>
              </w:rPr>
              <w:t>作为负责人申报研究生创新资助项目并获得学院良好及以上评价</w:t>
            </w:r>
          </w:p>
        </w:tc>
      </w:tr>
      <w:tr w14:paraId="1F75B5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4628730F">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B-2</w:t>
            </w:r>
          </w:p>
        </w:tc>
        <w:tc>
          <w:tcPr>
            <w:tcW w:w="7291" w:type="dxa"/>
          </w:tcPr>
          <w:p w14:paraId="10525237">
            <w:pPr>
              <w:spacing w:line="440" w:lineRule="exact"/>
              <w:rPr>
                <w:rFonts w:hint="default" w:eastAsiaTheme="minorEastAsia"/>
                <w:bCs/>
                <w:sz w:val="18"/>
                <w:szCs w:val="18"/>
                <w:highlight w:val="none"/>
                <w:vertAlign w:val="baseline"/>
                <w:lang w:val="en-US" w:eastAsia="zh-CN"/>
              </w:rPr>
            </w:pPr>
            <w:r>
              <w:rPr>
                <w:rFonts w:hint="default" w:eastAsiaTheme="minorEastAsia"/>
                <w:bCs/>
                <w:sz w:val="18"/>
                <w:szCs w:val="18"/>
                <w:highlight w:val="none"/>
                <w:vertAlign w:val="baseline"/>
                <w:lang w:val="en-US" w:eastAsia="zh-CN"/>
              </w:rPr>
              <w:t>参与学校认可的高水平大赛</w:t>
            </w:r>
            <w:r>
              <w:rPr>
                <w:rFonts w:hint="eastAsia" w:eastAsiaTheme="minorEastAsia"/>
                <w:bCs/>
                <w:sz w:val="18"/>
                <w:szCs w:val="18"/>
                <w:highlight w:val="none"/>
                <w:vertAlign w:val="baseline"/>
                <w:lang w:val="en-US" w:eastAsia="zh-CN"/>
              </w:rPr>
              <w:t>并至少获得校级以上奖项</w:t>
            </w:r>
            <w:r>
              <w:rPr>
                <w:rFonts w:hint="default" w:eastAsiaTheme="minorEastAsia"/>
                <w:bCs/>
                <w:sz w:val="18"/>
                <w:szCs w:val="18"/>
                <w:highlight w:val="none"/>
                <w:vertAlign w:val="baseline"/>
                <w:lang w:val="en-US" w:eastAsia="zh-CN"/>
              </w:rPr>
              <w:t>，以</w:t>
            </w:r>
            <w:r>
              <w:rPr>
                <w:rFonts w:hint="eastAsia" w:eastAsiaTheme="minorEastAsia"/>
                <w:bCs/>
                <w:sz w:val="18"/>
                <w:szCs w:val="18"/>
                <w:highlight w:val="none"/>
                <w:vertAlign w:val="baseline"/>
                <w:lang w:val="en-US" w:eastAsia="zh-CN"/>
              </w:rPr>
              <w:t>获奖</w:t>
            </w:r>
            <w:r>
              <w:rPr>
                <w:rFonts w:hint="default" w:eastAsiaTheme="minorEastAsia"/>
                <w:bCs/>
                <w:sz w:val="18"/>
                <w:szCs w:val="18"/>
                <w:highlight w:val="none"/>
                <w:vertAlign w:val="baseline"/>
                <w:lang w:val="en-US" w:eastAsia="zh-CN"/>
              </w:rPr>
              <w:t>证明文件为准。具体赛事清单以《河北大学学生课外学术科技竞赛分级目录》</w:t>
            </w:r>
            <w:r>
              <w:rPr>
                <w:rFonts w:hint="eastAsia" w:eastAsiaTheme="minorEastAsia"/>
                <w:bCs/>
                <w:sz w:val="18"/>
                <w:szCs w:val="18"/>
                <w:highlight w:val="none"/>
                <w:vertAlign w:val="baseline"/>
                <w:lang w:val="en-US" w:eastAsia="zh-CN"/>
              </w:rPr>
              <w:t>为准。</w:t>
            </w:r>
          </w:p>
        </w:tc>
      </w:tr>
      <w:tr w14:paraId="38C73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31" w:type="dxa"/>
          </w:tcPr>
          <w:p w14:paraId="0164B2B1">
            <w:pPr>
              <w:spacing w:line="440" w:lineRule="exact"/>
              <w:rPr>
                <w:rFonts w:hint="default" w:eastAsiaTheme="minorEastAsia"/>
                <w:b/>
                <w:bCs w:val="0"/>
                <w:sz w:val="18"/>
                <w:szCs w:val="18"/>
                <w:highlight w:val="none"/>
                <w:vertAlign w:val="baseline"/>
                <w:lang w:val="en-US" w:eastAsia="zh-CN"/>
              </w:rPr>
            </w:pPr>
            <w:r>
              <w:rPr>
                <w:rFonts w:hint="eastAsia" w:eastAsiaTheme="minorEastAsia"/>
                <w:b/>
                <w:bCs w:val="0"/>
                <w:sz w:val="18"/>
                <w:szCs w:val="18"/>
                <w:highlight w:val="none"/>
                <w:vertAlign w:val="baseline"/>
                <w:lang w:val="en-US" w:eastAsia="zh-CN"/>
              </w:rPr>
              <w:t>B-3</w:t>
            </w:r>
          </w:p>
        </w:tc>
        <w:tc>
          <w:tcPr>
            <w:tcW w:w="7291" w:type="dxa"/>
          </w:tcPr>
          <w:p w14:paraId="2A8EC787">
            <w:pPr>
              <w:spacing w:line="440" w:lineRule="exact"/>
              <w:rPr>
                <w:rFonts w:hint="default" w:eastAsiaTheme="minorEastAsia"/>
                <w:bCs/>
                <w:sz w:val="18"/>
                <w:szCs w:val="18"/>
                <w:highlight w:val="none"/>
                <w:vertAlign w:val="baseline"/>
                <w:lang w:val="en-US" w:eastAsia="zh-CN"/>
              </w:rPr>
            </w:pPr>
            <w:r>
              <w:rPr>
                <w:rFonts w:hint="eastAsia" w:eastAsiaTheme="minorEastAsia"/>
                <w:bCs/>
                <w:sz w:val="18"/>
                <w:szCs w:val="18"/>
                <w:highlight w:val="none"/>
                <w:vertAlign w:val="baseline"/>
                <w:lang w:val="en-US" w:eastAsia="zh-CN"/>
              </w:rPr>
              <w:t>完成本方案中“十、创新性成果”条件之一</w:t>
            </w:r>
          </w:p>
        </w:tc>
      </w:tr>
    </w:tbl>
    <w:p w14:paraId="378ABAEC">
      <w:pPr>
        <w:spacing w:line="440" w:lineRule="exact"/>
        <w:ind w:firstLine="480" w:firstLineChars="200"/>
        <w:rPr>
          <w:rFonts w:hint="default" w:eastAsiaTheme="minorEastAsia"/>
          <w:bCs/>
          <w:sz w:val="24"/>
          <w:highlight w:val="none"/>
          <w:lang w:val="en-US" w:eastAsia="zh-CN"/>
        </w:rPr>
      </w:pPr>
    </w:p>
    <w:p w14:paraId="6553F305">
      <w:pPr>
        <w:spacing w:line="440" w:lineRule="exact"/>
        <w:ind w:firstLine="480" w:firstLineChars="200"/>
        <w:rPr>
          <w:rFonts w:hint="default" w:eastAsiaTheme="minorEastAsia"/>
          <w:bCs/>
          <w:sz w:val="24"/>
          <w:highlight w:val="non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mYTJlM2FhNWJlZmMwZjFlZWQ4MTUyODdhMGRhZTQifQ=="/>
  </w:docVars>
  <w:rsids>
    <w:rsidRoot w:val="07DD78FE"/>
    <w:rsid w:val="01284C10"/>
    <w:rsid w:val="031E1229"/>
    <w:rsid w:val="04B54A0D"/>
    <w:rsid w:val="071B463F"/>
    <w:rsid w:val="0EBB0CC2"/>
    <w:rsid w:val="0F7B797C"/>
    <w:rsid w:val="0FB474F6"/>
    <w:rsid w:val="107F6714"/>
    <w:rsid w:val="10EA0134"/>
    <w:rsid w:val="14213FC1"/>
    <w:rsid w:val="186A0451"/>
    <w:rsid w:val="18CB25F9"/>
    <w:rsid w:val="1A646862"/>
    <w:rsid w:val="1BA03591"/>
    <w:rsid w:val="205729C5"/>
    <w:rsid w:val="22C5224F"/>
    <w:rsid w:val="245F1650"/>
    <w:rsid w:val="2B2B78CB"/>
    <w:rsid w:val="2E8D2F6A"/>
    <w:rsid w:val="32904240"/>
    <w:rsid w:val="332A3AF1"/>
    <w:rsid w:val="338A172E"/>
    <w:rsid w:val="3504797F"/>
    <w:rsid w:val="35894D48"/>
    <w:rsid w:val="36777A25"/>
    <w:rsid w:val="3A940645"/>
    <w:rsid w:val="3AAC289A"/>
    <w:rsid w:val="3DBE7C7D"/>
    <w:rsid w:val="3FC03DD7"/>
    <w:rsid w:val="43E20674"/>
    <w:rsid w:val="44770634"/>
    <w:rsid w:val="478B71EF"/>
    <w:rsid w:val="4B563FD8"/>
    <w:rsid w:val="4BEB7BAC"/>
    <w:rsid w:val="4CE70AA9"/>
    <w:rsid w:val="4E7C5BF8"/>
    <w:rsid w:val="4F8B434C"/>
    <w:rsid w:val="509A4323"/>
    <w:rsid w:val="53400F13"/>
    <w:rsid w:val="5955323E"/>
    <w:rsid w:val="59A21E45"/>
    <w:rsid w:val="5DA84AAB"/>
    <w:rsid w:val="5EEB267A"/>
    <w:rsid w:val="5FC03B07"/>
    <w:rsid w:val="629B2407"/>
    <w:rsid w:val="63A4086C"/>
    <w:rsid w:val="63C82F8A"/>
    <w:rsid w:val="6471301B"/>
    <w:rsid w:val="69CB7DEE"/>
    <w:rsid w:val="73A86934"/>
    <w:rsid w:val="7AD02C89"/>
    <w:rsid w:val="7E282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4431</Words>
  <Characters>4739</Characters>
  <Lines>0</Lines>
  <Paragraphs>0</Paragraphs>
  <TotalTime>123</TotalTime>
  <ScaleCrop>false</ScaleCrop>
  <LinksUpToDate>false</LinksUpToDate>
  <CharactersWithSpaces>4760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2025-03-23T08:05:00Z</dcterms:created>
  <dc:creator>墨流苏</dc:creator>
  <cp:lastModifiedBy>送送</cp:lastModifiedBy>
  <cp:lastPrinted>2025-03-24T08:42:00Z</cp:lastPrinted>
  <dcterms:modified xsi:type="dcterms:W3CDTF">2025-07-11T10:12:06Z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4AFAB92152AB4F77A97087C52989B0F9_13</vt:lpwstr>
  </property>
  <property fmtid="{D5CDD505-2E9C-101B-9397-08002B2CF9AE}" pid="4" name="KSOTemplateDocerSaveRecord">
    <vt:lpwstr>eyJoZGlkIjoiNDVlZmQyZjg4MzI5NTBhYmIyZWMxYjk4MzMyMTIwYWMiLCJ1c2VySWQiOiI0MzA0MzQzNjkifQ==</vt:lpwstr>
  </property>
</Properties>
</file>