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93DF79">
      <w:pPr>
        <w:ind w:left="321" w:leftChars="153" w:right="227"/>
        <w:jc w:val="center"/>
        <w:rPr>
          <w:rFonts w:asciiTheme="majorEastAsia" w:hAnsiTheme="majorEastAsia" w:eastAsiaTheme="majorEastAsia"/>
          <w:b/>
          <w:bCs/>
          <w:sz w:val="36"/>
          <w:szCs w:val="36"/>
        </w:rPr>
      </w:pPr>
      <w:r>
        <w:rPr>
          <w:rFonts w:hint="eastAsia" w:asciiTheme="majorEastAsia" w:hAnsiTheme="majorEastAsia" w:eastAsiaTheme="majorEastAsia"/>
          <w:b/>
          <w:bCs/>
          <w:iCs/>
          <w:sz w:val="36"/>
          <w:szCs w:val="36"/>
          <w:u w:val="single"/>
        </w:rPr>
        <w:t xml:space="preserve"> 会计 </w:t>
      </w:r>
      <w:r>
        <w:rPr>
          <w:rFonts w:hint="eastAsia" w:asciiTheme="majorEastAsia" w:hAnsiTheme="majorEastAsia" w:eastAsiaTheme="majorEastAsia"/>
          <w:b/>
          <w:bCs/>
          <w:sz w:val="36"/>
          <w:szCs w:val="36"/>
        </w:rPr>
        <w:t>全日制专业学位硕士研究生培养方案</w:t>
      </w:r>
    </w:p>
    <w:p w14:paraId="07012C5C">
      <w:pPr>
        <w:ind w:left="321" w:leftChars="153" w:right="227"/>
        <w:jc w:val="center"/>
        <w:rPr>
          <w:rFonts w:asciiTheme="majorEastAsia" w:hAnsiTheme="majorEastAsia" w:eastAsiaTheme="majorEastAsia"/>
          <w:b/>
          <w:bCs/>
          <w:sz w:val="28"/>
          <w:szCs w:val="28"/>
        </w:rPr>
      </w:pPr>
      <w:r>
        <w:rPr>
          <w:rFonts w:hint="eastAsia" w:asciiTheme="majorEastAsia" w:hAnsiTheme="majorEastAsia" w:eastAsiaTheme="majorEastAsia"/>
          <w:b/>
          <w:bCs/>
          <w:sz w:val="28"/>
          <w:szCs w:val="28"/>
        </w:rPr>
        <w:t>（管理学院</w:t>
      </w:r>
      <w:r>
        <w:rPr>
          <w:rFonts w:asciiTheme="majorEastAsia" w:hAnsiTheme="majorEastAsia" w:eastAsiaTheme="majorEastAsia"/>
          <w:b/>
          <w:bCs/>
          <w:sz w:val="28"/>
          <w:szCs w:val="28"/>
        </w:rPr>
        <w:t>)</w:t>
      </w:r>
    </w:p>
    <w:p w14:paraId="6EB15730">
      <w:pPr>
        <w:spacing w:line="360" w:lineRule="auto"/>
        <w:ind w:firstLine="560"/>
        <w:jc w:val="both"/>
        <w:rPr>
          <w:rFonts w:eastAsia="黑体"/>
          <w:b/>
          <w:bCs w:val="0"/>
          <w:sz w:val="28"/>
          <w:szCs w:val="28"/>
        </w:rPr>
      </w:pPr>
      <w:r>
        <w:rPr>
          <w:rFonts w:eastAsia="黑体"/>
          <w:b/>
          <w:bCs w:val="0"/>
          <w:sz w:val="28"/>
          <w:szCs w:val="28"/>
        </w:rPr>
        <w:t>一、专业名称、代码</w:t>
      </w:r>
    </w:p>
    <w:p w14:paraId="6FDB95F3">
      <w:pPr>
        <w:keepNext w:val="0"/>
        <w:keepLines w:val="0"/>
        <w:pageBreakBefore w:val="0"/>
        <w:widowControl/>
        <w:kinsoku/>
        <w:wordWrap/>
        <w:overflowPunct/>
        <w:topLinePunct w:val="0"/>
        <w:autoSpaceDE/>
        <w:autoSpaceDN/>
        <w:bidi w:val="0"/>
        <w:adjustRightInd/>
        <w:snapToGrid/>
        <w:spacing w:line="360" w:lineRule="auto"/>
        <w:ind w:firstLine="960" w:firstLineChars="400"/>
        <w:jc w:val="both"/>
        <w:textAlignment w:val="auto"/>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val="en-US" w:eastAsia="zh-CN"/>
        </w:rPr>
        <w:t>会计</w:t>
      </w:r>
    </w:p>
    <w:p w14:paraId="49E24574">
      <w:pPr>
        <w:keepNext w:val="0"/>
        <w:keepLines w:val="0"/>
        <w:pageBreakBefore w:val="0"/>
        <w:widowControl/>
        <w:kinsoku/>
        <w:wordWrap/>
        <w:overflowPunct/>
        <w:topLinePunct w:val="0"/>
        <w:autoSpaceDE/>
        <w:autoSpaceDN/>
        <w:bidi w:val="0"/>
        <w:adjustRightInd/>
        <w:snapToGrid/>
        <w:spacing w:line="360" w:lineRule="auto"/>
        <w:ind w:firstLine="960" w:firstLineChars="400"/>
        <w:jc w:val="both"/>
        <w:textAlignment w:val="auto"/>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1253</w:t>
      </w:r>
    </w:p>
    <w:p w14:paraId="7B6297A8">
      <w:pPr>
        <w:spacing w:line="360" w:lineRule="auto"/>
        <w:ind w:firstLine="560"/>
        <w:jc w:val="both"/>
        <w:rPr>
          <w:rFonts w:eastAsia="黑体"/>
          <w:b/>
          <w:bCs w:val="0"/>
          <w:sz w:val="28"/>
          <w:szCs w:val="28"/>
        </w:rPr>
      </w:pPr>
      <w:r>
        <w:rPr>
          <w:rFonts w:hint="eastAsia" w:eastAsia="黑体"/>
          <w:b/>
          <w:bCs w:val="0"/>
          <w:sz w:val="28"/>
          <w:szCs w:val="28"/>
          <w:lang w:val="en-US" w:eastAsia="zh-CN"/>
        </w:rPr>
        <w:t>二</w:t>
      </w:r>
      <w:r>
        <w:rPr>
          <w:rFonts w:hint="eastAsia" w:eastAsia="黑体"/>
          <w:b/>
          <w:bCs w:val="0"/>
          <w:sz w:val="28"/>
          <w:szCs w:val="28"/>
        </w:rPr>
        <w:t>、</w:t>
      </w:r>
      <w:r>
        <w:rPr>
          <w:rFonts w:hint="eastAsia" w:eastAsia="黑体"/>
          <w:b/>
          <w:bCs w:val="0"/>
          <w:sz w:val="28"/>
          <w:szCs w:val="28"/>
          <w:lang w:val="en-US" w:eastAsia="zh-CN"/>
        </w:rPr>
        <w:t>专业</w:t>
      </w:r>
      <w:r>
        <w:rPr>
          <w:rFonts w:hint="eastAsia" w:eastAsia="黑体"/>
          <w:b/>
          <w:bCs w:val="0"/>
          <w:sz w:val="28"/>
          <w:szCs w:val="28"/>
        </w:rPr>
        <w:t>简介</w:t>
      </w:r>
    </w:p>
    <w:p w14:paraId="457EF4C6">
      <w:pPr>
        <w:keepNext w:val="0"/>
        <w:keepLines w:val="0"/>
        <w:pageBreakBefore w:val="0"/>
        <w:widowControl/>
        <w:kinsoku/>
        <w:wordWrap/>
        <w:overflowPunct/>
        <w:topLinePunct w:val="0"/>
        <w:autoSpaceDE/>
        <w:autoSpaceDN/>
        <w:bidi w:val="0"/>
        <w:adjustRightInd/>
        <w:snapToGrid/>
        <w:spacing w:after="150" w:line="360" w:lineRule="auto"/>
        <w:ind w:firstLine="480" w:firstLineChars="200"/>
        <w:jc w:val="both"/>
        <w:textAlignment w:val="auto"/>
        <w:rPr>
          <w:rFonts w:asciiTheme="minorEastAsia" w:hAnsiTheme="minorEastAsia" w:eastAsiaTheme="minorEastAsia"/>
          <w:iCs/>
          <w:sz w:val="24"/>
        </w:rPr>
      </w:pPr>
      <w:r>
        <w:rPr>
          <w:rFonts w:hint="eastAsia" w:asciiTheme="minorEastAsia" w:hAnsiTheme="minorEastAsia" w:eastAsiaTheme="minorEastAsia"/>
          <w:iCs/>
          <w:sz w:val="24"/>
        </w:rPr>
        <w:t>会计专业学位授权点于</w:t>
      </w:r>
      <w:r>
        <w:rPr>
          <w:rFonts w:asciiTheme="minorEastAsia" w:hAnsiTheme="minorEastAsia" w:eastAsiaTheme="minorEastAsia"/>
          <w:iCs/>
          <w:sz w:val="24"/>
        </w:rPr>
        <w:t>2010</w:t>
      </w:r>
      <w:r>
        <w:rPr>
          <w:rFonts w:hint="eastAsia" w:asciiTheme="minorEastAsia" w:hAnsiTheme="minorEastAsia" w:eastAsiaTheme="minorEastAsia"/>
          <w:iCs/>
          <w:sz w:val="24"/>
        </w:rPr>
        <w:t>年获批，目前设有财务与金融管理、企业风险管理与审计、会计信息系统与大数据、智能财务</w:t>
      </w:r>
      <w:r>
        <w:rPr>
          <w:rFonts w:hint="eastAsia" w:asciiTheme="minorEastAsia" w:hAnsiTheme="minorEastAsia" w:eastAsiaTheme="minorEastAsia"/>
          <w:iCs/>
          <w:sz w:val="24"/>
          <w:lang w:val="en-US" w:eastAsia="zh-CN"/>
        </w:rPr>
        <w:t>四</w:t>
      </w:r>
      <w:r>
        <w:rPr>
          <w:rFonts w:hint="eastAsia" w:asciiTheme="minorEastAsia" w:hAnsiTheme="minorEastAsia" w:eastAsiaTheme="minorEastAsia"/>
          <w:iCs/>
          <w:sz w:val="24"/>
        </w:rPr>
        <w:t>个研究方向。其中特色研究方向是智能财务，该方向依托扎实的财会</w:t>
      </w:r>
      <w:r>
        <w:rPr>
          <w:rFonts w:hint="eastAsia" w:asciiTheme="minorEastAsia" w:hAnsiTheme="minorEastAsia" w:eastAsiaTheme="minorEastAsia"/>
          <w:iCs/>
          <w:sz w:val="24"/>
          <w:highlight w:val="none"/>
        </w:rPr>
        <w:t>理论和实务研究基础，结合“大智移云</w:t>
      </w:r>
      <w:r>
        <w:rPr>
          <w:rFonts w:hint="eastAsia" w:asciiTheme="minorEastAsia" w:hAnsiTheme="minorEastAsia" w:eastAsiaTheme="minorEastAsia"/>
          <w:iCs/>
          <w:sz w:val="24"/>
          <w:highlight w:val="none"/>
          <w:lang w:eastAsia="zh-CN"/>
        </w:rPr>
        <w:t>物区</w:t>
      </w:r>
      <w:r>
        <w:rPr>
          <w:rFonts w:hint="eastAsia" w:asciiTheme="minorEastAsia" w:hAnsiTheme="minorEastAsia" w:eastAsiaTheme="minorEastAsia"/>
          <w:iCs/>
          <w:sz w:val="24"/>
          <w:highlight w:val="none"/>
        </w:rPr>
        <w:t>”时代的发展需要，主要培养能够全面掌握</w:t>
      </w:r>
      <w:r>
        <w:rPr>
          <w:rFonts w:asciiTheme="minorEastAsia" w:hAnsiTheme="minorEastAsia" w:eastAsiaTheme="minorEastAsia"/>
          <w:iCs/>
          <w:sz w:val="24"/>
          <w:highlight w:val="none"/>
        </w:rPr>
        <w:t>基于业财融合的智能财务共享、基于商业智能的智能管理会计和基于人工智能的智能财务</w:t>
      </w:r>
      <w:r>
        <w:rPr>
          <w:rFonts w:hint="eastAsia" w:asciiTheme="minorEastAsia" w:hAnsiTheme="minorEastAsia" w:eastAsiaTheme="minorEastAsia"/>
          <w:iCs/>
          <w:sz w:val="24"/>
          <w:highlight w:val="none"/>
          <w:lang w:eastAsia="zh-CN"/>
        </w:rPr>
        <w:t>会计</w:t>
      </w:r>
      <w:r>
        <w:rPr>
          <w:rFonts w:asciiTheme="minorEastAsia" w:hAnsiTheme="minorEastAsia" w:eastAsiaTheme="minorEastAsia"/>
          <w:iCs/>
          <w:sz w:val="24"/>
          <w:highlight w:val="none"/>
        </w:rPr>
        <w:t>的高素质复合型财会人才。</w:t>
      </w:r>
      <w:r>
        <w:rPr>
          <w:rFonts w:hint="eastAsia" w:asciiTheme="minorEastAsia" w:hAnsiTheme="minorEastAsia" w:eastAsiaTheme="minorEastAsia"/>
          <w:iCs/>
          <w:sz w:val="24"/>
          <w:highlight w:val="none"/>
        </w:rPr>
        <w:t>会计专业学位研究生培养注重学科交叉互融校园文化的人文教育，以服务地方经济为己任，树立开放式教育理念，突出相关会计及管理理论的应用性和实践性，运用聘请校外导师、采用案例教学等方式，</w:t>
      </w:r>
      <w:r>
        <w:rPr>
          <w:rFonts w:hint="eastAsia" w:asciiTheme="minorEastAsia" w:hAnsiTheme="minorEastAsia" w:eastAsiaTheme="minorEastAsia"/>
          <w:iCs/>
          <w:sz w:val="24"/>
        </w:rPr>
        <w:t>实现课堂教学与社会实践的有机结合。</w:t>
      </w:r>
    </w:p>
    <w:p w14:paraId="4507AC33">
      <w:pPr>
        <w:spacing w:line="360" w:lineRule="auto"/>
        <w:ind w:firstLine="560"/>
        <w:jc w:val="both"/>
        <w:rPr>
          <w:rFonts w:hint="eastAsia" w:eastAsia="黑体"/>
          <w:b/>
          <w:bCs w:val="0"/>
          <w:sz w:val="28"/>
          <w:szCs w:val="28"/>
          <w:lang w:val="en-US" w:eastAsia="zh-CN"/>
        </w:rPr>
      </w:pPr>
      <w:r>
        <w:rPr>
          <w:rFonts w:hint="eastAsia" w:eastAsia="黑体"/>
          <w:b/>
          <w:bCs w:val="0"/>
          <w:sz w:val="28"/>
          <w:szCs w:val="28"/>
          <w:lang w:val="en-US" w:eastAsia="zh-CN"/>
        </w:rPr>
        <w:t>三、研究方向</w:t>
      </w:r>
    </w:p>
    <w:p w14:paraId="43F8401B">
      <w:pPr>
        <w:widowControl/>
        <w:spacing w:after="150" w:line="360" w:lineRule="auto"/>
        <w:ind w:firstLine="480" w:firstLineChars="200"/>
        <w:jc w:val="both"/>
        <w:rPr>
          <w:rFonts w:asciiTheme="minorEastAsia" w:hAnsiTheme="minorEastAsia" w:eastAsiaTheme="minorEastAsia"/>
          <w:iCs/>
          <w:sz w:val="24"/>
        </w:rPr>
      </w:pPr>
      <w:r>
        <w:rPr>
          <w:rFonts w:asciiTheme="minorEastAsia" w:hAnsiTheme="minorEastAsia" w:eastAsiaTheme="minorEastAsia"/>
          <w:iCs/>
          <w:sz w:val="24"/>
        </w:rPr>
        <w:t>1</w:t>
      </w:r>
      <w:r>
        <w:rPr>
          <w:rFonts w:hint="eastAsia" w:asciiTheme="minorEastAsia" w:hAnsiTheme="minorEastAsia" w:eastAsiaTheme="minorEastAsia"/>
          <w:iCs/>
          <w:sz w:val="24"/>
        </w:rPr>
        <w:t>.财务与金融管理</w:t>
      </w:r>
    </w:p>
    <w:p w14:paraId="0969F1DF">
      <w:pPr>
        <w:widowControl/>
        <w:spacing w:after="150" w:line="360" w:lineRule="auto"/>
        <w:ind w:firstLine="480" w:firstLineChars="200"/>
        <w:jc w:val="both"/>
        <w:rPr>
          <w:rFonts w:asciiTheme="minorEastAsia" w:hAnsiTheme="minorEastAsia" w:eastAsiaTheme="minorEastAsia"/>
          <w:iCs/>
          <w:sz w:val="24"/>
          <w:highlight w:val="none"/>
        </w:rPr>
      </w:pPr>
      <w:r>
        <w:rPr>
          <w:rFonts w:hint="eastAsia" w:asciiTheme="minorEastAsia" w:hAnsiTheme="minorEastAsia" w:eastAsiaTheme="minorEastAsia"/>
          <w:iCs/>
          <w:sz w:val="24"/>
        </w:rPr>
        <w:t>本方向主要学习公司财务管理与金融市场的相关理论、方法及其最新研究成果。培养和提高学生在结合现代公司财务与金融市场实践的基础上</w:t>
      </w:r>
      <w:r>
        <w:rPr>
          <w:rFonts w:hint="eastAsia" w:asciiTheme="minorEastAsia" w:hAnsiTheme="minorEastAsia" w:eastAsiaTheme="minorEastAsia"/>
          <w:iCs/>
          <w:sz w:val="24"/>
          <w:highlight w:val="none"/>
        </w:rPr>
        <w:t>，运用经济学、金融学、理财学及相关学科的理论与方法，分析</w:t>
      </w:r>
      <w:r>
        <w:rPr>
          <w:rFonts w:hint="eastAsia" w:asciiTheme="minorEastAsia" w:hAnsiTheme="minorEastAsia" w:eastAsiaTheme="minorEastAsia"/>
          <w:iCs/>
          <w:sz w:val="24"/>
          <w:highlight w:val="none"/>
          <w:lang w:eastAsia="zh-CN"/>
        </w:rPr>
        <w:t>和</w:t>
      </w:r>
      <w:r>
        <w:rPr>
          <w:rFonts w:hint="eastAsia" w:asciiTheme="minorEastAsia" w:hAnsiTheme="minorEastAsia" w:eastAsiaTheme="minorEastAsia"/>
          <w:iCs/>
          <w:sz w:val="24"/>
          <w:highlight w:val="none"/>
        </w:rPr>
        <w:t>解决财务与金融问题的能力。提高学生的企业资本运营能力和</w:t>
      </w:r>
      <w:r>
        <w:rPr>
          <w:rFonts w:hint="eastAsia" w:asciiTheme="minorEastAsia" w:hAnsiTheme="minorEastAsia" w:eastAsiaTheme="minorEastAsia"/>
          <w:iCs/>
          <w:sz w:val="24"/>
          <w:highlight w:val="none"/>
          <w:lang w:eastAsia="zh-CN"/>
        </w:rPr>
        <w:t>对</w:t>
      </w:r>
      <w:r>
        <w:rPr>
          <w:rFonts w:hint="eastAsia" w:asciiTheme="minorEastAsia" w:hAnsiTheme="minorEastAsia" w:eastAsiaTheme="minorEastAsia"/>
          <w:iCs/>
          <w:sz w:val="24"/>
          <w:highlight w:val="none"/>
        </w:rPr>
        <w:t>财务管理机制的理解能力，帮助企业实现健康的财务运行机制。</w:t>
      </w:r>
    </w:p>
    <w:p w14:paraId="4E62B37E">
      <w:pPr>
        <w:widowControl/>
        <w:spacing w:after="150" w:line="360" w:lineRule="auto"/>
        <w:ind w:firstLine="480" w:firstLineChars="200"/>
        <w:jc w:val="both"/>
        <w:rPr>
          <w:rFonts w:asciiTheme="minorEastAsia" w:hAnsiTheme="minorEastAsia" w:eastAsiaTheme="minorEastAsia"/>
          <w:iCs/>
          <w:sz w:val="24"/>
          <w:highlight w:val="none"/>
        </w:rPr>
      </w:pPr>
      <w:r>
        <w:rPr>
          <w:rFonts w:hint="eastAsia" w:asciiTheme="minorEastAsia" w:hAnsiTheme="minorEastAsia" w:eastAsiaTheme="minorEastAsia"/>
          <w:iCs/>
          <w:sz w:val="24"/>
          <w:highlight w:val="none"/>
          <w:lang w:val="en-US" w:eastAsia="zh-CN"/>
        </w:rPr>
        <w:t>2</w:t>
      </w:r>
      <w:r>
        <w:rPr>
          <w:rFonts w:hint="eastAsia" w:asciiTheme="minorEastAsia" w:hAnsiTheme="minorEastAsia" w:eastAsiaTheme="minorEastAsia"/>
          <w:iCs/>
          <w:sz w:val="24"/>
          <w:highlight w:val="none"/>
        </w:rPr>
        <w:t>.</w:t>
      </w:r>
      <w:r>
        <w:rPr>
          <w:rFonts w:hint="eastAsia" w:asciiTheme="minorEastAsia" w:hAnsiTheme="minorEastAsia" w:eastAsiaTheme="minorEastAsia"/>
          <w:iCs/>
          <w:sz w:val="24"/>
          <w:highlight w:val="none"/>
          <w:lang w:val="en-US" w:eastAsia="zh-CN"/>
        </w:rPr>
        <w:t>公司治理</w:t>
      </w:r>
      <w:r>
        <w:rPr>
          <w:rFonts w:hint="eastAsia" w:asciiTheme="minorEastAsia" w:hAnsiTheme="minorEastAsia" w:eastAsiaTheme="minorEastAsia"/>
          <w:iCs/>
          <w:sz w:val="24"/>
          <w:highlight w:val="none"/>
        </w:rPr>
        <w:t>与审计</w:t>
      </w:r>
    </w:p>
    <w:p w14:paraId="4D551D6B">
      <w:pPr>
        <w:widowControl/>
        <w:spacing w:after="150" w:line="360" w:lineRule="auto"/>
        <w:ind w:firstLine="480" w:firstLineChars="200"/>
        <w:jc w:val="both"/>
        <w:rPr>
          <w:rFonts w:hint="eastAsia" w:asciiTheme="minorEastAsia" w:hAnsiTheme="minorEastAsia" w:eastAsiaTheme="minorEastAsia"/>
          <w:iCs/>
          <w:sz w:val="24"/>
        </w:rPr>
      </w:pPr>
      <w:r>
        <w:rPr>
          <w:rFonts w:hint="eastAsia" w:asciiTheme="minorEastAsia" w:hAnsiTheme="minorEastAsia" w:eastAsiaTheme="minorEastAsia"/>
          <w:iCs/>
          <w:sz w:val="24"/>
          <w:lang w:eastAsia="zh-CN"/>
        </w:rPr>
        <w:t>本方向主要是学习审计的基本概念、职能特征、公司治理和风险管理等内容，包括审计风险、审计方法、审计报告、公司治理理论与实践以及风险管理策略和方法等。‌通过理论与实践的结合，增强学生的审计理论水平，并提高解决实际问题的能力‌。培养具备优良政治素质和职业道德的审计专业人才，他们系统掌握现代审计学基础理论及各领域相关知识技能，帮助企业提升治理效能，降低经营风险，拥有开阔的国际视野和强大的专业能力，能够创造性地开展审计工作。</w:t>
      </w:r>
    </w:p>
    <w:p w14:paraId="6C1F2D1B">
      <w:pPr>
        <w:widowControl/>
        <w:spacing w:after="150" w:line="360" w:lineRule="auto"/>
        <w:ind w:firstLine="480" w:firstLineChars="200"/>
        <w:jc w:val="both"/>
        <w:rPr>
          <w:rFonts w:asciiTheme="minorEastAsia" w:hAnsiTheme="minorEastAsia" w:eastAsiaTheme="minorEastAsia"/>
          <w:iCs/>
          <w:sz w:val="24"/>
        </w:rPr>
      </w:pPr>
      <w:r>
        <w:rPr>
          <w:rFonts w:hint="eastAsia" w:asciiTheme="minorEastAsia" w:hAnsiTheme="minorEastAsia" w:eastAsiaTheme="minorEastAsia"/>
          <w:iCs/>
          <w:sz w:val="24"/>
          <w:lang w:val="en-US" w:eastAsia="zh-CN"/>
        </w:rPr>
        <w:t>3</w:t>
      </w:r>
      <w:r>
        <w:rPr>
          <w:rFonts w:asciiTheme="minorEastAsia" w:hAnsiTheme="minorEastAsia" w:eastAsiaTheme="minorEastAsia"/>
          <w:iCs/>
          <w:sz w:val="24"/>
        </w:rPr>
        <w:t>.</w:t>
      </w:r>
      <w:r>
        <w:rPr>
          <w:rFonts w:hint="eastAsia" w:asciiTheme="minorEastAsia" w:hAnsiTheme="minorEastAsia" w:eastAsiaTheme="minorEastAsia"/>
          <w:iCs/>
          <w:sz w:val="24"/>
        </w:rPr>
        <w:t>会计信息系统与大数据</w:t>
      </w:r>
    </w:p>
    <w:p w14:paraId="03D858E2">
      <w:pPr>
        <w:widowControl/>
        <w:spacing w:after="150" w:line="360" w:lineRule="auto"/>
        <w:ind w:firstLine="480" w:firstLineChars="200"/>
        <w:jc w:val="both"/>
        <w:rPr>
          <w:rFonts w:asciiTheme="minorEastAsia" w:hAnsiTheme="minorEastAsia" w:eastAsiaTheme="minorEastAsia"/>
          <w:iCs/>
          <w:sz w:val="24"/>
          <w:highlight w:val="none"/>
        </w:rPr>
      </w:pPr>
      <w:r>
        <w:rPr>
          <w:rFonts w:hint="eastAsia" w:asciiTheme="minorEastAsia" w:hAnsiTheme="minorEastAsia" w:eastAsiaTheme="minorEastAsia"/>
          <w:iCs/>
          <w:sz w:val="24"/>
          <w:highlight w:val="none"/>
          <w:lang w:eastAsia="zh-CN"/>
        </w:rPr>
        <w:t>本方向</w:t>
      </w:r>
      <w:r>
        <w:rPr>
          <w:rFonts w:hint="eastAsia" w:asciiTheme="minorEastAsia" w:hAnsiTheme="minorEastAsia" w:eastAsiaTheme="minorEastAsia"/>
          <w:iCs/>
          <w:sz w:val="24"/>
          <w:highlight w:val="none"/>
        </w:rPr>
        <w:t>主要研究在大数据背景下，优化</w:t>
      </w:r>
      <w:r>
        <w:rPr>
          <w:rFonts w:asciiTheme="minorEastAsia" w:hAnsiTheme="minorEastAsia" w:eastAsiaTheme="minorEastAsia"/>
          <w:iCs/>
          <w:sz w:val="24"/>
          <w:highlight w:val="none"/>
        </w:rPr>
        <w:t>会计信息系统的</w:t>
      </w:r>
      <w:r>
        <w:rPr>
          <w:rFonts w:hint="eastAsia" w:asciiTheme="minorEastAsia" w:hAnsiTheme="minorEastAsia" w:eastAsiaTheme="minorEastAsia"/>
          <w:iCs/>
          <w:sz w:val="24"/>
          <w:highlight w:val="none"/>
        </w:rPr>
        <w:t>数据质量、</w:t>
      </w:r>
      <w:r>
        <w:rPr>
          <w:rFonts w:asciiTheme="minorEastAsia" w:hAnsiTheme="minorEastAsia" w:eastAsiaTheme="minorEastAsia"/>
          <w:iCs/>
          <w:sz w:val="24"/>
          <w:highlight w:val="none"/>
        </w:rPr>
        <w:t>信息系统存储功能</w:t>
      </w:r>
      <w:r>
        <w:rPr>
          <w:rFonts w:hint="eastAsia" w:asciiTheme="minorEastAsia" w:hAnsiTheme="minorEastAsia" w:eastAsiaTheme="minorEastAsia"/>
          <w:iCs/>
          <w:sz w:val="24"/>
          <w:highlight w:val="none"/>
        </w:rPr>
        <w:t>、</w:t>
      </w:r>
      <w:r>
        <w:rPr>
          <w:rFonts w:asciiTheme="minorEastAsia" w:hAnsiTheme="minorEastAsia" w:eastAsiaTheme="minorEastAsia"/>
          <w:iCs/>
          <w:sz w:val="24"/>
          <w:highlight w:val="none"/>
        </w:rPr>
        <w:t>管理信息系统分析功能</w:t>
      </w:r>
      <w:r>
        <w:rPr>
          <w:rFonts w:hint="eastAsia" w:asciiTheme="minorEastAsia" w:hAnsiTheme="minorEastAsia" w:eastAsiaTheme="minorEastAsia"/>
          <w:iCs/>
          <w:sz w:val="24"/>
          <w:highlight w:val="none"/>
        </w:rPr>
        <w:t>、</w:t>
      </w:r>
      <w:r>
        <w:rPr>
          <w:rFonts w:asciiTheme="minorEastAsia" w:hAnsiTheme="minorEastAsia" w:eastAsiaTheme="minorEastAsia"/>
          <w:iCs/>
          <w:sz w:val="24"/>
          <w:highlight w:val="none"/>
        </w:rPr>
        <w:t>管理信息系统决策功能</w:t>
      </w:r>
      <w:r>
        <w:rPr>
          <w:rFonts w:hint="eastAsia" w:asciiTheme="minorEastAsia" w:hAnsiTheme="minorEastAsia" w:eastAsiaTheme="minorEastAsia"/>
          <w:iCs/>
          <w:sz w:val="24"/>
          <w:highlight w:val="none"/>
        </w:rPr>
        <w:t>以及</w:t>
      </w:r>
      <w:r>
        <w:rPr>
          <w:rFonts w:asciiTheme="minorEastAsia" w:hAnsiTheme="minorEastAsia" w:eastAsiaTheme="minorEastAsia"/>
          <w:iCs/>
          <w:sz w:val="24"/>
          <w:highlight w:val="none"/>
        </w:rPr>
        <w:t>各子系统的协调</w:t>
      </w:r>
      <w:r>
        <w:rPr>
          <w:rFonts w:hint="eastAsia" w:asciiTheme="minorEastAsia" w:hAnsiTheme="minorEastAsia" w:eastAsiaTheme="minorEastAsia"/>
          <w:iCs/>
          <w:sz w:val="24"/>
          <w:highlight w:val="none"/>
        </w:rPr>
        <w:t>机制；</w:t>
      </w:r>
      <w:r>
        <w:rPr>
          <w:rFonts w:asciiTheme="minorEastAsia" w:hAnsiTheme="minorEastAsia" w:eastAsiaTheme="minorEastAsia"/>
          <w:iCs/>
          <w:sz w:val="24"/>
          <w:highlight w:val="none"/>
        </w:rPr>
        <w:t>通过对账务处理子系统处理流程、数据文件、总体结构的分析和</w:t>
      </w:r>
      <w:r>
        <w:rPr>
          <w:rFonts w:hint="eastAsia" w:asciiTheme="minorEastAsia" w:hAnsiTheme="minorEastAsia" w:eastAsiaTheme="minorEastAsia"/>
          <w:iCs/>
          <w:sz w:val="24"/>
          <w:highlight w:val="none"/>
        </w:rPr>
        <w:t>设计</w:t>
      </w:r>
      <w:r>
        <w:rPr>
          <w:rFonts w:asciiTheme="minorEastAsia" w:hAnsiTheme="minorEastAsia" w:eastAsiaTheme="minorEastAsia"/>
          <w:iCs/>
          <w:sz w:val="24"/>
          <w:highlight w:val="none"/>
        </w:rPr>
        <w:t>，掌握计算机技术</w:t>
      </w:r>
      <w:r>
        <w:rPr>
          <w:rFonts w:hint="eastAsia" w:asciiTheme="minorEastAsia" w:hAnsiTheme="minorEastAsia" w:eastAsiaTheme="minorEastAsia"/>
          <w:iCs/>
          <w:sz w:val="24"/>
          <w:highlight w:val="none"/>
        </w:rPr>
        <w:t>和大数据技术在</w:t>
      </w:r>
      <w:r>
        <w:rPr>
          <w:rFonts w:asciiTheme="minorEastAsia" w:hAnsiTheme="minorEastAsia" w:eastAsiaTheme="minorEastAsia"/>
          <w:iCs/>
          <w:sz w:val="24"/>
          <w:highlight w:val="none"/>
        </w:rPr>
        <w:t>会计信息系统</w:t>
      </w:r>
      <w:r>
        <w:rPr>
          <w:rFonts w:hint="eastAsia" w:asciiTheme="minorEastAsia" w:hAnsiTheme="minorEastAsia" w:eastAsiaTheme="minorEastAsia"/>
          <w:iCs/>
          <w:sz w:val="24"/>
          <w:highlight w:val="none"/>
        </w:rPr>
        <w:t>中的应用</w:t>
      </w:r>
      <w:r>
        <w:rPr>
          <w:rFonts w:asciiTheme="minorEastAsia" w:hAnsiTheme="minorEastAsia" w:eastAsiaTheme="minorEastAsia"/>
          <w:iCs/>
          <w:sz w:val="24"/>
          <w:highlight w:val="none"/>
        </w:rPr>
        <w:t>，并实现购销存及资金管理过程中会计数据的收集、加工、存储和输出的基本原理和</w:t>
      </w:r>
      <w:r>
        <w:rPr>
          <w:rFonts w:hint="eastAsia" w:asciiTheme="minorEastAsia" w:hAnsiTheme="minorEastAsia" w:eastAsiaTheme="minorEastAsia"/>
          <w:iCs/>
          <w:sz w:val="24"/>
          <w:highlight w:val="none"/>
        </w:rPr>
        <w:t>设计</w:t>
      </w:r>
      <w:r>
        <w:rPr>
          <w:rFonts w:asciiTheme="minorEastAsia" w:hAnsiTheme="minorEastAsia" w:eastAsiaTheme="minorEastAsia"/>
          <w:iCs/>
          <w:sz w:val="24"/>
          <w:highlight w:val="none"/>
        </w:rPr>
        <w:t>方法。</w:t>
      </w:r>
    </w:p>
    <w:p w14:paraId="26503E8E">
      <w:pPr>
        <w:widowControl/>
        <w:spacing w:after="150" w:line="360" w:lineRule="auto"/>
        <w:ind w:firstLine="480" w:firstLineChars="200"/>
        <w:jc w:val="both"/>
        <w:rPr>
          <w:rFonts w:asciiTheme="minorEastAsia" w:hAnsiTheme="minorEastAsia" w:eastAsiaTheme="minorEastAsia"/>
          <w:iCs/>
          <w:sz w:val="24"/>
          <w:highlight w:val="none"/>
        </w:rPr>
      </w:pPr>
      <w:r>
        <w:rPr>
          <w:rFonts w:hint="eastAsia" w:asciiTheme="minorEastAsia" w:hAnsiTheme="minorEastAsia" w:eastAsiaTheme="minorEastAsia"/>
          <w:iCs/>
          <w:sz w:val="24"/>
          <w:highlight w:val="none"/>
          <w:lang w:val="en-US" w:eastAsia="zh-CN"/>
        </w:rPr>
        <w:t>4</w:t>
      </w:r>
      <w:r>
        <w:rPr>
          <w:rFonts w:asciiTheme="minorEastAsia" w:hAnsiTheme="minorEastAsia" w:eastAsiaTheme="minorEastAsia"/>
          <w:iCs/>
          <w:sz w:val="24"/>
          <w:highlight w:val="none"/>
        </w:rPr>
        <w:t>.</w:t>
      </w:r>
      <w:r>
        <w:rPr>
          <w:rFonts w:hint="eastAsia" w:asciiTheme="minorEastAsia" w:hAnsiTheme="minorEastAsia" w:eastAsiaTheme="minorEastAsia"/>
          <w:iCs/>
          <w:sz w:val="24"/>
          <w:highlight w:val="none"/>
        </w:rPr>
        <w:t>智能财务</w:t>
      </w:r>
    </w:p>
    <w:p w14:paraId="4C0C61B6">
      <w:pPr>
        <w:widowControl/>
        <w:spacing w:after="150" w:line="360" w:lineRule="auto"/>
        <w:ind w:firstLine="480" w:firstLineChars="200"/>
        <w:jc w:val="both"/>
        <w:rPr>
          <w:rFonts w:asciiTheme="minorEastAsia" w:hAnsiTheme="minorEastAsia" w:eastAsiaTheme="minorEastAsia"/>
          <w:iCs/>
          <w:sz w:val="24"/>
        </w:rPr>
      </w:pPr>
      <w:r>
        <w:rPr>
          <w:rFonts w:hint="eastAsia" w:asciiTheme="minorEastAsia" w:hAnsiTheme="minorEastAsia" w:eastAsiaTheme="minorEastAsia"/>
          <w:iCs/>
          <w:sz w:val="24"/>
          <w:highlight w:val="none"/>
        </w:rPr>
        <w:t>本方向在</w:t>
      </w:r>
      <w:r>
        <w:rPr>
          <w:rFonts w:asciiTheme="minorEastAsia" w:hAnsiTheme="minorEastAsia" w:eastAsiaTheme="minorEastAsia"/>
          <w:iCs/>
          <w:sz w:val="24"/>
          <w:highlight w:val="none"/>
        </w:rPr>
        <w:t>以“大智移云物区”等技术应用为</w:t>
      </w:r>
      <w:r>
        <w:rPr>
          <w:rFonts w:hint="eastAsia" w:asciiTheme="minorEastAsia" w:hAnsiTheme="minorEastAsia" w:eastAsiaTheme="minorEastAsia"/>
          <w:iCs/>
          <w:sz w:val="24"/>
          <w:highlight w:val="none"/>
          <w:lang w:eastAsia="zh-CN"/>
        </w:rPr>
        <w:t>主要</w:t>
      </w:r>
      <w:r>
        <w:rPr>
          <w:rFonts w:asciiTheme="minorEastAsia" w:hAnsiTheme="minorEastAsia" w:eastAsiaTheme="minorEastAsia"/>
          <w:iCs/>
          <w:sz w:val="24"/>
          <w:highlight w:val="none"/>
        </w:rPr>
        <w:t>特征的新数字经济的推动下</w:t>
      </w:r>
      <w:r>
        <w:rPr>
          <w:rFonts w:hint="eastAsia" w:asciiTheme="minorEastAsia" w:hAnsiTheme="minorEastAsia" w:eastAsiaTheme="minorEastAsia"/>
          <w:iCs/>
          <w:sz w:val="24"/>
          <w:highlight w:val="none"/>
        </w:rPr>
        <w:t>，研究</w:t>
      </w:r>
      <w:r>
        <w:rPr>
          <w:rFonts w:asciiTheme="minorEastAsia" w:hAnsiTheme="minorEastAsia" w:eastAsiaTheme="minorEastAsia"/>
          <w:iCs/>
          <w:sz w:val="24"/>
          <w:highlight w:val="none"/>
        </w:rPr>
        <w:t>财务管理理论模型化，通过智能</w:t>
      </w:r>
      <w:r>
        <w:rPr>
          <w:rFonts w:asciiTheme="minorEastAsia" w:hAnsiTheme="minorEastAsia" w:eastAsiaTheme="minorEastAsia"/>
          <w:iCs/>
          <w:sz w:val="24"/>
        </w:rPr>
        <w:t>匹配方式，将数据导入数据仓库或以数据仓库现有数据为分析对象</w:t>
      </w:r>
      <w:r>
        <w:rPr>
          <w:rFonts w:hint="eastAsia" w:asciiTheme="minorEastAsia" w:hAnsiTheme="minorEastAsia" w:eastAsiaTheme="minorEastAsia"/>
          <w:iCs/>
          <w:sz w:val="24"/>
        </w:rPr>
        <w:t>；</w:t>
      </w:r>
      <w:r>
        <w:rPr>
          <w:rFonts w:asciiTheme="minorEastAsia" w:hAnsiTheme="minorEastAsia" w:eastAsiaTheme="minorEastAsia"/>
          <w:iCs/>
          <w:sz w:val="24"/>
        </w:rPr>
        <w:t>根据财务管理模型，利用计算机高速准确的计算能力，对数据仓库中的数据进行处理，迅速得到企业经营诊断报告，形成经营决策建议。</w:t>
      </w:r>
      <w:r>
        <w:rPr>
          <w:rFonts w:hint="eastAsia" w:asciiTheme="minorEastAsia" w:hAnsiTheme="minorEastAsia" w:eastAsiaTheme="minorEastAsia"/>
          <w:iCs/>
          <w:sz w:val="24"/>
        </w:rPr>
        <w:t>主要培养熟练掌握数据挖掘、数据分析与建模技术的专业型、技术型财务人才，同时掌握财务和信息技术两方面的理论知识和操作技能。</w:t>
      </w:r>
    </w:p>
    <w:p w14:paraId="17E4E0C6">
      <w:pPr>
        <w:spacing w:line="360" w:lineRule="auto"/>
        <w:ind w:firstLine="562" w:firstLineChars="200"/>
        <w:jc w:val="both"/>
        <w:rPr>
          <w:rFonts w:eastAsia="黑体"/>
          <w:b/>
          <w:bCs w:val="0"/>
          <w:sz w:val="28"/>
          <w:szCs w:val="28"/>
        </w:rPr>
      </w:pPr>
      <w:r>
        <w:rPr>
          <w:rFonts w:eastAsia="黑体"/>
          <w:b/>
          <w:bCs w:val="0"/>
          <w:sz w:val="28"/>
          <w:szCs w:val="28"/>
        </w:rPr>
        <w:t>四、学制及学习年限</w:t>
      </w:r>
    </w:p>
    <w:p w14:paraId="650D974E">
      <w:pPr>
        <w:spacing w:line="440" w:lineRule="exact"/>
        <w:ind w:firstLine="480" w:firstLineChars="200"/>
        <w:jc w:val="both"/>
        <w:rPr>
          <w:rFonts w:eastAsia="黑体"/>
          <w:bCs/>
          <w:sz w:val="28"/>
          <w:szCs w:val="28"/>
        </w:rPr>
      </w:pPr>
      <w:r>
        <w:rPr>
          <w:rFonts w:eastAsiaTheme="minorEastAsia"/>
          <w:color w:val="000000"/>
          <w:sz w:val="24"/>
        </w:rPr>
        <w:t>本专业学制为3年，在校最长学习年限（含休学）不超过6年。</w:t>
      </w:r>
    </w:p>
    <w:p w14:paraId="7FE1DEDE">
      <w:pPr>
        <w:spacing w:line="360" w:lineRule="auto"/>
        <w:ind w:firstLine="562" w:firstLineChars="200"/>
        <w:jc w:val="both"/>
        <w:rPr>
          <w:rFonts w:eastAsia="黑体"/>
          <w:b/>
          <w:bCs w:val="0"/>
          <w:sz w:val="28"/>
          <w:szCs w:val="28"/>
        </w:rPr>
      </w:pPr>
      <w:r>
        <w:rPr>
          <w:rFonts w:hint="eastAsia" w:eastAsia="黑体"/>
          <w:b/>
          <w:bCs w:val="0"/>
          <w:sz w:val="28"/>
          <w:szCs w:val="28"/>
          <w:lang w:val="en-US" w:eastAsia="zh-CN"/>
        </w:rPr>
        <w:t>五</w:t>
      </w:r>
      <w:r>
        <w:rPr>
          <w:rFonts w:hint="eastAsia" w:eastAsia="黑体"/>
          <w:b/>
          <w:bCs w:val="0"/>
          <w:sz w:val="28"/>
          <w:szCs w:val="28"/>
        </w:rPr>
        <w:t>、培养目标</w:t>
      </w:r>
    </w:p>
    <w:p w14:paraId="19835C08">
      <w:pPr>
        <w:widowControl/>
        <w:spacing w:after="150" w:line="360" w:lineRule="auto"/>
        <w:ind w:firstLine="480" w:firstLineChars="200"/>
        <w:jc w:val="both"/>
        <w:rPr>
          <w:rFonts w:asciiTheme="minorEastAsia" w:hAnsiTheme="minorEastAsia" w:eastAsiaTheme="minorEastAsia"/>
          <w:iCs/>
          <w:sz w:val="24"/>
        </w:rPr>
      </w:pPr>
      <w:r>
        <w:rPr>
          <w:rFonts w:hint="eastAsia" w:asciiTheme="minorEastAsia" w:hAnsiTheme="minorEastAsia" w:eastAsiaTheme="minorEastAsia"/>
          <w:iCs/>
          <w:sz w:val="24"/>
        </w:rPr>
        <w:t>1.树立正确的中国特色社会主义核心价值观，具有坚定的理想信念，高尚的道德情操，优良的学术作风，高度的社会责任感。</w:t>
      </w:r>
    </w:p>
    <w:p w14:paraId="3AE19577">
      <w:pPr>
        <w:widowControl/>
        <w:spacing w:after="150" w:line="360" w:lineRule="auto"/>
        <w:ind w:firstLine="480" w:firstLineChars="200"/>
        <w:jc w:val="both"/>
        <w:rPr>
          <w:rFonts w:asciiTheme="minorEastAsia" w:hAnsiTheme="minorEastAsia" w:eastAsiaTheme="minorEastAsia"/>
          <w:iCs/>
          <w:sz w:val="24"/>
        </w:rPr>
      </w:pPr>
      <w:r>
        <w:rPr>
          <w:rFonts w:hint="eastAsia" w:asciiTheme="minorEastAsia" w:hAnsiTheme="minorEastAsia" w:eastAsiaTheme="minorEastAsia"/>
          <w:iCs/>
          <w:sz w:val="24"/>
        </w:rPr>
        <w:t>2.</w:t>
      </w:r>
      <w:r>
        <w:rPr>
          <w:rFonts w:asciiTheme="minorEastAsia" w:hAnsiTheme="minorEastAsia" w:eastAsiaTheme="minorEastAsia"/>
          <w:iCs/>
          <w:sz w:val="24"/>
        </w:rPr>
        <w:t>培养具有良好的基础理论、扎实的</w:t>
      </w:r>
      <w:r>
        <w:rPr>
          <w:rFonts w:hint="eastAsia" w:asciiTheme="minorEastAsia" w:hAnsiTheme="minorEastAsia" w:eastAsiaTheme="minorEastAsia"/>
          <w:iCs/>
          <w:sz w:val="24"/>
          <w:lang w:val="en-US" w:eastAsia="zh-CN"/>
        </w:rPr>
        <w:t>会计</w:t>
      </w:r>
      <w:r>
        <w:rPr>
          <w:rFonts w:asciiTheme="minorEastAsia" w:hAnsiTheme="minorEastAsia" w:eastAsiaTheme="minorEastAsia"/>
          <w:iCs/>
          <w:sz w:val="24"/>
        </w:rPr>
        <w:t>专业技能、突出的实践能力和优秀的综合素质的高层次专业技能型人才。</w:t>
      </w:r>
    </w:p>
    <w:p w14:paraId="14B493CF">
      <w:pPr>
        <w:widowControl/>
        <w:spacing w:after="150" w:line="360" w:lineRule="auto"/>
        <w:ind w:firstLine="480" w:firstLineChars="200"/>
        <w:jc w:val="both"/>
        <w:rPr>
          <w:rFonts w:asciiTheme="minorEastAsia" w:hAnsiTheme="minorEastAsia" w:eastAsiaTheme="minorEastAsia"/>
          <w:iCs/>
          <w:sz w:val="24"/>
        </w:rPr>
      </w:pPr>
      <w:r>
        <w:rPr>
          <w:rFonts w:hint="eastAsia" w:asciiTheme="minorEastAsia" w:hAnsiTheme="minorEastAsia" w:eastAsiaTheme="minorEastAsia"/>
          <w:iCs/>
          <w:sz w:val="24"/>
        </w:rPr>
        <w:t>3.至少掌握一门外国语，能熟练阅读本专业的外文资料，具有撰写学术论文和进行国际学术交流的能力。</w:t>
      </w:r>
    </w:p>
    <w:p w14:paraId="19761F93">
      <w:pPr>
        <w:widowControl/>
        <w:spacing w:after="150" w:line="360" w:lineRule="auto"/>
        <w:ind w:firstLine="480" w:firstLineChars="200"/>
        <w:jc w:val="both"/>
        <w:rPr>
          <w:rFonts w:asciiTheme="minorEastAsia" w:hAnsiTheme="minorEastAsia" w:eastAsiaTheme="minorEastAsia"/>
          <w:iCs/>
          <w:sz w:val="24"/>
        </w:rPr>
      </w:pPr>
      <w:r>
        <w:rPr>
          <w:rFonts w:hint="eastAsia" w:asciiTheme="minorEastAsia" w:hAnsiTheme="minorEastAsia" w:eastAsiaTheme="minorEastAsia"/>
          <w:iCs/>
          <w:sz w:val="24"/>
        </w:rPr>
        <w:t>4.具有良好的团队意识和团队合作精神。</w:t>
      </w:r>
    </w:p>
    <w:p w14:paraId="1DCB788D">
      <w:pPr>
        <w:widowControl/>
        <w:spacing w:after="150" w:line="360" w:lineRule="auto"/>
        <w:ind w:firstLine="480" w:firstLineChars="200"/>
        <w:jc w:val="both"/>
        <w:rPr>
          <w:rFonts w:asciiTheme="minorEastAsia" w:hAnsiTheme="minorEastAsia" w:eastAsiaTheme="minorEastAsia"/>
          <w:iCs/>
          <w:sz w:val="24"/>
        </w:rPr>
      </w:pPr>
      <w:r>
        <w:rPr>
          <w:rFonts w:hint="eastAsia" w:asciiTheme="minorEastAsia" w:hAnsiTheme="minorEastAsia" w:eastAsiaTheme="minorEastAsia"/>
          <w:iCs/>
          <w:sz w:val="24"/>
        </w:rPr>
        <w:t>5.具有健康的身体和良好的心理素质。</w:t>
      </w:r>
    </w:p>
    <w:p w14:paraId="33E1D079">
      <w:pPr>
        <w:widowControl/>
        <w:spacing w:after="150" w:line="360" w:lineRule="auto"/>
        <w:ind w:firstLine="480" w:firstLineChars="200"/>
        <w:jc w:val="both"/>
        <w:rPr>
          <w:rFonts w:asciiTheme="minorEastAsia" w:hAnsiTheme="minorEastAsia" w:eastAsiaTheme="minorEastAsia"/>
          <w:iCs/>
          <w:sz w:val="24"/>
        </w:rPr>
      </w:pPr>
      <w:r>
        <w:rPr>
          <w:rFonts w:hint="eastAsia" w:asciiTheme="minorEastAsia" w:hAnsiTheme="minorEastAsia" w:eastAsiaTheme="minorEastAsia"/>
          <w:iCs/>
          <w:sz w:val="24"/>
          <w:lang w:val="en-US" w:eastAsia="zh-CN"/>
        </w:rPr>
        <w:t>6</w:t>
      </w:r>
      <w:r>
        <w:rPr>
          <w:rFonts w:asciiTheme="minorEastAsia" w:hAnsiTheme="minorEastAsia" w:eastAsiaTheme="minorEastAsia"/>
          <w:iCs/>
          <w:sz w:val="24"/>
        </w:rPr>
        <w:t>.</w:t>
      </w:r>
      <w:r>
        <w:rPr>
          <w:rFonts w:hint="eastAsia" w:asciiTheme="minorEastAsia" w:hAnsiTheme="minorEastAsia" w:eastAsiaTheme="minorEastAsia"/>
          <w:iCs/>
          <w:sz w:val="24"/>
        </w:rPr>
        <w:t>具有良好职业道德、终身学习意识和探索创新精神。</w:t>
      </w:r>
    </w:p>
    <w:p w14:paraId="29AE865B">
      <w:pPr>
        <w:widowControl/>
        <w:spacing w:after="150" w:line="360" w:lineRule="auto"/>
        <w:ind w:firstLine="480" w:firstLineChars="200"/>
        <w:jc w:val="both"/>
        <w:rPr>
          <w:rFonts w:asciiTheme="minorEastAsia" w:hAnsiTheme="minorEastAsia" w:eastAsiaTheme="minorEastAsia"/>
          <w:iCs/>
          <w:sz w:val="24"/>
        </w:rPr>
      </w:pPr>
      <w:r>
        <w:rPr>
          <w:rFonts w:hint="eastAsia" w:asciiTheme="minorEastAsia" w:hAnsiTheme="minorEastAsia" w:eastAsiaTheme="minorEastAsia"/>
          <w:iCs/>
          <w:sz w:val="24"/>
          <w:lang w:val="en-US" w:eastAsia="zh-CN"/>
        </w:rPr>
        <w:t>7</w:t>
      </w:r>
      <w:r>
        <w:rPr>
          <w:rFonts w:asciiTheme="minorEastAsia" w:hAnsiTheme="minorEastAsia" w:eastAsiaTheme="minorEastAsia"/>
          <w:iCs/>
          <w:sz w:val="24"/>
        </w:rPr>
        <w:t>.</w:t>
      </w:r>
      <w:r>
        <w:rPr>
          <w:rFonts w:hint="eastAsia" w:asciiTheme="minorEastAsia" w:hAnsiTheme="minorEastAsia" w:eastAsiaTheme="minorEastAsia"/>
          <w:iCs/>
          <w:sz w:val="24"/>
        </w:rPr>
        <w:t>具有从事高层次会计管理工作所必备的国际视野、战略意识、领导潜质、沟通能力和合作精神。</w:t>
      </w:r>
    </w:p>
    <w:p w14:paraId="01044F32">
      <w:pPr>
        <w:widowControl/>
        <w:spacing w:after="150" w:line="360" w:lineRule="auto"/>
        <w:ind w:firstLine="480" w:firstLineChars="200"/>
        <w:jc w:val="both"/>
        <w:rPr>
          <w:rFonts w:asciiTheme="minorEastAsia" w:hAnsiTheme="minorEastAsia" w:eastAsiaTheme="minorEastAsia"/>
          <w:iCs/>
          <w:color w:val="auto"/>
          <w:sz w:val="24"/>
        </w:rPr>
      </w:pPr>
      <w:r>
        <w:rPr>
          <w:rFonts w:hint="eastAsia" w:asciiTheme="minorEastAsia" w:hAnsiTheme="minorEastAsia" w:eastAsiaTheme="minorEastAsia"/>
          <w:iCs/>
          <w:sz w:val="24"/>
          <w:lang w:val="en-US" w:eastAsia="zh-CN"/>
        </w:rPr>
        <w:t>8</w:t>
      </w:r>
      <w:r>
        <w:rPr>
          <w:rFonts w:asciiTheme="minorEastAsia" w:hAnsiTheme="minorEastAsia" w:eastAsiaTheme="minorEastAsia"/>
          <w:iCs/>
          <w:sz w:val="24"/>
        </w:rPr>
        <w:t>.</w:t>
      </w:r>
      <w:r>
        <w:rPr>
          <w:rFonts w:hint="eastAsia" w:asciiTheme="minorEastAsia" w:hAnsiTheme="minorEastAsia" w:eastAsiaTheme="minorEastAsia"/>
          <w:iCs/>
          <w:color w:val="auto"/>
          <w:sz w:val="24"/>
        </w:rPr>
        <w:t>具有数字化时代新思维，熟练掌握和运用数据处理技术，支持企业正确决策。</w:t>
      </w:r>
    </w:p>
    <w:p w14:paraId="2C3C5941">
      <w:pPr>
        <w:spacing w:line="360" w:lineRule="auto"/>
        <w:ind w:firstLine="562" w:firstLineChars="200"/>
        <w:jc w:val="both"/>
        <w:rPr>
          <w:rFonts w:eastAsia="黑体"/>
          <w:b/>
          <w:bCs w:val="0"/>
          <w:sz w:val="28"/>
          <w:szCs w:val="28"/>
        </w:rPr>
      </w:pPr>
      <w:r>
        <w:rPr>
          <w:rFonts w:eastAsia="黑体"/>
          <w:b/>
          <w:bCs w:val="0"/>
          <w:sz w:val="28"/>
          <w:szCs w:val="28"/>
        </w:rPr>
        <w:t>六、培养方式</w:t>
      </w:r>
    </w:p>
    <w:p w14:paraId="098ABBC7">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lang w:val="en-US" w:eastAsia="zh-CN"/>
        </w:rPr>
        <w:t>1</w:t>
      </w:r>
      <w:r>
        <w:rPr>
          <w:rFonts w:asciiTheme="minorEastAsia" w:hAnsiTheme="minorEastAsia" w:eastAsiaTheme="minorEastAsia"/>
          <w:iCs/>
          <w:sz w:val="24"/>
        </w:rPr>
        <w:t>.</w:t>
      </w:r>
      <w:r>
        <w:rPr>
          <w:rFonts w:hint="default" w:ascii="Times New Roman" w:hAnsi="Times New Roman" w:eastAsia="宋体" w:cs="Times New Roman"/>
          <w:sz w:val="24"/>
        </w:rPr>
        <w:t>思政</w:t>
      </w:r>
      <w:r>
        <w:rPr>
          <w:rFonts w:hint="eastAsia" w:cs="Times New Roman"/>
          <w:sz w:val="24"/>
          <w:lang w:eastAsia="zh-CN"/>
        </w:rPr>
        <w:t>学习</w:t>
      </w:r>
      <w:r>
        <w:rPr>
          <w:rFonts w:hint="default" w:ascii="Times New Roman" w:hAnsi="Times New Roman" w:eastAsia="宋体" w:cs="Times New Roman"/>
          <w:sz w:val="24"/>
        </w:rPr>
        <w:t>和专业学习相结合</w:t>
      </w:r>
    </w:p>
    <w:p w14:paraId="44DD0A9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rPr>
        <w:t>要求学生必须参加思想政治学习活动，树立正确的人生观和价值观。坚持思政贯穿研究生学习生涯始终。</w:t>
      </w:r>
    </w:p>
    <w:p w14:paraId="5027835B">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Times New Roman" w:hAnsi="Times New Roman" w:eastAsia="宋体" w:cs="Times New Roman"/>
          <w:sz w:val="24"/>
          <w:lang w:eastAsia="zh-CN"/>
        </w:rPr>
      </w:pPr>
      <w:r>
        <w:rPr>
          <w:rFonts w:hint="eastAsia" w:cs="Times New Roman"/>
          <w:sz w:val="24"/>
          <w:lang w:val="en-US" w:eastAsia="zh-CN"/>
        </w:rPr>
        <w:t>2</w:t>
      </w:r>
      <w:r>
        <w:rPr>
          <w:rFonts w:asciiTheme="minorEastAsia" w:hAnsiTheme="minorEastAsia" w:eastAsiaTheme="minorEastAsia"/>
          <w:iCs/>
          <w:sz w:val="24"/>
        </w:rPr>
        <w:t>.</w:t>
      </w:r>
      <w:r>
        <w:rPr>
          <w:rFonts w:hint="default" w:ascii="Times New Roman" w:hAnsi="Times New Roman" w:eastAsia="宋体" w:cs="Times New Roman"/>
          <w:sz w:val="24"/>
        </w:rPr>
        <w:t>实践</w:t>
      </w:r>
      <w:r>
        <w:rPr>
          <w:rFonts w:hint="eastAsia" w:cs="Times New Roman"/>
          <w:sz w:val="24"/>
          <w:lang w:eastAsia="zh-CN"/>
        </w:rPr>
        <w:t>学习与课堂学习相结合</w:t>
      </w:r>
    </w:p>
    <w:p w14:paraId="6B59329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rPr>
        <w:t>注重理论联系实际，强调培养学生分析和解决实际问题的能力，重视采用案例教学、沙盘演练、现场参观研讨、参与企业咨询等多样化的实践教学方法，逐步增加实践教学的比例。加强实践环节的实习指导，建立实习基础和重点课程的案例库，培养实践应用能力。学生在学期间必须保证不少于6个月的实习实践，可采用集中实践与分段实践相结合的方式；提交实践计划，撰写实践总结报告，完成后获得相应的学分。</w:t>
      </w:r>
    </w:p>
    <w:p w14:paraId="5890F7D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eastAsia" w:cs="Times New Roman"/>
          <w:sz w:val="24"/>
          <w:lang w:val="en-US" w:eastAsia="zh-CN"/>
        </w:rPr>
        <w:t>3</w:t>
      </w:r>
      <w:r>
        <w:rPr>
          <w:rFonts w:asciiTheme="minorEastAsia" w:hAnsiTheme="minorEastAsia" w:eastAsiaTheme="minorEastAsia"/>
          <w:iCs/>
          <w:sz w:val="24"/>
        </w:rPr>
        <w:t>.</w:t>
      </w:r>
      <w:r>
        <w:rPr>
          <w:rFonts w:hint="default" w:ascii="Times New Roman" w:hAnsi="Times New Roman" w:eastAsia="宋体" w:cs="Times New Roman"/>
          <w:sz w:val="24"/>
        </w:rPr>
        <w:t>学分制</w:t>
      </w:r>
    </w:p>
    <w:p w14:paraId="5C5DF588">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highlight w:val="none"/>
        </w:rPr>
        <w:t>实行学分制，总学分不低于4</w:t>
      </w:r>
      <w:r>
        <w:rPr>
          <w:rFonts w:hint="default" w:ascii="Times New Roman" w:hAnsi="Times New Roman" w:eastAsia="宋体" w:cs="Times New Roman"/>
          <w:sz w:val="24"/>
          <w:highlight w:val="none"/>
          <w:lang w:val="en-US" w:eastAsia="zh-CN"/>
        </w:rPr>
        <w:t>0</w:t>
      </w:r>
      <w:r>
        <w:rPr>
          <w:rFonts w:hint="default" w:ascii="Times New Roman" w:hAnsi="Times New Roman" w:eastAsia="宋体" w:cs="Times New Roman"/>
          <w:sz w:val="24"/>
          <w:highlight w:val="none"/>
        </w:rPr>
        <w:t>学分。学分采取综合评定学生学习成绩的方式，具体依据包括考试、作业、案例分析、课堂讨论、撰写专题报告等。鼓励教师采用案例教学方法，并逐步增加案例教学的比</w:t>
      </w:r>
      <w:r>
        <w:rPr>
          <w:rFonts w:hint="default" w:ascii="Times New Roman" w:hAnsi="Times New Roman" w:eastAsia="宋体" w:cs="Times New Roman"/>
          <w:sz w:val="24"/>
        </w:rPr>
        <w:t>例，注重理论联系实际，强调培养学生分析和解决实际问题的能力。</w:t>
      </w:r>
    </w:p>
    <w:p w14:paraId="593A273C">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lang w:val="en-US" w:eastAsia="zh-CN"/>
        </w:rPr>
        <w:t>4</w:t>
      </w:r>
      <w:r>
        <w:rPr>
          <w:rFonts w:asciiTheme="minorEastAsia" w:hAnsiTheme="minorEastAsia" w:eastAsiaTheme="minorEastAsia"/>
          <w:iCs/>
          <w:sz w:val="24"/>
        </w:rPr>
        <w:t>.</w:t>
      </w:r>
      <w:r>
        <w:rPr>
          <w:rFonts w:hint="default" w:ascii="Times New Roman" w:hAnsi="Times New Roman" w:eastAsia="宋体" w:cs="Times New Roman"/>
          <w:sz w:val="24"/>
        </w:rPr>
        <w:t>导师组和双导师制</w:t>
      </w:r>
    </w:p>
    <w:p w14:paraId="45EE066A">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default" w:ascii="Times New Roman" w:hAnsi="Times New Roman" w:eastAsia="宋体" w:cs="Times New Roman"/>
          <w:sz w:val="24"/>
        </w:rPr>
      </w:pPr>
      <w:r>
        <w:rPr>
          <w:rFonts w:hint="default" w:ascii="Times New Roman" w:hAnsi="Times New Roman" w:eastAsia="宋体" w:cs="Times New Roman"/>
          <w:sz w:val="24"/>
        </w:rPr>
        <w:t>成立校内导师组，加强教学管理和专业指导工作。实行双导师制，实现社会导师和校内导师联合培养制，聘请企事业单位、会计师事务所、政府部门等有关专家共同承担指导工作。开辟第二课堂，聘请有实践经验的专家开设讲座或承担部分课程。</w:t>
      </w:r>
    </w:p>
    <w:p w14:paraId="3E3D75B7">
      <w:pPr>
        <w:spacing w:line="360" w:lineRule="auto"/>
        <w:ind w:firstLine="562" w:firstLineChars="200"/>
        <w:jc w:val="both"/>
        <w:rPr>
          <w:rFonts w:eastAsia="黑体"/>
          <w:b/>
          <w:bCs w:val="0"/>
          <w:sz w:val="28"/>
          <w:szCs w:val="28"/>
        </w:rPr>
      </w:pPr>
      <w:r>
        <w:rPr>
          <w:rFonts w:hint="eastAsia" w:eastAsia="黑体"/>
          <w:b/>
          <w:bCs w:val="0"/>
          <w:sz w:val="28"/>
          <w:szCs w:val="28"/>
          <w:lang w:val="en-US" w:eastAsia="zh-CN"/>
        </w:rPr>
        <w:t>七</w:t>
      </w:r>
      <w:r>
        <w:rPr>
          <w:rFonts w:hint="eastAsia" w:eastAsia="黑体"/>
          <w:b/>
          <w:bCs w:val="0"/>
          <w:sz w:val="28"/>
          <w:szCs w:val="28"/>
        </w:rPr>
        <w:t>、中期筛选</w:t>
      </w:r>
    </w:p>
    <w:p w14:paraId="47088877">
      <w:pPr>
        <w:spacing w:line="440" w:lineRule="exact"/>
        <w:ind w:firstLine="480" w:firstLineChars="200"/>
        <w:jc w:val="both"/>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272E89C9">
      <w:pPr>
        <w:spacing w:line="360" w:lineRule="auto"/>
        <w:ind w:firstLine="562" w:firstLineChars="200"/>
        <w:jc w:val="both"/>
        <w:rPr>
          <w:rFonts w:eastAsia="黑体"/>
          <w:b/>
          <w:bCs w:val="0"/>
          <w:sz w:val="28"/>
          <w:szCs w:val="28"/>
        </w:rPr>
      </w:pPr>
      <w:r>
        <w:rPr>
          <w:rFonts w:hint="eastAsia" w:eastAsia="黑体"/>
          <w:b/>
          <w:bCs w:val="0"/>
          <w:sz w:val="28"/>
          <w:szCs w:val="28"/>
        </w:rPr>
        <w:t>八</w:t>
      </w:r>
      <w:r>
        <w:rPr>
          <w:rFonts w:eastAsia="黑体"/>
          <w:b/>
          <w:bCs w:val="0"/>
          <w:sz w:val="28"/>
          <w:szCs w:val="28"/>
        </w:rPr>
        <w:t>、学位（毕业）论文</w:t>
      </w:r>
    </w:p>
    <w:p w14:paraId="476B1041">
      <w:pPr>
        <w:widowControl/>
        <w:spacing w:line="360" w:lineRule="auto"/>
        <w:ind w:firstLine="480"/>
        <w:jc w:val="both"/>
        <w:rPr>
          <w:rFonts w:hint="eastAsia" w:eastAsiaTheme="minorEastAsia"/>
          <w:bCs/>
          <w:sz w:val="24"/>
          <w:lang w:eastAsia="zh-CN"/>
        </w:rPr>
      </w:pPr>
      <w:r>
        <w:rPr>
          <w:bCs/>
          <w:color w:val="222222"/>
          <w:kern w:val="0"/>
          <w:sz w:val="24"/>
        </w:rPr>
        <w:t>1</w:t>
      </w:r>
      <w:r>
        <w:rPr>
          <w:rFonts w:asciiTheme="minorEastAsia" w:hAnsiTheme="minorEastAsia" w:eastAsiaTheme="minorEastAsia"/>
          <w:iCs/>
          <w:sz w:val="24"/>
        </w:rPr>
        <w:t>.</w:t>
      </w:r>
      <w:r>
        <w:rPr>
          <w:bCs/>
          <w:color w:val="222222"/>
          <w:kern w:val="0"/>
          <w:sz w:val="24"/>
        </w:rPr>
        <w:t>总体要求</w:t>
      </w:r>
      <w:r>
        <w:rPr>
          <w:rFonts w:hint="eastAsia"/>
          <w:bCs/>
          <w:color w:val="222222"/>
          <w:kern w:val="0"/>
          <w:sz w:val="24"/>
          <w:lang w:eastAsia="zh-CN"/>
        </w:rPr>
        <w:t>。</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lang w:val="en-US" w:eastAsia="zh-CN"/>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rFonts w:eastAsiaTheme="minorEastAsia"/>
          <w:bCs/>
          <w:sz w:val="24"/>
        </w:rPr>
        <w:t>学位（毕业）论文应当表明作者具有独立从事学术研究工作的能力，鼓励硕士研究生参与科学研究，取得创新性成果</w:t>
      </w:r>
      <w:r>
        <w:rPr>
          <w:rFonts w:hint="eastAsia" w:eastAsiaTheme="minorEastAsia"/>
          <w:bCs/>
          <w:sz w:val="24"/>
          <w:lang w:eastAsia="zh-CN"/>
        </w:rPr>
        <w:t>。</w:t>
      </w:r>
    </w:p>
    <w:p w14:paraId="431B89F4">
      <w:pPr>
        <w:widowControl/>
        <w:spacing w:line="360" w:lineRule="auto"/>
        <w:ind w:firstLine="480"/>
        <w:jc w:val="both"/>
        <w:rPr>
          <w:rFonts w:eastAsiaTheme="minorEastAsia"/>
          <w:bCs/>
          <w:sz w:val="24"/>
        </w:rPr>
      </w:pPr>
      <w:r>
        <w:rPr>
          <w:rFonts w:eastAsiaTheme="minorEastAsia"/>
          <w:bCs/>
          <w:sz w:val="24"/>
        </w:rPr>
        <w:t>2</w:t>
      </w:r>
      <w:r>
        <w:rPr>
          <w:rFonts w:asciiTheme="minorEastAsia" w:hAnsiTheme="minorEastAsia" w:eastAsiaTheme="minorEastAsia"/>
          <w:iCs/>
          <w:sz w:val="24"/>
        </w:rPr>
        <w:t>.</w:t>
      </w:r>
      <w:r>
        <w:rPr>
          <w:rFonts w:eastAsiaTheme="minorEastAsia"/>
          <w:bCs/>
          <w:sz w:val="24"/>
        </w:rPr>
        <w:t>开题</w:t>
      </w:r>
      <w:r>
        <w:rPr>
          <w:rFonts w:hint="eastAsia" w:eastAsiaTheme="minorEastAsia"/>
          <w:bCs/>
          <w:sz w:val="24"/>
          <w:lang w:eastAsia="zh-CN"/>
        </w:rPr>
        <w:t>。</w:t>
      </w:r>
      <w:r>
        <w:rPr>
          <w:rFonts w:eastAsiaTheme="minorEastAsia"/>
          <w:bCs/>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3AE6670D">
      <w:pPr>
        <w:widowControl/>
        <w:spacing w:line="360" w:lineRule="auto"/>
        <w:ind w:firstLine="480"/>
        <w:jc w:val="both"/>
        <w:rPr>
          <w:rFonts w:eastAsiaTheme="minorEastAsia"/>
          <w:bCs/>
          <w:sz w:val="24"/>
        </w:rPr>
      </w:pPr>
      <w:r>
        <w:rPr>
          <w:rFonts w:eastAsiaTheme="minorEastAsia"/>
          <w:bCs/>
          <w:sz w:val="24"/>
        </w:rPr>
        <w:t>原则上在入学后第3学期（最迟不超过第4学期）完成开题。开题由3-5名具有高级专业技术职务人员参加，以学术报告的方式进行。</w:t>
      </w:r>
    </w:p>
    <w:p w14:paraId="58F81BC6">
      <w:pPr>
        <w:widowControl/>
        <w:spacing w:line="360" w:lineRule="auto"/>
        <w:ind w:firstLine="480"/>
        <w:jc w:val="both"/>
        <w:rPr>
          <w:rFonts w:eastAsiaTheme="minorEastAsia"/>
          <w:bCs/>
          <w:sz w:val="24"/>
        </w:rPr>
      </w:pPr>
      <w:r>
        <w:rPr>
          <w:rFonts w:eastAsiaTheme="minorEastAsia"/>
          <w:bCs/>
          <w:sz w:val="24"/>
        </w:rPr>
        <w:t>3</w:t>
      </w:r>
      <w:r>
        <w:rPr>
          <w:rFonts w:asciiTheme="minorEastAsia" w:hAnsiTheme="minorEastAsia" w:eastAsiaTheme="minorEastAsia"/>
          <w:iCs/>
          <w:sz w:val="24"/>
        </w:rPr>
        <w:t>.</w:t>
      </w:r>
      <w:r>
        <w:rPr>
          <w:rFonts w:eastAsiaTheme="minorEastAsia"/>
          <w:bCs/>
          <w:sz w:val="24"/>
        </w:rPr>
        <w:t>中期进展报告</w:t>
      </w:r>
      <w:r>
        <w:rPr>
          <w:rFonts w:hint="eastAsia" w:eastAsiaTheme="minorEastAsia"/>
          <w:bCs/>
          <w:sz w:val="24"/>
          <w:lang w:eastAsia="zh-CN"/>
        </w:rPr>
        <w:t>。</w:t>
      </w:r>
      <w:r>
        <w:rPr>
          <w:rFonts w:eastAsiaTheme="minorEastAsia"/>
          <w:bCs/>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3F829693">
      <w:pPr>
        <w:widowControl/>
        <w:spacing w:line="360" w:lineRule="auto"/>
        <w:ind w:firstLine="480"/>
        <w:jc w:val="both"/>
        <w:rPr>
          <w:rFonts w:eastAsiaTheme="minorEastAsia"/>
          <w:bCs/>
          <w:sz w:val="24"/>
        </w:rPr>
      </w:pPr>
      <w:r>
        <w:rPr>
          <w:rFonts w:eastAsiaTheme="minorEastAsia"/>
          <w:bCs/>
          <w:sz w:val="24"/>
        </w:rPr>
        <w:t>4</w:t>
      </w:r>
      <w:r>
        <w:rPr>
          <w:rFonts w:asciiTheme="minorEastAsia" w:hAnsiTheme="minorEastAsia" w:eastAsiaTheme="minorEastAsia"/>
          <w:iCs/>
          <w:sz w:val="24"/>
        </w:rPr>
        <w:t>.</w:t>
      </w:r>
      <w:r>
        <w:rPr>
          <w:rFonts w:eastAsiaTheme="minorEastAsia"/>
          <w:bCs/>
          <w:sz w:val="24"/>
        </w:rPr>
        <w:t>学位申请</w:t>
      </w:r>
      <w:r>
        <w:rPr>
          <w:rFonts w:hint="eastAsia" w:eastAsiaTheme="minorEastAsia"/>
          <w:bCs/>
          <w:sz w:val="24"/>
          <w:lang w:eastAsia="zh-CN"/>
        </w:rPr>
        <w:t>。</w:t>
      </w:r>
      <w:r>
        <w:rPr>
          <w:rFonts w:eastAsiaTheme="minorEastAsia"/>
          <w:bCs/>
          <w:sz w:val="24"/>
        </w:rPr>
        <w:t>达到学位授予条件的申请人，经导师同意后，应于答辩前三个月，向所属学位评定分委员会提出学位申请，提交学位申请材料。</w:t>
      </w:r>
    </w:p>
    <w:p w14:paraId="113A370E">
      <w:pPr>
        <w:widowControl/>
        <w:spacing w:line="360" w:lineRule="auto"/>
        <w:ind w:firstLine="480"/>
        <w:jc w:val="both"/>
        <w:rPr>
          <w:rFonts w:eastAsiaTheme="minorEastAsia"/>
          <w:bCs/>
          <w:sz w:val="24"/>
        </w:rPr>
      </w:pPr>
      <w:r>
        <w:rPr>
          <w:rFonts w:eastAsiaTheme="minorEastAsia"/>
          <w:bCs/>
          <w:sz w:val="24"/>
        </w:rPr>
        <w:t>5</w:t>
      </w:r>
      <w:r>
        <w:rPr>
          <w:rFonts w:asciiTheme="minorEastAsia" w:hAnsiTheme="minorEastAsia" w:eastAsiaTheme="minorEastAsia"/>
          <w:iCs/>
          <w:sz w:val="24"/>
        </w:rPr>
        <w:t>.</w:t>
      </w:r>
      <w:r>
        <w:rPr>
          <w:rFonts w:eastAsiaTheme="minorEastAsia"/>
          <w:bCs/>
          <w:sz w:val="24"/>
        </w:rPr>
        <w:t>预答辩</w:t>
      </w:r>
      <w:r>
        <w:rPr>
          <w:rFonts w:hint="eastAsia" w:eastAsiaTheme="minorEastAsia"/>
          <w:bCs/>
          <w:sz w:val="24"/>
          <w:lang w:eastAsia="zh-CN"/>
        </w:rPr>
        <w:t>。</w:t>
      </w:r>
      <w:r>
        <w:rPr>
          <w:rFonts w:eastAsiaTheme="minorEastAsia"/>
          <w:bCs/>
          <w:sz w:val="24"/>
        </w:rPr>
        <w:t>学位申请人须进行学位论文预答辩。预答辩通过者，方可进入学位论文评阅、学位论文答辩等环节。学位（毕业）论文预答辩在正式答辩前3个月进行。</w:t>
      </w:r>
    </w:p>
    <w:p w14:paraId="6B704FCB">
      <w:pPr>
        <w:widowControl/>
        <w:spacing w:line="360" w:lineRule="auto"/>
        <w:ind w:firstLine="480"/>
        <w:jc w:val="both"/>
        <w:rPr>
          <w:rFonts w:eastAsiaTheme="minorEastAsia"/>
          <w:bCs/>
          <w:sz w:val="24"/>
        </w:rPr>
      </w:pPr>
      <w:r>
        <w:rPr>
          <w:rFonts w:eastAsiaTheme="minorEastAsia"/>
          <w:bCs/>
          <w:sz w:val="24"/>
        </w:rPr>
        <w:t>6</w:t>
      </w:r>
      <w:r>
        <w:rPr>
          <w:rFonts w:asciiTheme="minorEastAsia" w:hAnsiTheme="minorEastAsia" w:eastAsiaTheme="minorEastAsia"/>
          <w:iCs/>
          <w:sz w:val="24"/>
        </w:rPr>
        <w:t>.</w:t>
      </w:r>
      <w:r>
        <w:rPr>
          <w:rFonts w:eastAsiaTheme="minorEastAsia"/>
          <w:bCs/>
          <w:sz w:val="24"/>
        </w:rPr>
        <w:t>论文评阅</w:t>
      </w:r>
      <w:r>
        <w:rPr>
          <w:rFonts w:hint="eastAsia" w:eastAsiaTheme="minorEastAsia"/>
          <w:bCs/>
          <w:sz w:val="24"/>
          <w:lang w:eastAsia="zh-CN"/>
        </w:rPr>
        <w:t>。</w:t>
      </w:r>
      <w:r>
        <w:rPr>
          <w:rFonts w:eastAsiaTheme="minorEastAsia"/>
          <w:bCs/>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71204FD1">
      <w:pPr>
        <w:widowControl/>
        <w:spacing w:line="360" w:lineRule="auto"/>
        <w:ind w:firstLine="480"/>
        <w:jc w:val="both"/>
        <w:rPr>
          <w:rFonts w:eastAsia="黑体"/>
          <w:bCs/>
          <w:sz w:val="28"/>
          <w:szCs w:val="28"/>
        </w:rPr>
      </w:pPr>
      <w:r>
        <w:rPr>
          <w:b w:val="0"/>
          <w:bCs w:val="0"/>
          <w:color w:val="222222"/>
          <w:kern w:val="0"/>
          <w:sz w:val="24"/>
        </w:rPr>
        <w:t>7</w:t>
      </w:r>
      <w:r>
        <w:rPr>
          <w:rFonts w:asciiTheme="minorEastAsia" w:hAnsiTheme="minorEastAsia" w:eastAsiaTheme="minorEastAsia"/>
          <w:b w:val="0"/>
          <w:bCs w:val="0"/>
          <w:iCs/>
          <w:sz w:val="24"/>
        </w:rPr>
        <w:t>.</w:t>
      </w:r>
      <w:r>
        <w:rPr>
          <w:b w:val="0"/>
          <w:bCs w:val="0"/>
          <w:color w:val="222222"/>
          <w:kern w:val="0"/>
          <w:sz w:val="24"/>
        </w:rPr>
        <w:t>答辩</w:t>
      </w:r>
      <w:r>
        <w:rPr>
          <w:rFonts w:hint="eastAsia"/>
          <w:b w:val="0"/>
          <w:bCs w:val="0"/>
          <w:color w:val="222222"/>
          <w:kern w:val="0"/>
          <w:sz w:val="24"/>
          <w:lang w:eastAsia="zh-CN"/>
        </w:rPr>
        <w:t>。</w:t>
      </w:r>
      <w:r>
        <w:rPr>
          <w:bCs/>
          <w:color w:val="222222"/>
          <w:kern w:val="0"/>
          <w:sz w:val="24"/>
        </w:rPr>
        <w:t>学位（毕业）论文答辩按照</w:t>
      </w:r>
      <w:r>
        <w:rPr>
          <w:color w:val="222222"/>
          <w:kern w:val="0"/>
          <w:sz w:val="24"/>
        </w:rPr>
        <w:t>《河北大学博士、硕士学位授予工作实施细则》（校政字〔2025〕7号）执行。</w:t>
      </w:r>
    </w:p>
    <w:p w14:paraId="55BFE32C">
      <w:pPr>
        <w:spacing w:line="360" w:lineRule="auto"/>
        <w:ind w:firstLine="562" w:firstLineChars="200"/>
        <w:jc w:val="both"/>
        <w:rPr>
          <w:rFonts w:eastAsia="黑体"/>
          <w:b/>
          <w:bCs w:val="0"/>
          <w:sz w:val="28"/>
          <w:szCs w:val="28"/>
        </w:rPr>
      </w:pPr>
      <w:r>
        <w:rPr>
          <w:rFonts w:hint="eastAsia" w:eastAsia="黑体"/>
          <w:b/>
          <w:bCs w:val="0"/>
          <w:sz w:val="28"/>
          <w:szCs w:val="28"/>
        </w:rPr>
        <w:t>九</w:t>
      </w:r>
      <w:r>
        <w:rPr>
          <w:rFonts w:eastAsia="黑体"/>
          <w:b/>
          <w:bCs w:val="0"/>
          <w:sz w:val="28"/>
          <w:szCs w:val="28"/>
        </w:rPr>
        <w:t>、毕业条件</w:t>
      </w:r>
    </w:p>
    <w:p w14:paraId="66748879">
      <w:pPr>
        <w:spacing w:line="360" w:lineRule="auto"/>
        <w:ind w:firstLine="480" w:firstLineChars="200"/>
        <w:jc w:val="both"/>
        <w:rPr>
          <w:rFonts w:eastAsiaTheme="minorEastAsia"/>
          <w:bCs/>
          <w:sz w:val="24"/>
        </w:rPr>
      </w:pPr>
      <w:r>
        <w:rPr>
          <w:rFonts w:eastAsiaTheme="minorEastAsia"/>
          <w:bCs/>
          <w:sz w:val="24"/>
        </w:rPr>
        <w:t>1</w:t>
      </w:r>
      <w:r>
        <w:rPr>
          <w:rFonts w:asciiTheme="minorEastAsia" w:hAnsiTheme="minorEastAsia" w:eastAsiaTheme="minorEastAsia"/>
          <w:b w:val="0"/>
          <w:bCs w:val="0"/>
          <w:iCs/>
          <w:sz w:val="24"/>
        </w:rPr>
        <w:t>.</w:t>
      </w:r>
      <w:r>
        <w:rPr>
          <w:rFonts w:eastAsiaTheme="minorEastAsia"/>
          <w:bCs/>
          <w:sz w:val="24"/>
        </w:rPr>
        <w:t>课程学习。研究生在规定修业年限内完成培养方案规定的课程学习，考核成绩合格，获得规定的学分。</w:t>
      </w:r>
    </w:p>
    <w:p w14:paraId="7D6488A8">
      <w:pPr>
        <w:spacing w:line="360" w:lineRule="auto"/>
        <w:ind w:firstLine="480" w:firstLineChars="200"/>
        <w:jc w:val="both"/>
        <w:rPr>
          <w:rFonts w:eastAsiaTheme="minorEastAsia"/>
          <w:bCs/>
          <w:sz w:val="24"/>
          <w:szCs w:val="22"/>
        </w:rPr>
      </w:pPr>
      <w:r>
        <w:rPr>
          <w:rFonts w:eastAsiaTheme="minorEastAsia"/>
          <w:bCs/>
          <w:sz w:val="24"/>
        </w:rPr>
        <w:t>2</w:t>
      </w:r>
      <w:r>
        <w:rPr>
          <w:rFonts w:asciiTheme="minorEastAsia" w:hAnsiTheme="minorEastAsia" w:eastAsiaTheme="minorEastAsia"/>
          <w:b w:val="0"/>
          <w:bCs w:val="0"/>
          <w:iCs/>
          <w:sz w:val="24"/>
        </w:rPr>
        <w:t>.</w:t>
      </w:r>
      <w:r>
        <w:rPr>
          <w:bCs/>
          <w:sz w:val="24"/>
        </w:rPr>
        <w:t>学术/实践活动。研究生在读期间至少需要完成两类活动中的一类：</w:t>
      </w:r>
    </w:p>
    <w:p w14:paraId="234C33AB">
      <w:pPr>
        <w:spacing w:line="360" w:lineRule="auto"/>
        <w:ind w:firstLine="480" w:firstLineChars="200"/>
        <w:jc w:val="both"/>
        <w:rPr>
          <w:bCs/>
          <w:kern w:val="0"/>
          <w:sz w:val="24"/>
        </w:rPr>
      </w:pPr>
      <w:r>
        <w:rPr>
          <w:bCs/>
          <w:kern w:val="0"/>
          <w:sz w:val="24"/>
        </w:rPr>
        <w:t>（1）学术活动：研究生在读期间参加不少于10次学术活动，并撰写学术报告小结；以主讲人或宣讲人身份，参加在校内外举行的学术报告或学术讲座不少于1次。</w:t>
      </w:r>
    </w:p>
    <w:p w14:paraId="53671D0A">
      <w:pPr>
        <w:spacing w:line="360" w:lineRule="auto"/>
        <w:ind w:firstLine="480" w:firstLineChars="200"/>
        <w:jc w:val="both"/>
        <w:rPr>
          <w:bCs/>
          <w:kern w:val="0"/>
          <w:sz w:val="24"/>
        </w:rPr>
      </w:pPr>
      <w:r>
        <w:rPr>
          <w:bCs/>
          <w:kern w:val="0"/>
          <w:sz w:val="24"/>
        </w:rPr>
        <w:t>（2）实践活动：参与本专业相关的社会实践，由相关单位出具相关实践证明材料；或组织开展与本专业相关的调查、考察等活动，并提交相关报告。</w:t>
      </w:r>
    </w:p>
    <w:p w14:paraId="627C7F91">
      <w:pPr>
        <w:spacing w:line="360" w:lineRule="auto"/>
        <w:ind w:firstLine="480" w:firstLineChars="200"/>
        <w:jc w:val="both"/>
        <w:rPr>
          <w:bCs/>
          <w:kern w:val="0"/>
          <w:sz w:val="24"/>
        </w:rPr>
      </w:pPr>
      <w:r>
        <w:rPr>
          <w:bCs/>
          <w:kern w:val="0"/>
          <w:sz w:val="24"/>
        </w:rPr>
        <w:t>3</w:t>
      </w:r>
      <w:r>
        <w:rPr>
          <w:rFonts w:asciiTheme="minorEastAsia" w:hAnsiTheme="minorEastAsia" w:eastAsiaTheme="minorEastAsia"/>
          <w:b w:val="0"/>
          <w:bCs w:val="0"/>
          <w:iCs/>
          <w:sz w:val="24"/>
        </w:rPr>
        <w:t>.</w:t>
      </w:r>
      <w:r>
        <w:rPr>
          <w:bCs/>
          <w:kern w:val="0"/>
          <w:sz w:val="24"/>
        </w:rPr>
        <w:t>符合提前毕业条件的研究生，可按照学校相关规定申请提前毕业。</w:t>
      </w:r>
    </w:p>
    <w:p w14:paraId="764E5344">
      <w:pPr>
        <w:spacing w:line="360" w:lineRule="auto"/>
        <w:ind w:firstLine="480" w:firstLineChars="200"/>
        <w:jc w:val="both"/>
        <w:rPr>
          <w:rFonts w:eastAsia="黑体"/>
          <w:bCs/>
          <w:sz w:val="28"/>
          <w:szCs w:val="28"/>
        </w:rPr>
      </w:pPr>
      <w:r>
        <w:rPr>
          <w:bCs/>
          <w:kern w:val="0"/>
          <w:sz w:val="24"/>
        </w:rPr>
        <w:t>4</w:t>
      </w:r>
      <w:r>
        <w:rPr>
          <w:rFonts w:asciiTheme="minorEastAsia" w:hAnsiTheme="minorEastAsia" w:eastAsiaTheme="minorEastAsia"/>
          <w:b w:val="0"/>
          <w:bCs w:val="0"/>
          <w:iCs/>
          <w:sz w:val="24"/>
        </w:rPr>
        <w:t>.</w:t>
      </w:r>
      <w:r>
        <w:rPr>
          <w:bCs/>
          <w:kern w:val="0"/>
          <w:sz w:val="24"/>
        </w:rPr>
        <w:t>论文答辩。学位（毕业）论文经专家评审合格、通过学位（毕业）答辩，符合毕业资格审查后，准予毕业。</w:t>
      </w:r>
    </w:p>
    <w:p w14:paraId="1FBD3F16">
      <w:pPr>
        <w:spacing w:line="360" w:lineRule="auto"/>
        <w:ind w:firstLine="562" w:firstLineChars="200"/>
        <w:jc w:val="both"/>
        <w:rPr>
          <w:rFonts w:eastAsia="黑体"/>
          <w:b/>
          <w:bCs w:val="0"/>
          <w:sz w:val="28"/>
          <w:szCs w:val="28"/>
        </w:rPr>
      </w:pPr>
      <w:r>
        <w:rPr>
          <w:rFonts w:hint="eastAsia" w:eastAsia="黑体"/>
          <w:b/>
          <w:bCs w:val="0"/>
          <w:sz w:val="28"/>
          <w:szCs w:val="28"/>
        </w:rPr>
        <w:t>十</w:t>
      </w:r>
      <w:r>
        <w:rPr>
          <w:rFonts w:eastAsia="黑体"/>
          <w:b/>
          <w:bCs w:val="0"/>
          <w:sz w:val="28"/>
          <w:szCs w:val="28"/>
        </w:rPr>
        <w:t>、创新性成果</w:t>
      </w:r>
    </w:p>
    <w:p w14:paraId="1B1A222B">
      <w:pPr>
        <w:spacing w:line="360" w:lineRule="auto"/>
        <w:ind w:firstLine="480" w:firstLineChars="200"/>
        <w:jc w:val="both"/>
        <w:rPr>
          <w:rFonts w:hint="default"/>
          <w:bCs/>
          <w:kern w:val="0"/>
          <w:sz w:val="24"/>
          <w:lang w:val="en-US" w:eastAsia="zh-CN"/>
        </w:rPr>
      </w:pPr>
      <w:r>
        <w:rPr>
          <w:rFonts w:hint="eastAsia"/>
          <w:bCs/>
          <w:kern w:val="0"/>
          <w:sz w:val="24"/>
          <w:lang w:val="en-US" w:eastAsia="zh-CN"/>
        </w:rPr>
        <w:t>为体现创新性成果的多元化，要求会计专业的硕士研究生至少完成以下成果中的一项：</w:t>
      </w:r>
    </w:p>
    <w:p w14:paraId="794AC5BE">
      <w:pPr>
        <w:spacing w:line="360" w:lineRule="auto"/>
        <w:ind w:firstLine="480" w:firstLineChars="200"/>
        <w:jc w:val="both"/>
        <w:rPr>
          <w:rFonts w:hint="eastAsia"/>
          <w:bCs/>
          <w:kern w:val="0"/>
          <w:sz w:val="24"/>
        </w:rPr>
      </w:pPr>
      <w:r>
        <w:rPr>
          <w:rFonts w:hint="eastAsia"/>
          <w:bCs/>
          <w:kern w:val="0"/>
          <w:sz w:val="24"/>
        </w:rPr>
        <w:t>1</w:t>
      </w:r>
      <w:r>
        <w:rPr>
          <w:rFonts w:asciiTheme="minorEastAsia" w:hAnsiTheme="minorEastAsia" w:eastAsiaTheme="minorEastAsia"/>
          <w:b w:val="0"/>
          <w:bCs w:val="0"/>
          <w:iCs/>
          <w:sz w:val="24"/>
        </w:rPr>
        <w:t>.</w:t>
      </w:r>
      <w:r>
        <w:rPr>
          <w:rFonts w:hint="eastAsia"/>
          <w:bCs/>
          <w:kern w:val="0"/>
          <w:sz w:val="24"/>
        </w:rPr>
        <w:t>完成校级及以上研究生创新资助项目并结项</w:t>
      </w:r>
      <w:r>
        <w:rPr>
          <w:rFonts w:hint="eastAsia"/>
          <w:bCs/>
          <w:kern w:val="0"/>
          <w:sz w:val="24"/>
          <w:lang w:eastAsia="zh-CN"/>
        </w:rPr>
        <w:t>（</w:t>
      </w:r>
      <w:r>
        <w:rPr>
          <w:rFonts w:hint="eastAsia"/>
          <w:bCs/>
          <w:kern w:val="0"/>
          <w:sz w:val="24"/>
        </w:rPr>
        <w:t>国家级前三名、省级前两名、校级第一名</w:t>
      </w:r>
      <w:r>
        <w:rPr>
          <w:rFonts w:hint="eastAsia"/>
          <w:bCs/>
          <w:kern w:val="0"/>
          <w:sz w:val="24"/>
          <w:lang w:eastAsia="zh-CN"/>
        </w:rPr>
        <w:t>）</w:t>
      </w:r>
      <w:r>
        <w:rPr>
          <w:rFonts w:hint="eastAsia"/>
          <w:bCs/>
          <w:kern w:val="0"/>
          <w:sz w:val="24"/>
        </w:rPr>
        <w:t>；</w:t>
      </w:r>
    </w:p>
    <w:p w14:paraId="6C1A6E50">
      <w:pPr>
        <w:spacing w:line="360" w:lineRule="auto"/>
        <w:ind w:firstLine="480" w:firstLineChars="200"/>
        <w:jc w:val="both"/>
        <w:rPr>
          <w:rFonts w:hint="eastAsia"/>
          <w:bCs/>
          <w:kern w:val="0"/>
          <w:sz w:val="24"/>
        </w:rPr>
      </w:pPr>
      <w:r>
        <w:rPr>
          <w:rFonts w:hint="eastAsia"/>
          <w:bCs/>
          <w:kern w:val="0"/>
          <w:sz w:val="24"/>
        </w:rPr>
        <w:t>2</w:t>
      </w:r>
      <w:r>
        <w:rPr>
          <w:rFonts w:asciiTheme="minorEastAsia" w:hAnsiTheme="minorEastAsia" w:eastAsiaTheme="minorEastAsia"/>
          <w:b w:val="0"/>
          <w:bCs w:val="0"/>
          <w:iCs/>
          <w:sz w:val="24"/>
        </w:rPr>
        <w:t>.</w:t>
      </w:r>
      <w:r>
        <w:rPr>
          <w:rFonts w:hint="eastAsia"/>
          <w:bCs/>
          <w:kern w:val="0"/>
          <w:sz w:val="24"/>
        </w:rPr>
        <w:t>参加全国MPAcc研究生案例大赛进入</w:t>
      </w:r>
      <w:r>
        <w:rPr>
          <w:rFonts w:hint="eastAsia"/>
          <w:bCs/>
          <w:kern w:val="0"/>
          <w:sz w:val="24"/>
          <w:lang w:val="en-US" w:eastAsia="zh-CN"/>
        </w:rPr>
        <w:t>初赛第二阶段</w:t>
      </w:r>
      <w:r>
        <w:rPr>
          <w:rFonts w:hint="eastAsia"/>
          <w:bCs/>
          <w:kern w:val="0"/>
          <w:sz w:val="24"/>
        </w:rPr>
        <w:t>或进入其他比赛</w:t>
      </w:r>
      <w:r>
        <w:rPr>
          <w:rFonts w:hint="eastAsia"/>
          <w:bCs/>
          <w:kern w:val="0"/>
          <w:sz w:val="24"/>
          <w:lang w:eastAsia="zh-CN"/>
        </w:rPr>
        <w:t>（</w:t>
      </w:r>
      <w:r>
        <w:rPr>
          <w:rFonts w:hint="eastAsia"/>
          <w:bCs/>
          <w:kern w:val="0"/>
          <w:sz w:val="24"/>
        </w:rPr>
        <w:t>赛事需经会计系导师组认可</w:t>
      </w:r>
      <w:r>
        <w:rPr>
          <w:rFonts w:hint="eastAsia"/>
          <w:bCs/>
          <w:kern w:val="0"/>
          <w:sz w:val="24"/>
          <w:lang w:eastAsia="zh-CN"/>
        </w:rPr>
        <w:t>）</w:t>
      </w:r>
      <w:r>
        <w:rPr>
          <w:rFonts w:hint="eastAsia"/>
          <w:bCs/>
          <w:kern w:val="0"/>
          <w:sz w:val="24"/>
        </w:rPr>
        <w:t>决赛；</w:t>
      </w:r>
    </w:p>
    <w:p w14:paraId="1BF2424A">
      <w:pPr>
        <w:spacing w:line="360" w:lineRule="auto"/>
        <w:ind w:firstLine="480" w:firstLineChars="200"/>
        <w:jc w:val="both"/>
        <w:rPr>
          <w:rFonts w:hint="eastAsia" w:eastAsia="宋体"/>
          <w:bCs/>
          <w:kern w:val="0"/>
          <w:sz w:val="24"/>
          <w:lang w:eastAsia="zh-CN"/>
        </w:rPr>
      </w:pPr>
      <w:r>
        <w:rPr>
          <w:rFonts w:hint="eastAsia"/>
          <w:bCs/>
          <w:kern w:val="0"/>
          <w:sz w:val="24"/>
        </w:rPr>
        <w:t>3</w:t>
      </w:r>
      <w:r>
        <w:rPr>
          <w:rFonts w:asciiTheme="minorEastAsia" w:hAnsiTheme="minorEastAsia" w:eastAsiaTheme="minorEastAsia"/>
          <w:b w:val="0"/>
          <w:bCs w:val="0"/>
          <w:iCs/>
          <w:sz w:val="24"/>
        </w:rPr>
        <w:t>.</w:t>
      </w:r>
      <w:r>
        <w:rPr>
          <w:rFonts w:hint="eastAsia"/>
          <w:bCs/>
          <w:kern w:val="0"/>
          <w:sz w:val="24"/>
        </w:rPr>
        <w:t>作为项目主要成员在学校认可的互联网+、挑战杯、调研河北等高水平大赛中获得校级三等奖及以上奖励，以获奖证书或者结题文件为准</w:t>
      </w:r>
      <w:r>
        <w:rPr>
          <w:rFonts w:hint="eastAsia"/>
          <w:bCs/>
          <w:kern w:val="0"/>
          <w:sz w:val="24"/>
          <w:lang w:eastAsia="zh-CN"/>
        </w:rPr>
        <w:t>；</w:t>
      </w:r>
    </w:p>
    <w:p w14:paraId="226E9987">
      <w:pPr>
        <w:spacing w:line="360" w:lineRule="auto"/>
        <w:ind w:firstLine="480" w:firstLineChars="200"/>
        <w:jc w:val="both"/>
        <w:rPr>
          <w:rFonts w:hint="eastAsia" w:eastAsia="宋体"/>
          <w:bCs/>
          <w:kern w:val="0"/>
          <w:sz w:val="24"/>
          <w:lang w:eastAsia="zh-CN"/>
        </w:rPr>
      </w:pPr>
      <w:r>
        <w:rPr>
          <w:rFonts w:hint="eastAsia"/>
          <w:bCs/>
          <w:kern w:val="0"/>
          <w:sz w:val="24"/>
        </w:rPr>
        <w:t>4</w:t>
      </w:r>
      <w:r>
        <w:rPr>
          <w:rFonts w:asciiTheme="minorEastAsia" w:hAnsiTheme="minorEastAsia" w:eastAsiaTheme="minorEastAsia"/>
          <w:b w:val="0"/>
          <w:bCs w:val="0"/>
          <w:iCs/>
          <w:sz w:val="24"/>
        </w:rPr>
        <w:t>.</w:t>
      </w:r>
      <w:r>
        <w:rPr>
          <w:rFonts w:hint="eastAsia"/>
          <w:bCs/>
          <w:kern w:val="0"/>
          <w:sz w:val="24"/>
        </w:rPr>
        <w:t>通过CPA考试专业阶段两科及以上</w:t>
      </w:r>
      <w:r>
        <w:rPr>
          <w:rFonts w:hint="eastAsia"/>
          <w:bCs/>
          <w:kern w:val="0"/>
          <w:sz w:val="24"/>
          <w:lang w:eastAsia="zh-CN"/>
        </w:rPr>
        <w:t>；</w:t>
      </w:r>
    </w:p>
    <w:p w14:paraId="1C2D38CC">
      <w:pPr>
        <w:spacing w:line="360" w:lineRule="auto"/>
        <w:ind w:firstLine="480" w:firstLineChars="200"/>
        <w:jc w:val="both"/>
        <w:rPr>
          <w:rFonts w:hint="eastAsia"/>
          <w:bCs/>
          <w:kern w:val="0"/>
          <w:sz w:val="24"/>
        </w:rPr>
      </w:pPr>
      <w:r>
        <w:rPr>
          <w:rFonts w:hint="eastAsia"/>
          <w:bCs/>
          <w:kern w:val="0"/>
          <w:sz w:val="24"/>
        </w:rPr>
        <w:t>5</w:t>
      </w:r>
      <w:r>
        <w:rPr>
          <w:rFonts w:asciiTheme="minorEastAsia" w:hAnsiTheme="minorEastAsia" w:eastAsiaTheme="minorEastAsia"/>
          <w:b w:val="0"/>
          <w:bCs w:val="0"/>
          <w:iCs/>
          <w:sz w:val="24"/>
        </w:rPr>
        <w:t>.</w:t>
      </w:r>
      <w:r>
        <w:rPr>
          <w:rFonts w:hint="eastAsia"/>
          <w:bCs/>
          <w:kern w:val="0"/>
          <w:sz w:val="24"/>
        </w:rPr>
        <w:t>参与本学科案例库建设取得相关成果，或调研和撰写等相关任务经导师书面认可。</w:t>
      </w:r>
    </w:p>
    <w:p w14:paraId="50BBFEFC">
      <w:pPr>
        <w:spacing w:line="360" w:lineRule="auto"/>
        <w:ind w:firstLine="480" w:firstLineChars="200"/>
        <w:jc w:val="both"/>
        <w:rPr>
          <w:rFonts w:hint="eastAsia"/>
          <w:bCs/>
          <w:kern w:val="0"/>
          <w:sz w:val="24"/>
        </w:rPr>
      </w:pPr>
      <w:r>
        <w:rPr>
          <w:rFonts w:hint="eastAsia"/>
          <w:bCs/>
          <w:kern w:val="0"/>
          <w:sz w:val="24"/>
          <w:lang w:val="en-US" w:eastAsia="zh-CN"/>
        </w:rPr>
        <w:t>6.</w:t>
      </w:r>
      <w:r>
        <w:rPr>
          <w:rFonts w:hint="eastAsia"/>
          <w:bCs/>
          <w:kern w:val="0"/>
          <w:sz w:val="24"/>
        </w:rPr>
        <w:t>在核心期刊发表论文</w:t>
      </w:r>
      <w:r>
        <w:rPr>
          <w:rFonts w:hint="eastAsia"/>
          <w:bCs/>
          <w:kern w:val="0"/>
          <w:sz w:val="24"/>
          <w:lang w:val="en-US" w:eastAsia="zh-CN"/>
        </w:rPr>
        <w:t>、</w:t>
      </w:r>
      <w:r>
        <w:rPr>
          <w:rFonts w:hint="eastAsia"/>
          <w:bCs/>
          <w:kern w:val="0"/>
          <w:sz w:val="24"/>
        </w:rPr>
        <w:t>主持</w:t>
      </w:r>
      <w:r>
        <w:rPr>
          <w:rFonts w:hint="eastAsia"/>
          <w:bCs/>
          <w:kern w:val="0"/>
          <w:sz w:val="24"/>
          <w:lang w:val="en-US" w:eastAsia="zh-CN"/>
        </w:rPr>
        <w:t>校级及以上</w:t>
      </w:r>
      <w:r>
        <w:rPr>
          <w:rFonts w:hint="eastAsia"/>
          <w:bCs/>
          <w:kern w:val="0"/>
          <w:sz w:val="24"/>
        </w:rPr>
        <w:t>科研项目</w:t>
      </w:r>
      <w:r>
        <w:rPr>
          <w:rFonts w:hint="eastAsia"/>
          <w:bCs/>
          <w:kern w:val="0"/>
          <w:sz w:val="24"/>
          <w:lang w:val="en-US" w:eastAsia="zh-CN"/>
        </w:rPr>
        <w:t>或者撰写政策咨询报告获市级以上政府领导批示</w:t>
      </w:r>
      <w:r>
        <w:rPr>
          <w:rFonts w:hint="eastAsia"/>
          <w:bCs/>
          <w:kern w:val="0"/>
          <w:sz w:val="24"/>
        </w:rPr>
        <w:t>。</w:t>
      </w:r>
    </w:p>
    <w:p w14:paraId="2E3A5B5C">
      <w:pPr>
        <w:spacing w:line="440" w:lineRule="exact"/>
        <w:ind w:firstLine="562" w:firstLineChars="200"/>
        <w:jc w:val="both"/>
        <w:rPr>
          <w:rFonts w:eastAsia="黑体"/>
          <w:b/>
          <w:bCs w:val="0"/>
          <w:sz w:val="28"/>
          <w:szCs w:val="28"/>
        </w:rPr>
      </w:pPr>
      <w:r>
        <w:rPr>
          <w:rFonts w:hint="eastAsia" w:eastAsia="黑体"/>
          <w:b/>
          <w:bCs w:val="0"/>
          <w:sz w:val="28"/>
          <w:szCs w:val="28"/>
        </w:rPr>
        <w:t>十</w:t>
      </w:r>
      <w:r>
        <w:rPr>
          <w:rFonts w:hint="eastAsia" w:eastAsia="黑体"/>
          <w:b/>
          <w:bCs w:val="0"/>
          <w:sz w:val="28"/>
          <w:szCs w:val="28"/>
          <w:lang w:val="en-US" w:eastAsia="zh-CN"/>
        </w:rPr>
        <w:t>一</w:t>
      </w:r>
      <w:r>
        <w:rPr>
          <w:rFonts w:eastAsia="黑体"/>
          <w:b/>
          <w:bCs w:val="0"/>
          <w:sz w:val="28"/>
          <w:szCs w:val="28"/>
        </w:rPr>
        <w:t>、学分及课程设置</w:t>
      </w:r>
    </w:p>
    <w:p w14:paraId="5CAAA0D0">
      <w:pPr>
        <w:spacing w:line="360" w:lineRule="auto"/>
        <w:ind w:firstLine="480" w:firstLineChars="200"/>
        <w:jc w:val="both"/>
        <w:rPr>
          <w:rFonts w:hint="default" w:eastAsia="宋体"/>
          <w:bCs/>
          <w:kern w:val="0"/>
          <w:sz w:val="24"/>
          <w:lang w:val="en-US" w:eastAsia="zh-CN"/>
        </w:rPr>
      </w:pPr>
      <w:r>
        <w:rPr>
          <w:rFonts w:hint="eastAsia"/>
          <w:bCs/>
          <w:kern w:val="0"/>
          <w:sz w:val="24"/>
          <w:lang w:val="en-US" w:eastAsia="zh-CN"/>
        </w:rPr>
        <w:t>研究生通过毕业资格审查，满足本培养方案中的创新性成果要求，符合</w:t>
      </w:r>
      <w:r>
        <w:rPr>
          <w:color w:val="222222"/>
          <w:kern w:val="0"/>
          <w:sz w:val="24"/>
        </w:rPr>
        <w:t>《河北大学博士、硕士学位授予工作实施细则》（校政字〔2025〕7号）</w:t>
      </w:r>
      <w:r>
        <w:rPr>
          <w:rFonts w:hint="eastAsia"/>
          <w:color w:val="222222"/>
          <w:kern w:val="0"/>
          <w:sz w:val="24"/>
          <w:lang w:eastAsia="zh-CN"/>
        </w:rPr>
        <w:t>的</w:t>
      </w:r>
      <w:r>
        <w:rPr>
          <w:rFonts w:hint="eastAsia"/>
          <w:color w:val="222222"/>
          <w:kern w:val="0"/>
          <w:sz w:val="24"/>
          <w:lang w:val="en-US" w:eastAsia="zh-CN"/>
        </w:rPr>
        <w:t>有关规定，达到学校学位授予标准，经学校学位评定委员会审议，授予硕士学位。</w:t>
      </w:r>
    </w:p>
    <w:p w14:paraId="4D940395">
      <w:pPr>
        <w:spacing w:line="440" w:lineRule="exact"/>
        <w:ind w:firstLine="562" w:firstLineChars="200"/>
        <w:jc w:val="both"/>
        <w:rPr>
          <w:rFonts w:eastAsia="黑体"/>
          <w:b/>
          <w:bCs w:val="0"/>
          <w:sz w:val="28"/>
          <w:szCs w:val="28"/>
        </w:rPr>
      </w:pPr>
      <w:r>
        <w:rPr>
          <w:rFonts w:hint="eastAsia" w:eastAsia="黑体"/>
          <w:b/>
          <w:bCs w:val="0"/>
          <w:sz w:val="28"/>
          <w:szCs w:val="28"/>
        </w:rPr>
        <w:t>十</w:t>
      </w:r>
      <w:r>
        <w:rPr>
          <w:rFonts w:hint="eastAsia" w:eastAsia="黑体"/>
          <w:b/>
          <w:bCs w:val="0"/>
          <w:sz w:val="28"/>
          <w:szCs w:val="28"/>
          <w:lang w:val="en-US" w:eastAsia="zh-CN"/>
        </w:rPr>
        <w:t>二</w:t>
      </w:r>
      <w:r>
        <w:rPr>
          <w:rFonts w:eastAsia="黑体"/>
          <w:b/>
          <w:bCs w:val="0"/>
          <w:sz w:val="28"/>
          <w:szCs w:val="28"/>
        </w:rPr>
        <w:t>、学分及课程设置</w:t>
      </w:r>
    </w:p>
    <w:p w14:paraId="36B4BA00">
      <w:pPr>
        <w:spacing w:line="440" w:lineRule="exact"/>
        <w:ind w:firstLine="480" w:firstLineChars="200"/>
        <w:jc w:val="both"/>
        <w:rPr>
          <w:rFonts w:eastAsiaTheme="minorEastAsia"/>
          <w:sz w:val="24"/>
        </w:rPr>
      </w:pPr>
      <w:r>
        <w:rPr>
          <w:rFonts w:hint="eastAsia" w:eastAsiaTheme="minorEastAsia"/>
          <w:sz w:val="24"/>
        </w:rPr>
        <w:t>本学位类别</w:t>
      </w:r>
      <w:r>
        <w:rPr>
          <w:rFonts w:eastAsiaTheme="minorEastAsia"/>
          <w:sz w:val="24"/>
        </w:rPr>
        <w:t>最低修读学分为40分，其中学位课21学分</w:t>
      </w:r>
      <w:r>
        <w:rPr>
          <w:rFonts w:hint="eastAsia" w:eastAsiaTheme="minorEastAsia"/>
          <w:sz w:val="24"/>
        </w:rPr>
        <w:t>，</w:t>
      </w:r>
      <w:r>
        <w:rPr>
          <w:rFonts w:eastAsiaTheme="minorEastAsia"/>
          <w:sz w:val="24"/>
        </w:rPr>
        <w:t>非学位课12学分</w:t>
      </w:r>
      <w:r>
        <w:rPr>
          <w:rFonts w:hint="eastAsia" w:eastAsiaTheme="minorEastAsia"/>
          <w:sz w:val="24"/>
        </w:rPr>
        <w:t>，</w:t>
      </w:r>
      <w:r>
        <w:rPr>
          <w:rFonts w:hint="eastAsia" w:eastAsiaTheme="minorEastAsia"/>
          <w:sz w:val="24"/>
          <w:lang w:val="en-US" w:eastAsia="zh-CN"/>
        </w:rPr>
        <w:t>必修</w:t>
      </w:r>
      <w:r>
        <w:rPr>
          <w:rFonts w:hint="eastAsia" w:eastAsiaTheme="minorEastAsia"/>
          <w:sz w:val="24"/>
        </w:rPr>
        <w:t>环节7学分</w:t>
      </w:r>
      <w:r>
        <w:rPr>
          <w:rFonts w:eastAsiaTheme="minorEastAsia"/>
          <w:sz w:val="24"/>
        </w:rPr>
        <w:t>。</w:t>
      </w:r>
    </w:p>
    <w:p w14:paraId="0C17386D">
      <w:pPr>
        <w:spacing w:line="420" w:lineRule="exact"/>
        <w:ind w:firstLine="480"/>
        <w:jc w:val="both"/>
        <w:rPr>
          <w:sz w:val="24"/>
        </w:rPr>
      </w:pPr>
      <w:r>
        <w:rPr>
          <w:rFonts w:hint="eastAsia" w:eastAsiaTheme="minorEastAsia"/>
          <w:sz w:val="24"/>
        </w:rPr>
        <w:t>研究生课程考试不设补考环节，</w:t>
      </w:r>
      <w:r>
        <w:rPr>
          <w:sz w:val="24"/>
        </w:rPr>
        <w:t>考试成绩</w:t>
      </w:r>
      <w:r>
        <w:rPr>
          <w:rFonts w:hint="eastAsia"/>
          <w:sz w:val="24"/>
        </w:rPr>
        <w:t>低于60分的需重修。</w:t>
      </w:r>
    </w:p>
    <w:p w14:paraId="2796FAA0">
      <w:pPr>
        <w:spacing w:line="420" w:lineRule="exact"/>
        <w:ind w:firstLine="480"/>
        <w:jc w:val="both"/>
        <w:rPr>
          <w:rFonts w:eastAsiaTheme="minorEastAsia"/>
          <w:sz w:val="24"/>
        </w:rPr>
      </w:pPr>
      <w:r>
        <w:rPr>
          <w:rFonts w:hint="eastAsia" w:eastAsiaTheme="minorEastAsia"/>
          <w:sz w:val="24"/>
        </w:rPr>
        <w:t>课程考核方式包括考试和考查，</w:t>
      </w:r>
      <w:r>
        <w:rPr>
          <w:rFonts w:eastAsiaTheme="minorEastAsia"/>
          <w:sz w:val="24"/>
        </w:rPr>
        <w:t>可以采用口试、笔试或写读书报告、论文的形式，但应有</w:t>
      </w:r>
      <w:r>
        <w:rPr>
          <w:rFonts w:hint="eastAsia" w:eastAsiaTheme="minorEastAsia"/>
          <w:sz w:val="24"/>
        </w:rPr>
        <w:t>一</w:t>
      </w:r>
      <w:r>
        <w:rPr>
          <w:rFonts w:eastAsiaTheme="minorEastAsia"/>
          <w:sz w:val="24"/>
        </w:rPr>
        <w:t>定数量的笔试（</w:t>
      </w:r>
      <w:r>
        <w:rPr>
          <w:rFonts w:hint="eastAsia" w:eastAsiaTheme="minorEastAsia"/>
          <w:sz w:val="24"/>
        </w:rPr>
        <w:t>本专业学位专业</w:t>
      </w:r>
      <w:r>
        <w:rPr>
          <w:rFonts w:hint="eastAsia" w:eastAsiaTheme="minorEastAsia"/>
          <w:sz w:val="24"/>
          <w:lang w:val="en-US" w:eastAsia="zh-CN"/>
        </w:rPr>
        <w:t>必修</w:t>
      </w:r>
      <w:r>
        <w:rPr>
          <w:rFonts w:hint="eastAsia" w:eastAsiaTheme="minorEastAsia"/>
          <w:sz w:val="24"/>
        </w:rPr>
        <w:t>课笔试科目不少于4门</w:t>
      </w:r>
      <w:r>
        <w:rPr>
          <w:rFonts w:eastAsiaTheme="minorEastAsia"/>
          <w:sz w:val="24"/>
        </w:rPr>
        <w:t>）。无论采取何种</w:t>
      </w:r>
      <w:r>
        <w:rPr>
          <w:rFonts w:hint="eastAsia" w:eastAsiaTheme="minorEastAsia"/>
          <w:sz w:val="24"/>
        </w:rPr>
        <w:t>考核</w:t>
      </w:r>
      <w:r>
        <w:rPr>
          <w:rFonts w:eastAsiaTheme="minorEastAsia"/>
          <w:sz w:val="24"/>
        </w:rPr>
        <w:t>方式，均应能真实反映学生对所学课程掌握的程度及运用知识的能力，成绩均按百分制成绩评定。</w:t>
      </w:r>
    </w:p>
    <w:p w14:paraId="47A38B85">
      <w:pPr>
        <w:spacing w:line="420" w:lineRule="exact"/>
        <w:jc w:val="both"/>
        <w:rPr>
          <w:rFonts w:eastAsiaTheme="minorEastAsia"/>
          <w:sz w:val="24"/>
        </w:rPr>
      </w:pPr>
    </w:p>
    <w:p w14:paraId="2ABB85CA">
      <w:pPr>
        <w:spacing w:after="156" w:afterLines="50" w:line="440" w:lineRule="exact"/>
        <w:ind w:firstLine="482" w:firstLineChars="200"/>
        <w:jc w:val="center"/>
        <w:rPr>
          <w:rFonts w:asciiTheme="minorEastAsia" w:hAnsiTheme="minorEastAsia" w:eastAsiaTheme="minorEastAsia"/>
          <w:b/>
          <w:bCs/>
          <w:sz w:val="24"/>
        </w:rPr>
      </w:pPr>
      <w:r>
        <w:rPr>
          <w:rFonts w:hint="eastAsia" w:asciiTheme="minorEastAsia" w:hAnsiTheme="minorEastAsia" w:eastAsiaTheme="minorEastAsia"/>
          <w:b/>
          <w:bCs/>
          <w:sz w:val="24"/>
        </w:rPr>
        <w:t>会计全日制专业学位硕士研究生课程设置一览表</w:t>
      </w:r>
    </w:p>
    <w:tbl>
      <w:tblPr>
        <w:tblStyle w:val="12"/>
        <w:tblW w:w="954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311"/>
        <w:gridCol w:w="3258"/>
        <w:gridCol w:w="1172"/>
        <w:gridCol w:w="794"/>
        <w:gridCol w:w="829"/>
        <w:gridCol w:w="1606"/>
      </w:tblGrid>
      <w:tr w14:paraId="657C56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882" w:type="dxa"/>
            <w:gridSpan w:val="2"/>
            <w:vAlign w:val="center"/>
          </w:tcPr>
          <w:p w14:paraId="2D44F58E">
            <w:pPr>
              <w:jc w:val="center"/>
              <w:rPr>
                <w:b/>
                <w:szCs w:val="21"/>
              </w:rPr>
            </w:pPr>
            <w:r>
              <w:rPr>
                <w:b/>
                <w:szCs w:val="21"/>
              </w:rPr>
              <w:t>课程类别</w:t>
            </w:r>
          </w:p>
        </w:tc>
        <w:tc>
          <w:tcPr>
            <w:tcW w:w="3258" w:type="dxa"/>
            <w:vAlign w:val="center"/>
          </w:tcPr>
          <w:p w14:paraId="483E2DE0">
            <w:pPr>
              <w:jc w:val="center"/>
              <w:rPr>
                <w:b/>
                <w:szCs w:val="21"/>
              </w:rPr>
            </w:pPr>
            <w:r>
              <w:rPr>
                <w:b/>
                <w:szCs w:val="21"/>
              </w:rPr>
              <w:t>课程说明</w:t>
            </w:r>
          </w:p>
        </w:tc>
        <w:tc>
          <w:tcPr>
            <w:tcW w:w="1172" w:type="dxa"/>
            <w:vAlign w:val="center"/>
          </w:tcPr>
          <w:p w14:paraId="3BC66D28">
            <w:pPr>
              <w:jc w:val="center"/>
              <w:rPr>
                <w:b/>
                <w:szCs w:val="21"/>
              </w:rPr>
            </w:pPr>
            <w:r>
              <w:rPr>
                <w:b/>
                <w:szCs w:val="21"/>
              </w:rPr>
              <w:t>课程号</w:t>
            </w:r>
          </w:p>
        </w:tc>
        <w:tc>
          <w:tcPr>
            <w:tcW w:w="794" w:type="dxa"/>
            <w:vAlign w:val="center"/>
          </w:tcPr>
          <w:p w14:paraId="1A499BDC">
            <w:pPr>
              <w:jc w:val="center"/>
              <w:rPr>
                <w:b/>
                <w:szCs w:val="21"/>
              </w:rPr>
            </w:pPr>
            <w:r>
              <w:rPr>
                <w:b/>
                <w:szCs w:val="21"/>
              </w:rPr>
              <w:t>学分</w:t>
            </w:r>
          </w:p>
        </w:tc>
        <w:tc>
          <w:tcPr>
            <w:tcW w:w="829" w:type="dxa"/>
            <w:vAlign w:val="center"/>
          </w:tcPr>
          <w:p w14:paraId="4D3B7144">
            <w:pPr>
              <w:jc w:val="center"/>
              <w:rPr>
                <w:b/>
                <w:szCs w:val="21"/>
              </w:rPr>
            </w:pPr>
            <w:r>
              <w:rPr>
                <w:b/>
                <w:szCs w:val="21"/>
              </w:rPr>
              <w:t>学期</w:t>
            </w:r>
          </w:p>
        </w:tc>
        <w:tc>
          <w:tcPr>
            <w:tcW w:w="1606" w:type="dxa"/>
            <w:vAlign w:val="center"/>
          </w:tcPr>
          <w:p w14:paraId="0AD89263">
            <w:pPr>
              <w:jc w:val="center"/>
              <w:rPr>
                <w:b/>
                <w:szCs w:val="21"/>
              </w:rPr>
            </w:pPr>
            <w:r>
              <w:rPr>
                <w:rFonts w:hint="eastAsia"/>
                <w:b/>
                <w:szCs w:val="21"/>
              </w:rPr>
              <w:t>备注</w:t>
            </w:r>
          </w:p>
        </w:tc>
      </w:tr>
      <w:tr w14:paraId="29DD321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6399D954">
            <w:pPr>
              <w:jc w:val="center"/>
              <w:rPr>
                <w:b/>
                <w:color w:val="auto"/>
                <w:sz w:val="18"/>
                <w:szCs w:val="18"/>
              </w:rPr>
            </w:pPr>
            <w:r>
              <w:rPr>
                <w:b/>
                <w:color w:val="auto"/>
                <w:sz w:val="18"/>
                <w:szCs w:val="18"/>
              </w:rPr>
              <w:t>学位课</w:t>
            </w:r>
          </w:p>
        </w:tc>
        <w:tc>
          <w:tcPr>
            <w:tcW w:w="1311" w:type="dxa"/>
            <w:vMerge w:val="restart"/>
            <w:vAlign w:val="center"/>
          </w:tcPr>
          <w:p w14:paraId="567C7A57">
            <w:pPr>
              <w:jc w:val="center"/>
              <w:rPr>
                <w:b/>
                <w:color w:val="auto"/>
                <w:sz w:val="18"/>
                <w:szCs w:val="18"/>
              </w:rPr>
            </w:pPr>
            <w:r>
              <w:rPr>
                <w:b/>
                <w:color w:val="auto"/>
                <w:sz w:val="18"/>
                <w:szCs w:val="18"/>
              </w:rPr>
              <w:t>公共必修课</w:t>
            </w:r>
          </w:p>
          <w:p w14:paraId="05A542CF">
            <w:pPr>
              <w:jc w:val="center"/>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258" w:type="dxa"/>
            <w:vAlign w:val="center"/>
          </w:tcPr>
          <w:p w14:paraId="58BDBA7C">
            <w:pPr>
              <w:rPr>
                <w:color w:val="auto"/>
                <w:sz w:val="18"/>
                <w:szCs w:val="18"/>
              </w:rPr>
            </w:pPr>
            <w:r>
              <w:rPr>
                <w:rFonts w:hint="eastAsia"/>
                <w:color w:val="auto"/>
                <w:sz w:val="18"/>
                <w:szCs w:val="18"/>
              </w:rPr>
              <w:t>新时代</w:t>
            </w:r>
            <w:r>
              <w:rPr>
                <w:color w:val="auto"/>
                <w:sz w:val="18"/>
                <w:szCs w:val="18"/>
              </w:rPr>
              <w:t>中国特色社会主义理论与实践</w:t>
            </w:r>
          </w:p>
        </w:tc>
        <w:tc>
          <w:tcPr>
            <w:tcW w:w="1172" w:type="dxa"/>
            <w:vAlign w:val="center"/>
          </w:tcPr>
          <w:p w14:paraId="2B9BD0CB">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0000001</w:t>
            </w:r>
          </w:p>
        </w:tc>
        <w:tc>
          <w:tcPr>
            <w:tcW w:w="794" w:type="dxa"/>
            <w:vAlign w:val="center"/>
          </w:tcPr>
          <w:p w14:paraId="03603165">
            <w:pPr>
              <w:jc w:val="center"/>
              <w:rPr>
                <w:color w:val="auto"/>
                <w:sz w:val="18"/>
                <w:szCs w:val="18"/>
              </w:rPr>
            </w:pPr>
            <w:r>
              <w:rPr>
                <w:color w:val="auto"/>
                <w:sz w:val="18"/>
                <w:szCs w:val="18"/>
              </w:rPr>
              <w:t>2</w:t>
            </w:r>
          </w:p>
        </w:tc>
        <w:tc>
          <w:tcPr>
            <w:tcW w:w="829" w:type="dxa"/>
            <w:vAlign w:val="center"/>
          </w:tcPr>
          <w:p w14:paraId="0EC31263">
            <w:pPr>
              <w:jc w:val="center"/>
              <w:rPr>
                <w:color w:val="auto"/>
                <w:sz w:val="18"/>
                <w:szCs w:val="18"/>
              </w:rPr>
            </w:pPr>
            <w:r>
              <w:rPr>
                <w:color w:val="auto"/>
                <w:sz w:val="18"/>
                <w:szCs w:val="18"/>
              </w:rPr>
              <w:t>1</w:t>
            </w:r>
          </w:p>
        </w:tc>
        <w:tc>
          <w:tcPr>
            <w:tcW w:w="1606" w:type="dxa"/>
            <w:vAlign w:val="center"/>
          </w:tcPr>
          <w:p w14:paraId="58AD5B37">
            <w:pPr>
              <w:jc w:val="center"/>
              <w:rPr>
                <w:color w:val="auto"/>
                <w:sz w:val="18"/>
                <w:szCs w:val="18"/>
              </w:rPr>
            </w:pPr>
            <w:r>
              <w:rPr>
                <w:rFonts w:hint="eastAsia"/>
                <w:color w:val="auto"/>
                <w:sz w:val="18"/>
                <w:szCs w:val="18"/>
              </w:rPr>
              <w:t>考查</w:t>
            </w:r>
          </w:p>
        </w:tc>
      </w:tr>
      <w:tr w14:paraId="232049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4681AC25">
            <w:pPr>
              <w:jc w:val="center"/>
              <w:rPr>
                <w:b/>
                <w:color w:val="auto"/>
                <w:sz w:val="18"/>
                <w:szCs w:val="18"/>
              </w:rPr>
            </w:pPr>
          </w:p>
        </w:tc>
        <w:tc>
          <w:tcPr>
            <w:tcW w:w="1311" w:type="dxa"/>
            <w:vMerge w:val="continue"/>
            <w:vAlign w:val="center"/>
          </w:tcPr>
          <w:p w14:paraId="7DD4A9CE">
            <w:pPr>
              <w:jc w:val="center"/>
              <w:rPr>
                <w:b/>
                <w:color w:val="auto"/>
                <w:sz w:val="18"/>
                <w:szCs w:val="18"/>
              </w:rPr>
            </w:pPr>
          </w:p>
        </w:tc>
        <w:tc>
          <w:tcPr>
            <w:tcW w:w="3258" w:type="dxa"/>
            <w:vAlign w:val="center"/>
          </w:tcPr>
          <w:p w14:paraId="0136ED9D">
            <w:pPr>
              <w:rPr>
                <w:color w:val="auto"/>
                <w:sz w:val="18"/>
                <w:szCs w:val="18"/>
              </w:rPr>
            </w:pPr>
            <w:r>
              <w:rPr>
                <w:rFonts w:hint="eastAsia"/>
                <w:color w:val="auto"/>
                <w:sz w:val="18"/>
                <w:szCs w:val="18"/>
              </w:rPr>
              <w:t>通用学术英语</w:t>
            </w:r>
          </w:p>
        </w:tc>
        <w:tc>
          <w:tcPr>
            <w:tcW w:w="1172" w:type="dxa"/>
            <w:vAlign w:val="center"/>
          </w:tcPr>
          <w:p w14:paraId="5A24132F">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00000</w:t>
            </w:r>
            <w:r>
              <w:rPr>
                <w:rFonts w:hint="eastAsia"/>
                <w:color w:val="auto"/>
                <w:sz w:val="18"/>
                <w:szCs w:val="18"/>
              </w:rPr>
              <w:t>02</w:t>
            </w:r>
          </w:p>
        </w:tc>
        <w:tc>
          <w:tcPr>
            <w:tcW w:w="794" w:type="dxa"/>
            <w:vAlign w:val="center"/>
          </w:tcPr>
          <w:p w14:paraId="7EDBBF4C">
            <w:pPr>
              <w:jc w:val="center"/>
              <w:rPr>
                <w:color w:val="auto"/>
                <w:sz w:val="18"/>
                <w:szCs w:val="18"/>
              </w:rPr>
            </w:pPr>
            <w:r>
              <w:rPr>
                <w:rFonts w:hint="eastAsia"/>
                <w:color w:val="auto"/>
                <w:sz w:val="18"/>
                <w:szCs w:val="18"/>
              </w:rPr>
              <w:t>2</w:t>
            </w:r>
          </w:p>
        </w:tc>
        <w:tc>
          <w:tcPr>
            <w:tcW w:w="829" w:type="dxa"/>
            <w:vAlign w:val="center"/>
          </w:tcPr>
          <w:p w14:paraId="2AA4C1B6">
            <w:pPr>
              <w:jc w:val="center"/>
              <w:rPr>
                <w:color w:val="auto"/>
                <w:sz w:val="18"/>
                <w:szCs w:val="18"/>
              </w:rPr>
            </w:pPr>
            <w:r>
              <w:rPr>
                <w:color w:val="auto"/>
                <w:sz w:val="18"/>
                <w:szCs w:val="18"/>
              </w:rPr>
              <w:t>1</w:t>
            </w:r>
          </w:p>
        </w:tc>
        <w:tc>
          <w:tcPr>
            <w:tcW w:w="1606" w:type="dxa"/>
            <w:vAlign w:val="center"/>
          </w:tcPr>
          <w:p w14:paraId="340CC964">
            <w:pPr>
              <w:jc w:val="center"/>
              <w:rPr>
                <w:color w:val="auto"/>
                <w:sz w:val="18"/>
                <w:szCs w:val="18"/>
              </w:rPr>
            </w:pPr>
            <w:r>
              <w:rPr>
                <w:rFonts w:hint="eastAsia"/>
                <w:color w:val="auto"/>
                <w:sz w:val="18"/>
                <w:szCs w:val="18"/>
              </w:rPr>
              <w:t>考查</w:t>
            </w:r>
          </w:p>
        </w:tc>
      </w:tr>
      <w:tr w14:paraId="1F689B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2" w:hRule="atLeast"/>
          <w:jc w:val="center"/>
        </w:trPr>
        <w:tc>
          <w:tcPr>
            <w:tcW w:w="571" w:type="dxa"/>
            <w:vMerge w:val="continue"/>
            <w:vAlign w:val="center"/>
          </w:tcPr>
          <w:p w14:paraId="02E14A97">
            <w:pPr>
              <w:jc w:val="center"/>
              <w:rPr>
                <w:b/>
                <w:color w:val="auto"/>
                <w:sz w:val="18"/>
                <w:szCs w:val="18"/>
              </w:rPr>
            </w:pPr>
          </w:p>
        </w:tc>
        <w:tc>
          <w:tcPr>
            <w:tcW w:w="1311" w:type="dxa"/>
            <w:vMerge w:val="restart"/>
            <w:vAlign w:val="center"/>
          </w:tcPr>
          <w:p w14:paraId="113996E7">
            <w:pPr>
              <w:jc w:val="center"/>
              <w:rPr>
                <w:rFonts w:hint="eastAsia"/>
                <w:b/>
                <w:color w:val="auto"/>
                <w:sz w:val="18"/>
                <w:szCs w:val="18"/>
                <w:lang w:val="en-US" w:eastAsia="zh-CN"/>
              </w:rPr>
            </w:pPr>
            <w:r>
              <w:rPr>
                <w:rFonts w:hint="eastAsia"/>
                <w:b/>
                <w:color w:val="auto"/>
                <w:sz w:val="18"/>
                <w:szCs w:val="18"/>
                <w:lang w:val="en-US" w:eastAsia="zh-CN"/>
              </w:rPr>
              <w:t>学科基础课</w:t>
            </w:r>
          </w:p>
          <w:p w14:paraId="42FB4A50">
            <w:pPr>
              <w:jc w:val="center"/>
              <w:rPr>
                <w:rFonts w:hint="default"/>
                <w:b/>
                <w:color w:val="auto"/>
                <w:sz w:val="18"/>
                <w:szCs w:val="18"/>
                <w:lang w:val="en-US" w:eastAsia="zh-CN"/>
              </w:rPr>
            </w:pPr>
            <w:r>
              <w:rPr>
                <w:b/>
                <w:color w:val="auto"/>
                <w:sz w:val="18"/>
                <w:szCs w:val="18"/>
              </w:rPr>
              <w:t>（</w:t>
            </w:r>
            <w:r>
              <w:rPr>
                <w:rFonts w:hint="eastAsia"/>
                <w:b/>
                <w:color w:val="auto"/>
                <w:sz w:val="18"/>
                <w:szCs w:val="18"/>
                <w:lang w:val="en-US" w:eastAsia="zh-CN"/>
              </w:rPr>
              <w:t>3</w:t>
            </w:r>
            <w:r>
              <w:rPr>
                <w:b/>
                <w:color w:val="auto"/>
                <w:sz w:val="18"/>
                <w:szCs w:val="18"/>
              </w:rPr>
              <w:t>学分）</w:t>
            </w:r>
          </w:p>
        </w:tc>
        <w:tc>
          <w:tcPr>
            <w:tcW w:w="3258" w:type="dxa"/>
            <w:tcBorders>
              <w:bottom w:val="single" w:color="auto" w:sz="4" w:space="0"/>
            </w:tcBorders>
            <w:shd w:val="clear" w:color="auto" w:fill="auto"/>
            <w:vAlign w:val="center"/>
          </w:tcPr>
          <w:p w14:paraId="237DADC6">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学术道德</w:t>
            </w:r>
            <w:r>
              <w:rPr>
                <w:color w:val="auto"/>
                <w:sz w:val="18"/>
                <w:szCs w:val="18"/>
              </w:rPr>
              <w:t>与论文写作</w:t>
            </w:r>
          </w:p>
        </w:tc>
        <w:tc>
          <w:tcPr>
            <w:tcW w:w="1172" w:type="dxa"/>
            <w:tcBorders>
              <w:bottom w:val="single" w:color="auto" w:sz="4" w:space="0"/>
            </w:tcBorders>
            <w:shd w:val="clear" w:color="auto" w:fill="auto"/>
            <w:vAlign w:val="center"/>
          </w:tcPr>
          <w:p w14:paraId="7A48BF4F">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ZS</w:t>
            </w:r>
            <w:r>
              <w:rPr>
                <w:color w:val="auto"/>
                <w:sz w:val="18"/>
                <w:szCs w:val="18"/>
              </w:rPr>
              <w:t>041100</w:t>
            </w:r>
            <w:r>
              <w:rPr>
                <w:rFonts w:hint="eastAsia"/>
                <w:color w:val="auto"/>
                <w:sz w:val="18"/>
                <w:szCs w:val="18"/>
                <w:lang w:val="en-US" w:eastAsia="zh-CN"/>
              </w:rPr>
              <w:t>8</w:t>
            </w:r>
          </w:p>
        </w:tc>
        <w:tc>
          <w:tcPr>
            <w:tcW w:w="794" w:type="dxa"/>
            <w:tcBorders>
              <w:bottom w:val="single" w:color="auto" w:sz="4" w:space="0"/>
            </w:tcBorders>
            <w:shd w:val="clear" w:color="auto" w:fill="auto"/>
            <w:vAlign w:val="center"/>
          </w:tcPr>
          <w:p w14:paraId="1E5612D5">
            <w:pPr>
              <w:jc w:val="center"/>
              <w:rPr>
                <w:rFonts w:hint="eastAsia" w:ascii="Times New Roman" w:hAnsi="Times New Roman" w:eastAsia="宋体" w:cs="Times New Roman"/>
                <w:color w:val="auto"/>
                <w:kern w:val="2"/>
                <w:sz w:val="18"/>
                <w:szCs w:val="18"/>
                <w:lang w:val="en-US" w:eastAsia="zh-CN" w:bidi="ar-SA"/>
              </w:rPr>
            </w:pPr>
            <w:r>
              <w:rPr>
                <w:color w:val="auto"/>
                <w:sz w:val="18"/>
                <w:szCs w:val="18"/>
              </w:rPr>
              <w:t>1</w:t>
            </w:r>
          </w:p>
        </w:tc>
        <w:tc>
          <w:tcPr>
            <w:tcW w:w="829" w:type="dxa"/>
            <w:tcBorders>
              <w:bottom w:val="single" w:color="auto" w:sz="4" w:space="0"/>
            </w:tcBorders>
            <w:shd w:val="clear" w:color="auto" w:fill="auto"/>
            <w:vAlign w:val="center"/>
          </w:tcPr>
          <w:p w14:paraId="7C515427">
            <w:pPr>
              <w:jc w:val="center"/>
              <w:rPr>
                <w:rFonts w:ascii="Times New Roman" w:hAnsi="Times New Roman" w:eastAsia="宋体" w:cs="Times New Roman"/>
                <w:color w:val="auto"/>
                <w:kern w:val="2"/>
                <w:sz w:val="18"/>
                <w:szCs w:val="18"/>
                <w:lang w:val="en-US" w:eastAsia="zh-CN" w:bidi="ar-SA"/>
              </w:rPr>
            </w:pPr>
            <w:r>
              <w:rPr>
                <w:color w:val="auto"/>
                <w:sz w:val="18"/>
                <w:szCs w:val="18"/>
              </w:rPr>
              <w:t>1</w:t>
            </w:r>
          </w:p>
        </w:tc>
        <w:tc>
          <w:tcPr>
            <w:tcW w:w="1606" w:type="dxa"/>
            <w:tcBorders>
              <w:bottom w:val="single" w:color="auto" w:sz="4" w:space="0"/>
            </w:tcBorders>
            <w:shd w:val="clear" w:color="auto" w:fill="auto"/>
            <w:vAlign w:val="center"/>
          </w:tcPr>
          <w:p w14:paraId="2CB527C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考试</w:t>
            </w:r>
          </w:p>
        </w:tc>
      </w:tr>
      <w:tr w14:paraId="442114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3" w:hRule="atLeast"/>
          <w:jc w:val="center"/>
        </w:trPr>
        <w:tc>
          <w:tcPr>
            <w:tcW w:w="571" w:type="dxa"/>
            <w:vMerge w:val="continue"/>
            <w:vAlign w:val="center"/>
          </w:tcPr>
          <w:p w14:paraId="1A5CE21B">
            <w:pPr>
              <w:jc w:val="center"/>
              <w:rPr>
                <w:b/>
                <w:color w:val="auto"/>
                <w:sz w:val="18"/>
                <w:szCs w:val="18"/>
              </w:rPr>
            </w:pPr>
          </w:p>
        </w:tc>
        <w:tc>
          <w:tcPr>
            <w:tcW w:w="1311" w:type="dxa"/>
            <w:vMerge w:val="continue"/>
            <w:vAlign w:val="center"/>
          </w:tcPr>
          <w:p w14:paraId="1CD63A59">
            <w:pPr>
              <w:jc w:val="center"/>
              <w:rPr>
                <w:rFonts w:hint="eastAsia"/>
                <w:b/>
                <w:color w:val="auto"/>
                <w:sz w:val="18"/>
                <w:szCs w:val="18"/>
                <w:lang w:val="en-US" w:eastAsia="zh-CN"/>
              </w:rPr>
            </w:pPr>
          </w:p>
        </w:tc>
        <w:tc>
          <w:tcPr>
            <w:tcW w:w="3258" w:type="dxa"/>
            <w:tcBorders>
              <w:top w:val="single" w:color="auto" w:sz="4" w:space="0"/>
            </w:tcBorders>
            <w:vAlign w:val="center"/>
          </w:tcPr>
          <w:p w14:paraId="4CA828EB">
            <w:pPr>
              <w:rPr>
                <w:rFonts w:hint="eastAsia"/>
                <w:color w:val="auto"/>
                <w:sz w:val="18"/>
                <w:szCs w:val="18"/>
              </w:rPr>
            </w:pPr>
            <w:r>
              <w:rPr>
                <w:rFonts w:hint="eastAsia"/>
                <w:color w:val="auto"/>
                <w:sz w:val="18"/>
                <w:szCs w:val="18"/>
              </w:rPr>
              <w:t>公司战略与风险管理</w:t>
            </w:r>
          </w:p>
        </w:tc>
        <w:tc>
          <w:tcPr>
            <w:tcW w:w="1172" w:type="dxa"/>
            <w:tcBorders>
              <w:top w:val="single" w:color="auto" w:sz="4" w:space="0"/>
            </w:tcBorders>
            <w:vAlign w:val="center"/>
          </w:tcPr>
          <w:p w14:paraId="063FB3F9">
            <w:pPr>
              <w:jc w:val="center"/>
              <w:rPr>
                <w:rFonts w:hint="eastAsia" w:eastAsia="宋体"/>
                <w:color w:val="auto"/>
                <w:sz w:val="18"/>
                <w:szCs w:val="18"/>
                <w:lang w:val="en-US" w:eastAsia="zh-CN"/>
              </w:rPr>
            </w:pPr>
            <w:r>
              <w:rPr>
                <w:rFonts w:hint="eastAsia"/>
                <w:color w:val="auto"/>
                <w:sz w:val="18"/>
                <w:szCs w:val="18"/>
              </w:rPr>
              <w:t>ZS</w:t>
            </w:r>
            <w:r>
              <w:rPr>
                <w:color w:val="auto"/>
                <w:sz w:val="18"/>
                <w:szCs w:val="18"/>
              </w:rPr>
              <w:t>041100</w:t>
            </w:r>
            <w:r>
              <w:rPr>
                <w:rFonts w:hint="eastAsia"/>
                <w:color w:val="auto"/>
                <w:sz w:val="18"/>
                <w:szCs w:val="18"/>
                <w:lang w:val="en-US" w:eastAsia="zh-CN"/>
              </w:rPr>
              <w:t>9</w:t>
            </w:r>
          </w:p>
        </w:tc>
        <w:tc>
          <w:tcPr>
            <w:tcW w:w="794" w:type="dxa"/>
            <w:tcBorders>
              <w:top w:val="single" w:color="auto" w:sz="4" w:space="0"/>
            </w:tcBorders>
            <w:vAlign w:val="center"/>
          </w:tcPr>
          <w:p w14:paraId="00BCAABB">
            <w:pPr>
              <w:jc w:val="center"/>
              <w:rPr>
                <w:rFonts w:hint="eastAsia" w:eastAsia="宋体"/>
                <w:color w:val="auto"/>
                <w:sz w:val="18"/>
                <w:szCs w:val="18"/>
                <w:lang w:val="en-US" w:eastAsia="zh-CN"/>
              </w:rPr>
            </w:pPr>
            <w:r>
              <w:rPr>
                <w:rFonts w:hint="eastAsia"/>
                <w:color w:val="auto"/>
                <w:sz w:val="18"/>
                <w:szCs w:val="18"/>
                <w:lang w:val="en-US" w:eastAsia="zh-CN"/>
              </w:rPr>
              <w:t>2</w:t>
            </w:r>
          </w:p>
        </w:tc>
        <w:tc>
          <w:tcPr>
            <w:tcW w:w="829" w:type="dxa"/>
            <w:tcBorders>
              <w:top w:val="single" w:color="auto" w:sz="4" w:space="0"/>
            </w:tcBorders>
            <w:vAlign w:val="center"/>
          </w:tcPr>
          <w:p w14:paraId="38831C58">
            <w:pPr>
              <w:jc w:val="center"/>
              <w:rPr>
                <w:rFonts w:hint="default" w:eastAsia="宋体"/>
                <w:color w:val="auto"/>
                <w:sz w:val="18"/>
                <w:szCs w:val="18"/>
                <w:lang w:val="en-US" w:eastAsia="zh-CN"/>
              </w:rPr>
            </w:pPr>
            <w:r>
              <w:rPr>
                <w:rFonts w:hint="eastAsia"/>
                <w:color w:val="auto"/>
                <w:sz w:val="18"/>
                <w:szCs w:val="18"/>
                <w:lang w:val="en-US" w:eastAsia="zh-CN"/>
              </w:rPr>
              <w:t>1</w:t>
            </w:r>
          </w:p>
        </w:tc>
        <w:tc>
          <w:tcPr>
            <w:tcW w:w="1606" w:type="dxa"/>
            <w:tcBorders>
              <w:top w:val="single" w:color="auto" w:sz="4" w:space="0"/>
            </w:tcBorders>
            <w:vAlign w:val="center"/>
          </w:tcPr>
          <w:p w14:paraId="7FB363DE">
            <w:pPr>
              <w:jc w:val="center"/>
              <w:rPr>
                <w:rFonts w:hint="eastAsia" w:eastAsia="宋体"/>
                <w:color w:val="auto"/>
                <w:sz w:val="18"/>
                <w:szCs w:val="18"/>
                <w:lang w:val="en-US" w:eastAsia="zh-CN"/>
              </w:rPr>
            </w:pPr>
            <w:r>
              <w:rPr>
                <w:rFonts w:hint="eastAsia"/>
                <w:color w:val="auto"/>
                <w:sz w:val="18"/>
                <w:szCs w:val="18"/>
                <w:lang w:val="en-US" w:eastAsia="zh-CN"/>
              </w:rPr>
              <w:t>考试</w:t>
            </w:r>
          </w:p>
        </w:tc>
      </w:tr>
      <w:tr w14:paraId="67A096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91C240">
            <w:pPr>
              <w:jc w:val="center"/>
              <w:rPr>
                <w:b/>
                <w:color w:val="auto"/>
                <w:sz w:val="18"/>
                <w:szCs w:val="18"/>
              </w:rPr>
            </w:pPr>
          </w:p>
        </w:tc>
        <w:tc>
          <w:tcPr>
            <w:tcW w:w="1311" w:type="dxa"/>
            <w:vMerge w:val="restart"/>
            <w:tcBorders>
              <w:top w:val="single" w:color="auto" w:sz="4" w:space="0"/>
            </w:tcBorders>
            <w:vAlign w:val="center"/>
          </w:tcPr>
          <w:p w14:paraId="7F0E4A60">
            <w:pPr>
              <w:jc w:val="center"/>
              <w:rPr>
                <w:b/>
                <w:color w:val="auto"/>
                <w:sz w:val="18"/>
                <w:szCs w:val="18"/>
              </w:rPr>
            </w:pPr>
            <w:r>
              <w:rPr>
                <w:b/>
                <w:color w:val="auto"/>
                <w:sz w:val="18"/>
                <w:szCs w:val="18"/>
              </w:rPr>
              <w:t>专业必修课</w:t>
            </w:r>
          </w:p>
          <w:p w14:paraId="161E5D4F">
            <w:pPr>
              <w:jc w:val="center"/>
              <w:rPr>
                <w:b/>
                <w:color w:val="auto"/>
                <w:sz w:val="18"/>
                <w:szCs w:val="18"/>
              </w:rPr>
            </w:pPr>
            <w:r>
              <w:rPr>
                <w:b/>
                <w:color w:val="auto"/>
                <w:sz w:val="18"/>
                <w:szCs w:val="18"/>
              </w:rPr>
              <w:t>（1</w:t>
            </w:r>
            <w:r>
              <w:rPr>
                <w:rFonts w:hint="eastAsia"/>
                <w:b/>
                <w:color w:val="auto"/>
                <w:sz w:val="18"/>
                <w:szCs w:val="18"/>
                <w:lang w:val="en-US" w:eastAsia="zh-CN"/>
              </w:rPr>
              <w:t>4</w:t>
            </w:r>
            <w:r>
              <w:rPr>
                <w:b/>
                <w:color w:val="auto"/>
                <w:sz w:val="18"/>
                <w:szCs w:val="18"/>
              </w:rPr>
              <w:t>学分）</w:t>
            </w:r>
          </w:p>
        </w:tc>
        <w:tc>
          <w:tcPr>
            <w:tcW w:w="3258" w:type="dxa"/>
            <w:tcBorders>
              <w:top w:val="single" w:color="auto" w:sz="4" w:space="0"/>
            </w:tcBorders>
          </w:tcPr>
          <w:p w14:paraId="0C9E3D11">
            <w:pPr>
              <w:rPr>
                <w:color w:val="auto"/>
                <w:sz w:val="18"/>
                <w:szCs w:val="18"/>
              </w:rPr>
            </w:pPr>
            <w:r>
              <w:rPr>
                <w:rFonts w:hint="eastAsia"/>
                <w:color w:val="auto"/>
                <w:sz w:val="18"/>
                <w:szCs w:val="18"/>
              </w:rPr>
              <w:t>财务会计理论和实务</w:t>
            </w:r>
          </w:p>
        </w:tc>
        <w:tc>
          <w:tcPr>
            <w:tcW w:w="1172" w:type="dxa"/>
            <w:vAlign w:val="center"/>
          </w:tcPr>
          <w:p w14:paraId="5F792B09">
            <w:pPr>
              <w:jc w:val="center"/>
              <w:rPr>
                <w:i/>
                <w:color w:val="auto"/>
                <w:sz w:val="18"/>
                <w:szCs w:val="18"/>
              </w:rPr>
            </w:pPr>
            <w:r>
              <w:rPr>
                <w:rFonts w:hint="eastAsia"/>
                <w:color w:val="auto"/>
                <w:sz w:val="18"/>
                <w:szCs w:val="18"/>
              </w:rPr>
              <w:t>ZS</w:t>
            </w:r>
            <w:r>
              <w:rPr>
                <w:color w:val="auto"/>
                <w:sz w:val="18"/>
                <w:szCs w:val="18"/>
              </w:rPr>
              <w:t>0411003</w:t>
            </w:r>
          </w:p>
        </w:tc>
        <w:tc>
          <w:tcPr>
            <w:tcW w:w="794" w:type="dxa"/>
            <w:vAlign w:val="center"/>
          </w:tcPr>
          <w:p w14:paraId="628783CD">
            <w:pPr>
              <w:jc w:val="center"/>
              <w:rPr>
                <w:color w:val="auto"/>
                <w:sz w:val="18"/>
                <w:szCs w:val="18"/>
              </w:rPr>
            </w:pPr>
            <w:r>
              <w:rPr>
                <w:rFonts w:hint="eastAsia"/>
                <w:color w:val="auto"/>
                <w:sz w:val="18"/>
                <w:szCs w:val="18"/>
              </w:rPr>
              <w:t>3</w:t>
            </w:r>
          </w:p>
        </w:tc>
        <w:tc>
          <w:tcPr>
            <w:tcW w:w="829" w:type="dxa"/>
            <w:vAlign w:val="center"/>
          </w:tcPr>
          <w:p w14:paraId="09AD23AB">
            <w:pPr>
              <w:jc w:val="center"/>
              <w:rPr>
                <w:color w:val="auto"/>
                <w:sz w:val="18"/>
                <w:szCs w:val="18"/>
              </w:rPr>
            </w:pPr>
            <w:r>
              <w:rPr>
                <w:rFonts w:hint="eastAsia"/>
                <w:color w:val="auto"/>
                <w:sz w:val="18"/>
                <w:szCs w:val="18"/>
              </w:rPr>
              <w:t>1</w:t>
            </w:r>
          </w:p>
        </w:tc>
        <w:tc>
          <w:tcPr>
            <w:tcW w:w="1606" w:type="dxa"/>
            <w:vAlign w:val="center"/>
          </w:tcPr>
          <w:p w14:paraId="65D42AB6">
            <w:pPr>
              <w:jc w:val="center"/>
              <w:rPr>
                <w:color w:val="auto"/>
                <w:sz w:val="18"/>
                <w:szCs w:val="18"/>
              </w:rPr>
            </w:pPr>
            <w:r>
              <w:rPr>
                <w:rFonts w:hint="eastAsia"/>
                <w:color w:val="auto"/>
                <w:sz w:val="18"/>
                <w:szCs w:val="18"/>
              </w:rPr>
              <w:t>考试</w:t>
            </w:r>
          </w:p>
        </w:tc>
      </w:tr>
      <w:tr w14:paraId="0D67DD5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0B30500">
            <w:pPr>
              <w:jc w:val="center"/>
              <w:rPr>
                <w:b/>
                <w:color w:val="auto"/>
                <w:sz w:val="18"/>
                <w:szCs w:val="18"/>
              </w:rPr>
            </w:pPr>
          </w:p>
        </w:tc>
        <w:tc>
          <w:tcPr>
            <w:tcW w:w="1311" w:type="dxa"/>
            <w:vMerge w:val="continue"/>
            <w:vAlign w:val="center"/>
          </w:tcPr>
          <w:p w14:paraId="7F7E5889">
            <w:pPr>
              <w:jc w:val="center"/>
              <w:rPr>
                <w:b/>
                <w:color w:val="auto"/>
                <w:sz w:val="18"/>
                <w:szCs w:val="18"/>
              </w:rPr>
            </w:pPr>
          </w:p>
        </w:tc>
        <w:tc>
          <w:tcPr>
            <w:tcW w:w="3258" w:type="dxa"/>
          </w:tcPr>
          <w:p w14:paraId="00FCF71C">
            <w:pPr>
              <w:rPr>
                <w:color w:val="auto"/>
                <w:sz w:val="18"/>
                <w:szCs w:val="18"/>
              </w:rPr>
            </w:pPr>
            <w:r>
              <w:rPr>
                <w:rFonts w:hint="eastAsia"/>
                <w:color w:val="auto"/>
                <w:sz w:val="18"/>
                <w:szCs w:val="18"/>
              </w:rPr>
              <w:t>财务管理理论和实务</w:t>
            </w:r>
          </w:p>
        </w:tc>
        <w:tc>
          <w:tcPr>
            <w:tcW w:w="1172" w:type="dxa"/>
            <w:vAlign w:val="center"/>
          </w:tcPr>
          <w:p w14:paraId="57AECD3D">
            <w:pPr>
              <w:jc w:val="center"/>
              <w:rPr>
                <w:i/>
                <w:color w:val="auto"/>
                <w:sz w:val="18"/>
                <w:szCs w:val="18"/>
              </w:rPr>
            </w:pPr>
            <w:r>
              <w:rPr>
                <w:rFonts w:hint="eastAsia"/>
                <w:color w:val="auto"/>
                <w:sz w:val="18"/>
                <w:szCs w:val="18"/>
              </w:rPr>
              <w:t>ZS</w:t>
            </w:r>
            <w:r>
              <w:rPr>
                <w:color w:val="auto"/>
                <w:sz w:val="18"/>
                <w:szCs w:val="18"/>
              </w:rPr>
              <w:t>0411004</w:t>
            </w:r>
          </w:p>
        </w:tc>
        <w:tc>
          <w:tcPr>
            <w:tcW w:w="794" w:type="dxa"/>
            <w:vAlign w:val="center"/>
          </w:tcPr>
          <w:p w14:paraId="55C25861">
            <w:pPr>
              <w:jc w:val="center"/>
              <w:rPr>
                <w:color w:val="auto"/>
                <w:sz w:val="18"/>
                <w:szCs w:val="18"/>
              </w:rPr>
            </w:pPr>
            <w:r>
              <w:rPr>
                <w:rFonts w:hint="eastAsia"/>
                <w:color w:val="auto"/>
                <w:sz w:val="18"/>
                <w:szCs w:val="18"/>
              </w:rPr>
              <w:t>3</w:t>
            </w:r>
          </w:p>
        </w:tc>
        <w:tc>
          <w:tcPr>
            <w:tcW w:w="829" w:type="dxa"/>
            <w:vAlign w:val="center"/>
          </w:tcPr>
          <w:p w14:paraId="0B930889">
            <w:pPr>
              <w:jc w:val="center"/>
              <w:rPr>
                <w:color w:val="auto"/>
                <w:sz w:val="18"/>
                <w:szCs w:val="18"/>
              </w:rPr>
            </w:pPr>
            <w:r>
              <w:rPr>
                <w:rFonts w:hint="eastAsia"/>
                <w:color w:val="auto"/>
                <w:sz w:val="18"/>
                <w:szCs w:val="18"/>
              </w:rPr>
              <w:t>1</w:t>
            </w:r>
          </w:p>
        </w:tc>
        <w:tc>
          <w:tcPr>
            <w:tcW w:w="1606" w:type="dxa"/>
            <w:vAlign w:val="center"/>
          </w:tcPr>
          <w:p w14:paraId="23F5BF87">
            <w:pPr>
              <w:jc w:val="center"/>
              <w:rPr>
                <w:color w:val="auto"/>
                <w:sz w:val="18"/>
                <w:szCs w:val="18"/>
              </w:rPr>
            </w:pPr>
            <w:r>
              <w:rPr>
                <w:rFonts w:hint="eastAsia"/>
                <w:color w:val="auto"/>
                <w:sz w:val="18"/>
                <w:szCs w:val="18"/>
              </w:rPr>
              <w:t>考试</w:t>
            </w:r>
          </w:p>
        </w:tc>
      </w:tr>
      <w:tr w14:paraId="57ACDC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7E87C16">
            <w:pPr>
              <w:jc w:val="center"/>
              <w:rPr>
                <w:b/>
                <w:color w:val="auto"/>
                <w:sz w:val="18"/>
                <w:szCs w:val="18"/>
              </w:rPr>
            </w:pPr>
          </w:p>
        </w:tc>
        <w:tc>
          <w:tcPr>
            <w:tcW w:w="1311" w:type="dxa"/>
            <w:vMerge w:val="continue"/>
            <w:vAlign w:val="center"/>
          </w:tcPr>
          <w:p w14:paraId="21814BEC">
            <w:pPr>
              <w:jc w:val="center"/>
              <w:rPr>
                <w:b/>
                <w:color w:val="auto"/>
                <w:sz w:val="18"/>
                <w:szCs w:val="18"/>
              </w:rPr>
            </w:pPr>
          </w:p>
        </w:tc>
        <w:tc>
          <w:tcPr>
            <w:tcW w:w="3258" w:type="dxa"/>
          </w:tcPr>
          <w:p w14:paraId="06670A05">
            <w:pPr>
              <w:rPr>
                <w:color w:val="auto"/>
                <w:sz w:val="18"/>
                <w:szCs w:val="18"/>
              </w:rPr>
            </w:pPr>
            <w:r>
              <w:rPr>
                <w:rFonts w:hint="eastAsia"/>
                <w:color w:val="auto"/>
                <w:sz w:val="18"/>
                <w:szCs w:val="18"/>
              </w:rPr>
              <w:t>审计理论和实务</w:t>
            </w:r>
          </w:p>
        </w:tc>
        <w:tc>
          <w:tcPr>
            <w:tcW w:w="1172" w:type="dxa"/>
            <w:vAlign w:val="center"/>
          </w:tcPr>
          <w:p w14:paraId="76F64B3E">
            <w:pPr>
              <w:jc w:val="center"/>
              <w:rPr>
                <w:i/>
                <w:color w:val="auto"/>
                <w:sz w:val="18"/>
                <w:szCs w:val="18"/>
              </w:rPr>
            </w:pPr>
            <w:r>
              <w:rPr>
                <w:rFonts w:hint="eastAsia"/>
                <w:color w:val="auto"/>
                <w:sz w:val="18"/>
                <w:szCs w:val="18"/>
              </w:rPr>
              <w:t>ZS</w:t>
            </w:r>
            <w:r>
              <w:rPr>
                <w:color w:val="auto"/>
                <w:sz w:val="18"/>
                <w:szCs w:val="18"/>
              </w:rPr>
              <w:t>0411005</w:t>
            </w:r>
          </w:p>
        </w:tc>
        <w:tc>
          <w:tcPr>
            <w:tcW w:w="794" w:type="dxa"/>
            <w:vAlign w:val="center"/>
          </w:tcPr>
          <w:p w14:paraId="68845842">
            <w:pPr>
              <w:jc w:val="center"/>
              <w:rPr>
                <w:color w:val="auto"/>
                <w:sz w:val="18"/>
                <w:szCs w:val="18"/>
              </w:rPr>
            </w:pPr>
            <w:r>
              <w:rPr>
                <w:rFonts w:hint="eastAsia"/>
                <w:color w:val="auto"/>
                <w:sz w:val="18"/>
                <w:szCs w:val="18"/>
              </w:rPr>
              <w:t>3</w:t>
            </w:r>
          </w:p>
        </w:tc>
        <w:tc>
          <w:tcPr>
            <w:tcW w:w="829" w:type="dxa"/>
            <w:vAlign w:val="center"/>
          </w:tcPr>
          <w:p w14:paraId="0010E655">
            <w:pPr>
              <w:jc w:val="center"/>
              <w:rPr>
                <w:color w:val="auto"/>
                <w:sz w:val="18"/>
                <w:szCs w:val="18"/>
              </w:rPr>
            </w:pPr>
            <w:r>
              <w:rPr>
                <w:rFonts w:hint="eastAsia"/>
                <w:color w:val="auto"/>
                <w:sz w:val="18"/>
                <w:szCs w:val="18"/>
              </w:rPr>
              <w:t>1</w:t>
            </w:r>
          </w:p>
        </w:tc>
        <w:tc>
          <w:tcPr>
            <w:tcW w:w="1606" w:type="dxa"/>
            <w:vAlign w:val="center"/>
          </w:tcPr>
          <w:p w14:paraId="60FC31B2">
            <w:pPr>
              <w:jc w:val="center"/>
              <w:rPr>
                <w:color w:val="auto"/>
                <w:sz w:val="18"/>
                <w:szCs w:val="18"/>
              </w:rPr>
            </w:pPr>
            <w:r>
              <w:rPr>
                <w:rFonts w:hint="eastAsia"/>
                <w:color w:val="auto"/>
                <w:sz w:val="18"/>
                <w:szCs w:val="18"/>
              </w:rPr>
              <w:t>考试</w:t>
            </w:r>
          </w:p>
        </w:tc>
      </w:tr>
      <w:tr w14:paraId="490313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1F26106">
            <w:pPr>
              <w:jc w:val="center"/>
              <w:rPr>
                <w:b/>
                <w:color w:val="auto"/>
                <w:sz w:val="18"/>
                <w:szCs w:val="18"/>
              </w:rPr>
            </w:pPr>
          </w:p>
        </w:tc>
        <w:tc>
          <w:tcPr>
            <w:tcW w:w="1311" w:type="dxa"/>
            <w:vMerge w:val="continue"/>
            <w:vAlign w:val="center"/>
          </w:tcPr>
          <w:p w14:paraId="2CC0FBC9">
            <w:pPr>
              <w:jc w:val="center"/>
              <w:rPr>
                <w:b/>
                <w:color w:val="auto"/>
                <w:sz w:val="18"/>
                <w:szCs w:val="18"/>
              </w:rPr>
            </w:pPr>
          </w:p>
        </w:tc>
        <w:tc>
          <w:tcPr>
            <w:tcW w:w="3258" w:type="dxa"/>
          </w:tcPr>
          <w:p w14:paraId="12D0A188">
            <w:pPr>
              <w:rPr>
                <w:color w:val="auto"/>
                <w:sz w:val="18"/>
                <w:szCs w:val="18"/>
              </w:rPr>
            </w:pPr>
            <w:r>
              <w:rPr>
                <w:rFonts w:hint="eastAsia"/>
                <w:color w:val="auto"/>
                <w:sz w:val="18"/>
                <w:szCs w:val="18"/>
              </w:rPr>
              <w:t>管理会计理论和实务</w:t>
            </w:r>
          </w:p>
        </w:tc>
        <w:tc>
          <w:tcPr>
            <w:tcW w:w="1172" w:type="dxa"/>
            <w:vAlign w:val="center"/>
          </w:tcPr>
          <w:p w14:paraId="7FDC2127">
            <w:pPr>
              <w:jc w:val="center"/>
              <w:rPr>
                <w:color w:val="auto"/>
                <w:sz w:val="18"/>
                <w:szCs w:val="18"/>
              </w:rPr>
            </w:pPr>
            <w:r>
              <w:rPr>
                <w:rFonts w:hint="eastAsia"/>
                <w:color w:val="auto"/>
                <w:sz w:val="18"/>
                <w:szCs w:val="18"/>
              </w:rPr>
              <w:t>ZS</w:t>
            </w:r>
            <w:r>
              <w:rPr>
                <w:color w:val="auto"/>
                <w:sz w:val="18"/>
                <w:szCs w:val="18"/>
              </w:rPr>
              <w:t>0411006</w:t>
            </w:r>
          </w:p>
        </w:tc>
        <w:tc>
          <w:tcPr>
            <w:tcW w:w="794" w:type="dxa"/>
            <w:vAlign w:val="center"/>
          </w:tcPr>
          <w:p w14:paraId="16050202">
            <w:pPr>
              <w:jc w:val="center"/>
              <w:rPr>
                <w:color w:val="auto"/>
                <w:sz w:val="18"/>
                <w:szCs w:val="18"/>
              </w:rPr>
            </w:pPr>
            <w:r>
              <w:rPr>
                <w:rFonts w:hint="eastAsia"/>
                <w:color w:val="auto"/>
                <w:sz w:val="18"/>
                <w:szCs w:val="18"/>
              </w:rPr>
              <w:t>3</w:t>
            </w:r>
          </w:p>
        </w:tc>
        <w:tc>
          <w:tcPr>
            <w:tcW w:w="829" w:type="dxa"/>
            <w:vAlign w:val="center"/>
          </w:tcPr>
          <w:p w14:paraId="2A452642">
            <w:pPr>
              <w:jc w:val="center"/>
              <w:rPr>
                <w:color w:val="auto"/>
                <w:sz w:val="18"/>
                <w:szCs w:val="18"/>
              </w:rPr>
            </w:pPr>
            <w:r>
              <w:rPr>
                <w:rFonts w:hint="eastAsia"/>
                <w:color w:val="auto"/>
                <w:sz w:val="18"/>
                <w:szCs w:val="18"/>
              </w:rPr>
              <w:t>1</w:t>
            </w:r>
          </w:p>
        </w:tc>
        <w:tc>
          <w:tcPr>
            <w:tcW w:w="1606" w:type="dxa"/>
            <w:vAlign w:val="center"/>
          </w:tcPr>
          <w:p w14:paraId="6BDAF5EF">
            <w:pPr>
              <w:jc w:val="center"/>
              <w:rPr>
                <w:color w:val="auto"/>
                <w:sz w:val="18"/>
                <w:szCs w:val="18"/>
              </w:rPr>
            </w:pPr>
            <w:r>
              <w:rPr>
                <w:rFonts w:hint="eastAsia"/>
                <w:color w:val="auto"/>
                <w:sz w:val="18"/>
                <w:szCs w:val="18"/>
              </w:rPr>
              <w:t>考试</w:t>
            </w:r>
          </w:p>
        </w:tc>
      </w:tr>
      <w:tr w14:paraId="29272F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EF500F8">
            <w:pPr>
              <w:jc w:val="center"/>
              <w:rPr>
                <w:b/>
                <w:color w:val="auto"/>
                <w:sz w:val="18"/>
                <w:szCs w:val="18"/>
              </w:rPr>
            </w:pPr>
          </w:p>
        </w:tc>
        <w:tc>
          <w:tcPr>
            <w:tcW w:w="1311" w:type="dxa"/>
            <w:vMerge w:val="continue"/>
            <w:vAlign w:val="center"/>
          </w:tcPr>
          <w:p w14:paraId="6EEA5CD7">
            <w:pPr>
              <w:jc w:val="center"/>
              <w:rPr>
                <w:b/>
                <w:color w:val="auto"/>
                <w:sz w:val="18"/>
                <w:szCs w:val="18"/>
              </w:rPr>
            </w:pPr>
          </w:p>
        </w:tc>
        <w:tc>
          <w:tcPr>
            <w:tcW w:w="3258" w:type="dxa"/>
          </w:tcPr>
          <w:p w14:paraId="2B4AA1E9">
            <w:pPr>
              <w:rPr>
                <w:color w:val="auto"/>
                <w:sz w:val="18"/>
                <w:szCs w:val="18"/>
              </w:rPr>
            </w:pPr>
            <w:r>
              <w:rPr>
                <w:rFonts w:hint="eastAsia"/>
                <w:color w:val="auto"/>
                <w:sz w:val="18"/>
                <w:szCs w:val="18"/>
              </w:rPr>
              <w:t>商业伦理与会计职业道德</w:t>
            </w:r>
          </w:p>
        </w:tc>
        <w:tc>
          <w:tcPr>
            <w:tcW w:w="1172" w:type="dxa"/>
            <w:vAlign w:val="center"/>
          </w:tcPr>
          <w:p w14:paraId="30B04411">
            <w:pPr>
              <w:jc w:val="center"/>
              <w:rPr>
                <w:i/>
                <w:color w:val="auto"/>
                <w:sz w:val="18"/>
                <w:szCs w:val="18"/>
              </w:rPr>
            </w:pPr>
            <w:r>
              <w:rPr>
                <w:rFonts w:hint="eastAsia"/>
                <w:color w:val="auto"/>
                <w:sz w:val="18"/>
                <w:szCs w:val="18"/>
              </w:rPr>
              <w:t>ZS</w:t>
            </w:r>
            <w:r>
              <w:rPr>
                <w:color w:val="auto"/>
                <w:sz w:val="18"/>
                <w:szCs w:val="18"/>
              </w:rPr>
              <w:t>0411007</w:t>
            </w:r>
          </w:p>
        </w:tc>
        <w:tc>
          <w:tcPr>
            <w:tcW w:w="794" w:type="dxa"/>
            <w:vAlign w:val="center"/>
          </w:tcPr>
          <w:p w14:paraId="4D5D7753">
            <w:pPr>
              <w:jc w:val="center"/>
              <w:rPr>
                <w:color w:val="auto"/>
                <w:sz w:val="18"/>
                <w:szCs w:val="18"/>
              </w:rPr>
            </w:pPr>
            <w:r>
              <w:rPr>
                <w:color w:val="auto"/>
                <w:sz w:val="18"/>
                <w:szCs w:val="18"/>
              </w:rPr>
              <w:t>2</w:t>
            </w:r>
          </w:p>
        </w:tc>
        <w:tc>
          <w:tcPr>
            <w:tcW w:w="829" w:type="dxa"/>
            <w:vAlign w:val="center"/>
          </w:tcPr>
          <w:p w14:paraId="05AF24AD">
            <w:pPr>
              <w:jc w:val="center"/>
              <w:rPr>
                <w:color w:val="auto"/>
                <w:sz w:val="18"/>
                <w:szCs w:val="18"/>
              </w:rPr>
            </w:pPr>
            <w:r>
              <w:rPr>
                <w:color w:val="auto"/>
                <w:sz w:val="18"/>
                <w:szCs w:val="18"/>
              </w:rPr>
              <w:t>1</w:t>
            </w:r>
          </w:p>
        </w:tc>
        <w:tc>
          <w:tcPr>
            <w:tcW w:w="1606" w:type="dxa"/>
            <w:vAlign w:val="center"/>
          </w:tcPr>
          <w:p w14:paraId="645248B5">
            <w:pPr>
              <w:jc w:val="center"/>
              <w:rPr>
                <w:color w:val="auto"/>
                <w:sz w:val="18"/>
                <w:szCs w:val="18"/>
              </w:rPr>
            </w:pPr>
            <w:r>
              <w:rPr>
                <w:rFonts w:hint="eastAsia"/>
                <w:color w:val="auto"/>
                <w:sz w:val="18"/>
                <w:szCs w:val="18"/>
              </w:rPr>
              <w:t>考试</w:t>
            </w:r>
          </w:p>
        </w:tc>
      </w:tr>
      <w:tr w14:paraId="218CA5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3EBD07A5">
            <w:pPr>
              <w:jc w:val="center"/>
              <w:rPr>
                <w:b/>
                <w:color w:val="auto"/>
                <w:sz w:val="18"/>
                <w:szCs w:val="18"/>
              </w:rPr>
            </w:pPr>
            <w:r>
              <w:rPr>
                <w:b/>
                <w:color w:val="auto"/>
                <w:sz w:val="18"/>
                <w:szCs w:val="18"/>
              </w:rPr>
              <w:t>非学位课</w:t>
            </w:r>
          </w:p>
        </w:tc>
        <w:tc>
          <w:tcPr>
            <w:tcW w:w="1311" w:type="dxa"/>
            <w:vMerge w:val="restart"/>
            <w:vAlign w:val="center"/>
          </w:tcPr>
          <w:p w14:paraId="79450D82">
            <w:pPr>
              <w:jc w:val="center"/>
              <w:rPr>
                <w:b/>
                <w:color w:val="auto"/>
                <w:sz w:val="18"/>
                <w:szCs w:val="18"/>
              </w:rPr>
            </w:pPr>
            <w:r>
              <w:rPr>
                <w:b/>
                <w:color w:val="auto"/>
                <w:sz w:val="18"/>
                <w:szCs w:val="18"/>
              </w:rPr>
              <w:t>公共</w:t>
            </w:r>
            <w:r>
              <w:rPr>
                <w:rFonts w:hint="eastAsia"/>
                <w:b/>
                <w:color w:val="auto"/>
                <w:sz w:val="18"/>
                <w:szCs w:val="18"/>
              </w:rPr>
              <w:t>通识</w:t>
            </w:r>
            <w:r>
              <w:rPr>
                <w:b/>
                <w:color w:val="auto"/>
                <w:sz w:val="18"/>
                <w:szCs w:val="18"/>
              </w:rPr>
              <w:t>课</w:t>
            </w:r>
          </w:p>
          <w:p w14:paraId="11D0E74A">
            <w:pPr>
              <w:jc w:val="center"/>
              <w:rPr>
                <w:b/>
                <w:color w:val="auto"/>
                <w:sz w:val="18"/>
                <w:szCs w:val="18"/>
              </w:rPr>
            </w:pPr>
            <w:r>
              <w:rPr>
                <w:b/>
                <w:color w:val="auto"/>
                <w:sz w:val="18"/>
                <w:szCs w:val="18"/>
              </w:rPr>
              <w:t>（2学分）</w:t>
            </w:r>
          </w:p>
        </w:tc>
        <w:tc>
          <w:tcPr>
            <w:tcW w:w="3258" w:type="dxa"/>
            <w:vAlign w:val="center"/>
          </w:tcPr>
          <w:p w14:paraId="0EC47C14">
            <w:pPr>
              <w:rPr>
                <w:color w:val="auto"/>
                <w:sz w:val="18"/>
                <w:szCs w:val="18"/>
              </w:rPr>
            </w:pPr>
            <w:r>
              <w:rPr>
                <w:color w:val="auto"/>
                <w:sz w:val="18"/>
                <w:szCs w:val="18"/>
              </w:rPr>
              <w:t>《习近平谈治国理政》研读</w:t>
            </w:r>
          </w:p>
        </w:tc>
        <w:tc>
          <w:tcPr>
            <w:tcW w:w="1172" w:type="dxa"/>
            <w:vAlign w:val="center"/>
          </w:tcPr>
          <w:p w14:paraId="6CB9836F">
            <w:pPr>
              <w:jc w:val="center"/>
              <w:rPr>
                <w:color w:val="auto"/>
                <w:sz w:val="18"/>
                <w:szCs w:val="18"/>
              </w:rPr>
            </w:pPr>
            <w:r>
              <w:rPr>
                <w:color w:val="auto"/>
                <w:sz w:val="18"/>
                <w:szCs w:val="18"/>
              </w:rPr>
              <w:t>T</w:t>
            </w:r>
            <w:r>
              <w:rPr>
                <w:rFonts w:hint="eastAsia"/>
                <w:color w:val="auto"/>
                <w:sz w:val="18"/>
                <w:szCs w:val="18"/>
              </w:rPr>
              <w:t>T</w:t>
            </w:r>
            <w:r>
              <w:rPr>
                <w:color w:val="auto"/>
                <w:sz w:val="18"/>
                <w:szCs w:val="18"/>
              </w:rPr>
              <w:t>0000</w:t>
            </w:r>
            <w:r>
              <w:rPr>
                <w:rFonts w:hint="eastAsia"/>
                <w:color w:val="auto"/>
                <w:sz w:val="18"/>
                <w:szCs w:val="18"/>
              </w:rPr>
              <w:t>10</w:t>
            </w:r>
            <w:r>
              <w:rPr>
                <w:color w:val="auto"/>
                <w:sz w:val="18"/>
                <w:szCs w:val="18"/>
              </w:rPr>
              <w:t>1</w:t>
            </w:r>
          </w:p>
        </w:tc>
        <w:tc>
          <w:tcPr>
            <w:tcW w:w="794" w:type="dxa"/>
            <w:vAlign w:val="center"/>
          </w:tcPr>
          <w:p w14:paraId="6380F297">
            <w:pPr>
              <w:jc w:val="center"/>
              <w:rPr>
                <w:color w:val="auto"/>
                <w:sz w:val="18"/>
                <w:szCs w:val="18"/>
              </w:rPr>
            </w:pPr>
            <w:r>
              <w:rPr>
                <w:color w:val="auto"/>
                <w:sz w:val="18"/>
                <w:szCs w:val="18"/>
              </w:rPr>
              <w:t>1</w:t>
            </w:r>
          </w:p>
        </w:tc>
        <w:tc>
          <w:tcPr>
            <w:tcW w:w="829" w:type="dxa"/>
            <w:vAlign w:val="center"/>
          </w:tcPr>
          <w:p w14:paraId="47D75B04">
            <w:pPr>
              <w:jc w:val="center"/>
              <w:rPr>
                <w:color w:val="auto"/>
                <w:sz w:val="18"/>
                <w:szCs w:val="18"/>
              </w:rPr>
            </w:pPr>
            <w:r>
              <w:rPr>
                <w:color w:val="auto"/>
                <w:sz w:val="18"/>
                <w:szCs w:val="18"/>
              </w:rPr>
              <w:t>2</w:t>
            </w:r>
          </w:p>
        </w:tc>
        <w:tc>
          <w:tcPr>
            <w:tcW w:w="1606" w:type="dxa"/>
            <w:vAlign w:val="center"/>
          </w:tcPr>
          <w:p w14:paraId="35512B5A">
            <w:pPr>
              <w:jc w:val="center"/>
              <w:rPr>
                <w:color w:val="auto"/>
                <w:sz w:val="18"/>
                <w:szCs w:val="18"/>
              </w:rPr>
            </w:pPr>
            <w:r>
              <w:rPr>
                <w:color w:val="auto"/>
                <w:sz w:val="18"/>
                <w:szCs w:val="18"/>
              </w:rPr>
              <w:t>考查</w:t>
            </w:r>
          </w:p>
        </w:tc>
      </w:tr>
      <w:tr w14:paraId="213AA0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642376C">
            <w:pPr>
              <w:jc w:val="center"/>
              <w:rPr>
                <w:b/>
                <w:color w:val="auto"/>
                <w:sz w:val="18"/>
                <w:szCs w:val="18"/>
              </w:rPr>
            </w:pPr>
          </w:p>
        </w:tc>
        <w:tc>
          <w:tcPr>
            <w:tcW w:w="1311" w:type="dxa"/>
            <w:vMerge w:val="continue"/>
            <w:vAlign w:val="center"/>
          </w:tcPr>
          <w:p w14:paraId="01EEC25C">
            <w:pPr>
              <w:jc w:val="center"/>
              <w:rPr>
                <w:b/>
                <w:color w:val="auto"/>
                <w:sz w:val="18"/>
                <w:szCs w:val="18"/>
              </w:rPr>
            </w:pPr>
          </w:p>
        </w:tc>
        <w:tc>
          <w:tcPr>
            <w:tcW w:w="3258" w:type="dxa"/>
            <w:vAlign w:val="center"/>
          </w:tcPr>
          <w:p w14:paraId="7D2B7F57">
            <w:pPr>
              <w:rPr>
                <w:color w:val="auto"/>
                <w:sz w:val="18"/>
                <w:szCs w:val="18"/>
              </w:rPr>
            </w:pPr>
            <w:r>
              <w:rPr>
                <w:color w:val="auto"/>
                <w:sz w:val="18"/>
                <w:szCs w:val="18"/>
              </w:rPr>
              <w:t>马克思主义与社会科学方法论</w:t>
            </w:r>
          </w:p>
        </w:tc>
        <w:tc>
          <w:tcPr>
            <w:tcW w:w="1172" w:type="dxa"/>
            <w:vAlign w:val="center"/>
          </w:tcPr>
          <w:p w14:paraId="6A57DC0E">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w:t>
            </w:r>
            <w:r>
              <w:rPr>
                <w:rFonts w:hint="eastAsia"/>
                <w:color w:val="auto"/>
                <w:sz w:val="18"/>
                <w:szCs w:val="18"/>
              </w:rPr>
              <w:t>0101</w:t>
            </w:r>
          </w:p>
        </w:tc>
        <w:tc>
          <w:tcPr>
            <w:tcW w:w="794" w:type="dxa"/>
            <w:vAlign w:val="center"/>
          </w:tcPr>
          <w:p w14:paraId="35663A2E">
            <w:pPr>
              <w:jc w:val="center"/>
              <w:rPr>
                <w:color w:val="auto"/>
                <w:sz w:val="18"/>
                <w:szCs w:val="18"/>
              </w:rPr>
            </w:pPr>
            <w:r>
              <w:rPr>
                <w:color w:val="auto"/>
                <w:sz w:val="18"/>
                <w:szCs w:val="18"/>
              </w:rPr>
              <w:t>1</w:t>
            </w:r>
          </w:p>
        </w:tc>
        <w:tc>
          <w:tcPr>
            <w:tcW w:w="829" w:type="dxa"/>
            <w:vAlign w:val="center"/>
          </w:tcPr>
          <w:p w14:paraId="0AB2471E">
            <w:pPr>
              <w:jc w:val="center"/>
              <w:rPr>
                <w:color w:val="auto"/>
                <w:sz w:val="18"/>
                <w:szCs w:val="18"/>
              </w:rPr>
            </w:pPr>
            <w:r>
              <w:rPr>
                <w:color w:val="auto"/>
                <w:sz w:val="18"/>
                <w:szCs w:val="18"/>
              </w:rPr>
              <w:t>2</w:t>
            </w:r>
          </w:p>
        </w:tc>
        <w:tc>
          <w:tcPr>
            <w:tcW w:w="1606" w:type="dxa"/>
            <w:vAlign w:val="center"/>
          </w:tcPr>
          <w:p w14:paraId="4AD3E7FC">
            <w:pPr>
              <w:jc w:val="center"/>
              <w:rPr>
                <w:color w:val="auto"/>
                <w:sz w:val="18"/>
                <w:szCs w:val="18"/>
              </w:rPr>
            </w:pPr>
            <w:r>
              <w:rPr>
                <w:color w:val="auto"/>
                <w:sz w:val="18"/>
                <w:szCs w:val="18"/>
              </w:rPr>
              <w:t>考查</w:t>
            </w:r>
          </w:p>
        </w:tc>
      </w:tr>
      <w:tr w14:paraId="2C45E4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28C4A7FF">
            <w:pPr>
              <w:jc w:val="center"/>
              <w:rPr>
                <w:b/>
                <w:color w:val="auto"/>
                <w:sz w:val="18"/>
                <w:szCs w:val="18"/>
              </w:rPr>
            </w:pPr>
          </w:p>
        </w:tc>
        <w:tc>
          <w:tcPr>
            <w:tcW w:w="1311" w:type="dxa"/>
            <w:vMerge w:val="continue"/>
            <w:vAlign w:val="center"/>
          </w:tcPr>
          <w:p w14:paraId="6B5D0DD9">
            <w:pPr>
              <w:jc w:val="center"/>
              <w:rPr>
                <w:b/>
                <w:color w:val="auto"/>
                <w:sz w:val="18"/>
                <w:szCs w:val="18"/>
              </w:rPr>
            </w:pPr>
          </w:p>
        </w:tc>
        <w:tc>
          <w:tcPr>
            <w:tcW w:w="3258" w:type="dxa"/>
            <w:vAlign w:val="center"/>
          </w:tcPr>
          <w:p w14:paraId="619B3F2A">
            <w:pPr>
              <w:jc w:val="left"/>
              <w:rPr>
                <w:color w:val="auto"/>
                <w:sz w:val="18"/>
                <w:szCs w:val="18"/>
              </w:rPr>
            </w:pPr>
            <w:r>
              <w:rPr>
                <w:rFonts w:hint="eastAsia"/>
                <w:color w:val="auto"/>
                <w:sz w:val="18"/>
                <w:szCs w:val="18"/>
              </w:rPr>
              <w:t>体育</w:t>
            </w:r>
          </w:p>
        </w:tc>
        <w:tc>
          <w:tcPr>
            <w:tcW w:w="1172" w:type="dxa"/>
            <w:vAlign w:val="center"/>
          </w:tcPr>
          <w:p w14:paraId="7F288F54">
            <w:pPr>
              <w:jc w:val="center"/>
              <w:rPr>
                <w:color w:val="auto"/>
                <w:sz w:val="18"/>
                <w:szCs w:val="18"/>
              </w:rPr>
            </w:pPr>
            <w:r>
              <w:rPr>
                <w:rFonts w:hint="eastAsia"/>
                <w:color w:val="auto"/>
                <w:sz w:val="18"/>
                <w:szCs w:val="18"/>
              </w:rPr>
              <w:t>TT0000102</w:t>
            </w:r>
          </w:p>
        </w:tc>
        <w:tc>
          <w:tcPr>
            <w:tcW w:w="794" w:type="dxa"/>
            <w:vAlign w:val="center"/>
          </w:tcPr>
          <w:p w14:paraId="4F4EC136">
            <w:pPr>
              <w:jc w:val="center"/>
              <w:rPr>
                <w:color w:val="auto"/>
                <w:sz w:val="18"/>
                <w:szCs w:val="18"/>
              </w:rPr>
            </w:pPr>
            <w:r>
              <w:rPr>
                <w:rFonts w:hint="eastAsia"/>
                <w:color w:val="auto"/>
                <w:sz w:val="18"/>
                <w:szCs w:val="18"/>
              </w:rPr>
              <w:t>1</w:t>
            </w:r>
          </w:p>
        </w:tc>
        <w:tc>
          <w:tcPr>
            <w:tcW w:w="829" w:type="dxa"/>
            <w:vAlign w:val="center"/>
          </w:tcPr>
          <w:p w14:paraId="279FB423">
            <w:pPr>
              <w:jc w:val="center"/>
              <w:rPr>
                <w:color w:val="auto"/>
                <w:sz w:val="18"/>
                <w:szCs w:val="18"/>
              </w:rPr>
            </w:pPr>
            <w:r>
              <w:rPr>
                <w:rFonts w:hint="eastAsia"/>
                <w:color w:val="auto"/>
                <w:sz w:val="18"/>
                <w:szCs w:val="18"/>
              </w:rPr>
              <w:t>1</w:t>
            </w:r>
          </w:p>
        </w:tc>
        <w:tc>
          <w:tcPr>
            <w:tcW w:w="1606" w:type="dxa"/>
            <w:vAlign w:val="center"/>
          </w:tcPr>
          <w:p w14:paraId="16DD2BEF">
            <w:pPr>
              <w:jc w:val="center"/>
              <w:rPr>
                <w:color w:val="auto"/>
                <w:sz w:val="18"/>
                <w:szCs w:val="18"/>
              </w:rPr>
            </w:pPr>
            <w:r>
              <w:rPr>
                <w:rFonts w:hint="eastAsia"/>
                <w:color w:val="auto"/>
                <w:sz w:val="18"/>
                <w:szCs w:val="18"/>
              </w:rPr>
              <w:t>选修</w:t>
            </w:r>
          </w:p>
        </w:tc>
      </w:tr>
      <w:tr w14:paraId="323BA7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9DE1C00">
            <w:pPr>
              <w:jc w:val="center"/>
              <w:rPr>
                <w:b/>
                <w:color w:val="auto"/>
                <w:sz w:val="18"/>
                <w:szCs w:val="18"/>
              </w:rPr>
            </w:pPr>
          </w:p>
        </w:tc>
        <w:tc>
          <w:tcPr>
            <w:tcW w:w="1311" w:type="dxa"/>
            <w:vMerge w:val="continue"/>
            <w:vAlign w:val="center"/>
          </w:tcPr>
          <w:p w14:paraId="0EDF8C85">
            <w:pPr>
              <w:jc w:val="center"/>
              <w:rPr>
                <w:b/>
                <w:color w:val="auto"/>
                <w:sz w:val="18"/>
                <w:szCs w:val="18"/>
              </w:rPr>
            </w:pPr>
          </w:p>
        </w:tc>
        <w:tc>
          <w:tcPr>
            <w:tcW w:w="3258" w:type="dxa"/>
            <w:vAlign w:val="center"/>
          </w:tcPr>
          <w:p w14:paraId="32C7987F">
            <w:pPr>
              <w:jc w:val="left"/>
              <w:rPr>
                <w:color w:val="auto"/>
                <w:sz w:val="18"/>
                <w:szCs w:val="18"/>
              </w:rPr>
            </w:pPr>
            <w:r>
              <w:rPr>
                <w:rFonts w:hint="eastAsia"/>
                <w:color w:val="auto"/>
                <w:sz w:val="18"/>
                <w:szCs w:val="18"/>
              </w:rPr>
              <w:t>美育</w:t>
            </w:r>
          </w:p>
        </w:tc>
        <w:tc>
          <w:tcPr>
            <w:tcW w:w="1172" w:type="dxa"/>
            <w:vAlign w:val="center"/>
          </w:tcPr>
          <w:p w14:paraId="782006DF">
            <w:pPr>
              <w:jc w:val="center"/>
              <w:rPr>
                <w:color w:val="auto"/>
                <w:sz w:val="18"/>
                <w:szCs w:val="18"/>
              </w:rPr>
            </w:pPr>
            <w:r>
              <w:rPr>
                <w:rFonts w:hint="eastAsia"/>
                <w:color w:val="auto"/>
                <w:sz w:val="18"/>
                <w:szCs w:val="18"/>
              </w:rPr>
              <w:t>TT0000103</w:t>
            </w:r>
          </w:p>
        </w:tc>
        <w:tc>
          <w:tcPr>
            <w:tcW w:w="794" w:type="dxa"/>
            <w:vAlign w:val="center"/>
          </w:tcPr>
          <w:p w14:paraId="4ADD624B">
            <w:pPr>
              <w:jc w:val="center"/>
              <w:rPr>
                <w:color w:val="auto"/>
                <w:sz w:val="18"/>
                <w:szCs w:val="18"/>
              </w:rPr>
            </w:pPr>
            <w:r>
              <w:rPr>
                <w:rFonts w:hint="eastAsia"/>
                <w:color w:val="auto"/>
                <w:sz w:val="18"/>
                <w:szCs w:val="18"/>
              </w:rPr>
              <w:t>1</w:t>
            </w:r>
          </w:p>
        </w:tc>
        <w:tc>
          <w:tcPr>
            <w:tcW w:w="829" w:type="dxa"/>
            <w:vAlign w:val="center"/>
          </w:tcPr>
          <w:p w14:paraId="1342A36E">
            <w:pPr>
              <w:jc w:val="center"/>
              <w:rPr>
                <w:color w:val="auto"/>
                <w:sz w:val="18"/>
                <w:szCs w:val="18"/>
              </w:rPr>
            </w:pPr>
            <w:r>
              <w:rPr>
                <w:rFonts w:hint="eastAsia"/>
                <w:color w:val="auto"/>
                <w:sz w:val="18"/>
                <w:szCs w:val="18"/>
              </w:rPr>
              <w:t>1</w:t>
            </w:r>
          </w:p>
        </w:tc>
        <w:tc>
          <w:tcPr>
            <w:tcW w:w="1606" w:type="dxa"/>
            <w:vAlign w:val="center"/>
          </w:tcPr>
          <w:p w14:paraId="060B7FB2">
            <w:pPr>
              <w:jc w:val="center"/>
              <w:rPr>
                <w:color w:val="auto"/>
                <w:sz w:val="18"/>
                <w:szCs w:val="18"/>
              </w:rPr>
            </w:pPr>
            <w:r>
              <w:rPr>
                <w:rFonts w:hint="eastAsia"/>
                <w:color w:val="auto"/>
                <w:sz w:val="18"/>
                <w:szCs w:val="18"/>
              </w:rPr>
              <w:t>选修</w:t>
            </w:r>
          </w:p>
        </w:tc>
      </w:tr>
      <w:tr w14:paraId="333C8C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C483A84">
            <w:pPr>
              <w:rPr>
                <w:b/>
                <w:color w:val="auto"/>
                <w:sz w:val="18"/>
                <w:szCs w:val="18"/>
              </w:rPr>
            </w:pPr>
          </w:p>
        </w:tc>
        <w:tc>
          <w:tcPr>
            <w:tcW w:w="1311" w:type="dxa"/>
            <w:vMerge w:val="restart"/>
            <w:vAlign w:val="center"/>
          </w:tcPr>
          <w:p w14:paraId="626EE515">
            <w:pPr>
              <w:adjustRightInd w:val="0"/>
              <w:snapToGrid w:val="0"/>
              <w:jc w:val="center"/>
              <w:rPr>
                <w:b/>
                <w:i/>
                <w:color w:val="auto"/>
                <w:sz w:val="18"/>
                <w:szCs w:val="18"/>
              </w:rPr>
            </w:pPr>
            <w:r>
              <w:rPr>
                <w:rFonts w:hint="eastAsia"/>
                <w:b/>
                <w:color w:val="auto"/>
                <w:sz w:val="18"/>
                <w:szCs w:val="18"/>
              </w:rPr>
              <w:t>财务与金融管理方向选修课</w:t>
            </w:r>
          </w:p>
        </w:tc>
        <w:tc>
          <w:tcPr>
            <w:tcW w:w="3258" w:type="dxa"/>
            <w:vAlign w:val="center"/>
          </w:tcPr>
          <w:p w14:paraId="3FCABB3C">
            <w:pPr>
              <w:rPr>
                <w:color w:val="auto"/>
                <w:sz w:val="18"/>
                <w:szCs w:val="18"/>
              </w:rPr>
            </w:pPr>
            <w:r>
              <w:rPr>
                <w:rFonts w:hint="eastAsia" w:ascii="Times New Roman" w:hAnsi="Times New Roman" w:cs="Times New Roman"/>
                <w:color w:val="auto"/>
                <w:sz w:val="18"/>
                <w:szCs w:val="18"/>
              </w:rPr>
              <w:t>大数据与财务决策</w:t>
            </w:r>
          </w:p>
        </w:tc>
        <w:tc>
          <w:tcPr>
            <w:tcW w:w="1172" w:type="dxa"/>
            <w:vAlign w:val="center"/>
          </w:tcPr>
          <w:p w14:paraId="01A7D02C">
            <w:pPr>
              <w:jc w:val="center"/>
              <w:rPr>
                <w:color w:val="auto"/>
                <w:sz w:val="18"/>
                <w:szCs w:val="18"/>
              </w:rPr>
            </w:pPr>
            <w:r>
              <w:rPr>
                <w:rFonts w:hint="eastAsia"/>
                <w:color w:val="auto"/>
                <w:sz w:val="18"/>
                <w:szCs w:val="18"/>
              </w:rPr>
              <w:t>ZS</w:t>
            </w:r>
            <w:r>
              <w:rPr>
                <w:color w:val="auto"/>
                <w:sz w:val="18"/>
                <w:szCs w:val="18"/>
              </w:rPr>
              <w:t>0411</w:t>
            </w:r>
            <w:r>
              <w:rPr>
                <w:rFonts w:hint="eastAsia"/>
                <w:color w:val="auto"/>
                <w:sz w:val="18"/>
                <w:szCs w:val="18"/>
                <w:lang w:val="en-US" w:eastAsia="zh-CN"/>
              </w:rPr>
              <w:t>10</w:t>
            </w:r>
            <w:r>
              <w:rPr>
                <w:color w:val="auto"/>
                <w:sz w:val="18"/>
                <w:szCs w:val="18"/>
              </w:rPr>
              <w:t>1</w:t>
            </w:r>
          </w:p>
        </w:tc>
        <w:tc>
          <w:tcPr>
            <w:tcW w:w="794" w:type="dxa"/>
            <w:vAlign w:val="center"/>
          </w:tcPr>
          <w:p w14:paraId="0072DDD4">
            <w:pPr>
              <w:jc w:val="center"/>
              <w:rPr>
                <w:color w:val="auto"/>
                <w:sz w:val="18"/>
                <w:szCs w:val="18"/>
              </w:rPr>
            </w:pPr>
            <w:r>
              <w:rPr>
                <w:rFonts w:hint="eastAsia"/>
                <w:color w:val="auto"/>
                <w:sz w:val="18"/>
                <w:szCs w:val="18"/>
              </w:rPr>
              <w:t>2</w:t>
            </w:r>
          </w:p>
        </w:tc>
        <w:tc>
          <w:tcPr>
            <w:tcW w:w="829" w:type="dxa"/>
            <w:vAlign w:val="center"/>
          </w:tcPr>
          <w:p w14:paraId="332CCF15">
            <w:pPr>
              <w:jc w:val="center"/>
              <w:rPr>
                <w:color w:val="auto"/>
                <w:sz w:val="18"/>
                <w:szCs w:val="18"/>
              </w:rPr>
            </w:pPr>
            <w:r>
              <w:rPr>
                <w:rFonts w:hint="eastAsia"/>
                <w:color w:val="auto"/>
                <w:sz w:val="18"/>
                <w:szCs w:val="18"/>
              </w:rPr>
              <w:t>2</w:t>
            </w:r>
          </w:p>
        </w:tc>
        <w:tc>
          <w:tcPr>
            <w:tcW w:w="1606" w:type="dxa"/>
            <w:vMerge w:val="restart"/>
            <w:vAlign w:val="center"/>
          </w:tcPr>
          <w:p w14:paraId="5C1D4B76">
            <w:pPr>
              <w:adjustRightInd w:val="0"/>
              <w:snapToGrid w:val="0"/>
              <w:jc w:val="center"/>
              <w:rPr>
                <w:color w:val="auto"/>
                <w:sz w:val="18"/>
                <w:szCs w:val="18"/>
              </w:rPr>
            </w:pPr>
            <w:r>
              <w:rPr>
                <w:rFonts w:hint="eastAsia"/>
                <w:color w:val="auto"/>
                <w:sz w:val="18"/>
                <w:szCs w:val="18"/>
              </w:rPr>
              <w:t>本方向研究生至少选修</w:t>
            </w:r>
          </w:p>
          <w:p w14:paraId="6B428119">
            <w:pPr>
              <w:adjustRightInd w:val="0"/>
              <w:snapToGrid w:val="0"/>
              <w:jc w:val="center"/>
              <w:rPr>
                <w:color w:val="auto"/>
                <w:sz w:val="18"/>
                <w:szCs w:val="18"/>
              </w:rPr>
            </w:pPr>
            <w:r>
              <w:rPr>
                <w:color w:val="auto"/>
                <w:sz w:val="18"/>
                <w:szCs w:val="18"/>
              </w:rPr>
              <w:t>10</w:t>
            </w:r>
            <w:r>
              <w:rPr>
                <w:rFonts w:hint="eastAsia"/>
                <w:color w:val="auto"/>
                <w:sz w:val="18"/>
                <w:szCs w:val="18"/>
              </w:rPr>
              <w:t>学分</w:t>
            </w:r>
          </w:p>
        </w:tc>
      </w:tr>
      <w:tr w14:paraId="5E86F4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E4FCDA">
            <w:pPr>
              <w:rPr>
                <w:b/>
                <w:color w:val="auto"/>
                <w:sz w:val="18"/>
                <w:szCs w:val="18"/>
              </w:rPr>
            </w:pPr>
          </w:p>
        </w:tc>
        <w:tc>
          <w:tcPr>
            <w:tcW w:w="1311" w:type="dxa"/>
            <w:vMerge w:val="continue"/>
            <w:vAlign w:val="center"/>
          </w:tcPr>
          <w:p w14:paraId="3A489A72">
            <w:pPr>
              <w:adjustRightInd w:val="0"/>
              <w:snapToGrid w:val="0"/>
              <w:jc w:val="center"/>
              <w:rPr>
                <w:rFonts w:hint="eastAsia"/>
                <w:b/>
                <w:color w:val="auto"/>
                <w:sz w:val="18"/>
                <w:szCs w:val="18"/>
              </w:rPr>
            </w:pPr>
          </w:p>
        </w:tc>
        <w:tc>
          <w:tcPr>
            <w:tcW w:w="3258" w:type="dxa"/>
            <w:shd w:val="clear" w:color="auto" w:fill="auto"/>
            <w:vAlign w:val="center"/>
          </w:tcPr>
          <w:p w14:paraId="05480F92">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基于Python的</w:t>
            </w:r>
            <w:r>
              <w:rPr>
                <w:rFonts w:hint="eastAsia"/>
                <w:color w:val="auto"/>
                <w:sz w:val="18"/>
                <w:szCs w:val="18"/>
              </w:rPr>
              <w:t>财务报表分析</w:t>
            </w:r>
          </w:p>
        </w:tc>
        <w:tc>
          <w:tcPr>
            <w:tcW w:w="1172" w:type="dxa"/>
            <w:shd w:val="clear" w:color="auto" w:fill="auto"/>
            <w:vAlign w:val="center"/>
          </w:tcPr>
          <w:p w14:paraId="21E41B9A">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w:t>
            </w:r>
            <w:r>
              <w:rPr>
                <w:color w:val="auto"/>
                <w:sz w:val="18"/>
                <w:szCs w:val="18"/>
              </w:rPr>
              <w:t>0411</w:t>
            </w:r>
            <w:r>
              <w:rPr>
                <w:rFonts w:hint="eastAsia"/>
                <w:color w:val="auto"/>
                <w:sz w:val="18"/>
                <w:szCs w:val="18"/>
                <w:lang w:val="en-US" w:eastAsia="zh-CN"/>
              </w:rPr>
              <w:t>102</w:t>
            </w:r>
          </w:p>
        </w:tc>
        <w:tc>
          <w:tcPr>
            <w:tcW w:w="794" w:type="dxa"/>
            <w:shd w:val="clear" w:color="auto" w:fill="auto"/>
            <w:vAlign w:val="center"/>
          </w:tcPr>
          <w:p w14:paraId="3FA52271">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829" w:type="dxa"/>
            <w:shd w:val="clear" w:color="auto" w:fill="auto"/>
            <w:vAlign w:val="center"/>
          </w:tcPr>
          <w:p w14:paraId="3B82ECB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606" w:type="dxa"/>
            <w:vMerge w:val="continue"/>
            <w:vAlign w:val="center"/>
          </w:tcPr>
          <w:p w14:paraId="3E01DA1A">
            <w:pPr>
              <w:adjustRightInd w:val="0"/>
              <w:snapToGrid w:val="0"/>
              <w:jc w:val="center"/>
              <w:rPr>
                <w:color w:val="auto"/>
                <w:sz w:val="18"/>
                <w:szCs w:val="18"/>
              </w:rPr>
            </w:pPr>
          </w:p>
        </w:tc>
      </w:tr>
      <w:tr w14:paraId="54A06B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86BCC8">
            <w:pPr>
              <w:rPr>
                <w:b/>
                <w:color w:val="auto"/>
                <w:sz w:val="18"/>
                <w:szCs w:val="18"/>
              </w:rPr>
            </w:pPr>
          </w:p>
        </w:tc>
        <w:tc>
          <w:tcPr>
            <w:tcW w:w="1311" w:type="dxa"/>
            <w:vMerge w:val="continue"/>
            <w:vAlign w:val="center"/>
          </w:tcPr>
          <w:p w14:paraId="5D91DD68">
            <w:pPr>
              <w:adjustRightInd w:val="0"/>
              <w:snapToGrid w:val="0"/>
              <w:jc w:val="center"/>
              <w:rPr>
                <w:rFonts w:hint="eastAsia"/>
                <w:b/>
                <w:color w:val="auto"/>
                <w:sz w:val="18"/>
                <w:szCs w:val="18"/>
              </w:rPr>
            </w:pPr>
          </w:p>
        </w:tc>
        <w:tc>
          <w:tcPr>
            <w:tcW w:w="3258" w:type="dxa"/>
            <w:shd w:val="clear" w:color="auto" w:fill="auto"/>
            <w:vAlign w:val="center"/>
          </w:tcPr>
          <w:p w14:paraId="6EA46444">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数量分析方法</w:t>
            </w:r>
          </w:p>
        </w:tc>
        <w:tc>
          <w:tcPr>
            <w:tcW w:w="1172" w:type="dxa"/>
            <w:shd w:val="clear" w:color="auto" w:fill="auto"/>
            <w:vAlign w:val="center"/>
          </w:tcPr>
          <w:p w14:paraId="34CA4AE5">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w:t>
            </w:r>
            <w:r>
              <w:rPr>
                <w:color w:val="auto"/>
                <w:sz w:val="18"/>
                <w:szCs w:val="18"/>
              </w:rPr>
              <w:t>0411</w:t>
            </w:r>
            <w:r>
              <w:rPr>
                <w:rFonts w:hint="eastAsia"/>
                <w:color w:val="auto"/>
                <w:sz w:val="18"/>
                <w:szCs w:val="18"/>
                <w:lang w:val="en-US" w:eastAsia="zh-CN"/>
              </w:rPr>
              <w:t>103</w:t>
            </w:r>
          </w:p>
        </w:tc>
        <w:tc>
          <w:tcPr>
            <w:tcW w:w="794" w:type="dxa"/>
            <w:shd w:val="clear" w:color="auto" w:fill="auto"/>
            <w:vAlign w:val="center"/>
          </w:tcPr>
          <w:p w14:paraId="6A15051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829" w:type="dxa"/>
            <w:shd w:val="clear" w:color="auto" w:fill="auto"/>
            <w:vAlign w:val="center"/>
          </w:tcPr>
          <w:p w14:paraId="7376CEA3">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606" w:type="dxa"/>
            <w:vMerge w:val="continue"/>
            <w:vAlign w:val="center"/>
          </w:tcPr>
          <w:p w14:paraId="774DCA4B">
            <w:pPr>
              <w:adjustRightInd w:val="0"/>
              <w:snapToGrid w:val="0"/>
              <w:jc w:val="center"/>
              <w:rPr>
                <w:color w:val="auto"/>
                <w:sz w:val="18"/>
                <w:szCs w:val="18"/>
              </w:rPr>
            </w:pPr>
          </w:p>
        </w:tc>
      </w:tr>
      <w:tr w14:paraId="4CC36B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F93875">
            <w:pPr>
              <w:rPr>
                <w:b/>
                <w:color w:val="auto"/>
                <w:sz w:val="18"/>
                <w:szCs w:val="18"/>
              </w:rPr>
            </w:pPr>
          </w:p>
        </w:tc>
        <w:tc>
          <w:tcPr>
            <w:tcW w:w="1311" w:type="dxa"/>
            <w:vMerge w:val="continue"/>
            <w:vAlign w:val="center"/>
          </w:tcPr>
          <w:p w14:paraId="3DD6C0DB">
            <w:pPr>
              <w:jc w:val="center"/>
              <w:rPr>
                <w:b/>
                <w:color w:val="auto"/>
                <w:sz w:val="18"/>
                <w:szCs w:val="18"/>
              </w:rPr>
            </w:pPr>
          </w:p>
        </w:tc>
        <w:tc>
          <w:tcPr>
            <w:tcW w:w="3258" w:type="dxa"/>
            <w:vAlign w:val="center"/>
          </w:tcPr>
          <w:p w14:paraId="51FC4CE1">
            <w:pPr>
              <w:rPr>
                <w:color w:val="auto"/>
                <w:sz w:val="18"/>
                <w:szCs w:val="18"/>
              </w:rPr>
            </w:pPr>
            <w:r>
              <w:rPr>
                <w:rFonts w:hint="eastAsia"/>
                <w:color w:val="auto"/>
                <w:sz w:val="18"/>
                <w:szCs w:val="18"/>
              </w:rPr>
              <w:t>投资学</w:t>
            </w:r>
          </w:p>
        </w:tc>
        <w:tc>
          <w:tcPr>
            <w:tcW w:w="1172" w:type="dxa"/>
            <w:vAlign w:val="center"/>
          </w:tcPr>
          <w:p w14:paraId="6EB22D55">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01</w:t>
            </w:r>
          </w:p>
        </w:tc>
        <w:tc>
          <w:tcPr>
            <w:tcW w:w="794" w:type="dxa"/>
            <w:vAlign w:val="center"/>
          </w:tcPr>
          <w:p w14:paraId="56237C4C">
            <w:pPr>
              <w:jc w:val="center"/>
              <w:rPr>
                <w:color w:val="auto"/>
                <w:sz w:val="18"/>
                <w:szCs w:val="18"/>
              </w:rPr>
            </w:pPr>
            <w:r>
              <w:rPr>
                <w:rFonts w:hint="eastAsia"/>
                <w:color w:val="auto"/>
                <w:sz w:val="18"/>
                <w:szCs w:val="18"/>
              </w:rPr>
              <w:t>2</w:t>
            </w:r>
          </w:p>
        </w:tc>
        <w:tc>
          <w:tcPr>
            <w:tcW w:w="829" w:type="dxa"/>
            <w:vAlign w:val="center"/>
          </w:tcPr>
          <w:p w14:paraId="320B63EE">
            <w:pPr>
              <w:jc w:val="center"/>
              <w:rPr>
                <w:color w:val="auto"/>
                <w:sz w:val="18"/>
                <w:szCs w:val="18"/>
              </w:rPr>
            </w:pPr>
            <w:r>
              <w:rPr>
                <w:rFonts w:hint="eastAsia"/>
                <w:color w:val="auto"/>
                <w:sz w:val="18"/>
                <w:szCs w:val="18"/>
              </w:rPr>
              <w:t>2</w:t>
            </w:r>
          </w:p>
        </w:tc>
        <w:tc>
          <w:tcPr>
            <w:tcW w:w="1606" w:type="dxa"/>
            <w:vMerge w:val="continue"/>
            <w:vAlign w:val="center"/>
          </w:tcPr>
          <w:p w14:paraId="17F885D8">
            <w:pPr>
              <w:jc w:val="center"/>
              <w:rPr>
                <w:color w:val="auto"/>
                <w:sz w:val="18"/>
                <w:szCs w:val="18"/>
              </w:rPr>
            </w:pPr>
          </w:p>
        </w:tc>
      </w:tr>
      <w:tr w14:paraId="6E6CFF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2BF3D70">
            <w:pPr>
              <w:rPr>
                <w:b/>
                <w:color w:val="auto"/>
                <w:sz w:val="18"/>
                <w:szCs w:val="18"/>
              </w:rPr>
            </w:pPr>
          </w:p>
        </w:tc>
        <w:tc>
          <w:tcPr>
            <w:tcW w:w="1311" w:type="dxa"/>
            <w:vMerge w:val="continue"/>
            <w:vAlign w:val="center"/>
          </w:tcPr>
          <w:p w14:paraId="33A7FD1E">
            <w:pPr>
              <w:jc w:val="center"/>
              <w:rPr>
                <w:b/>
                <w:color w:val="auto"/>
                <w:sz w:val="18"/>
                <w:szCs w:val="18"/>
              </w:rPr>
            </w:pPr>
          </w:p>
        </w:tc>
        <w:tc>
          <w:tcPr>
            <w:tcW w:w="3258" w:type="dxa"/>
            <w:vAlign w:val="center"/>
          </w:tcPr>
          <w:p w14:paraId="7A2A3102">
            <w:pPr>
              <w:rPr>
                <w:color w:val="auto"/>
                <w:sz w:val="18"/>
                <w:szCs w:val="18"/>
              </w:rPr>
            </w:pPr>
            <w:r>
              <w:rPr>
                <w:rFonts w:hint="eastAsia"/>
                <w:color w:val="auto"/>
                <w:sz w:val="18"/>
                <w:szCs w:val="18"/>
              </w:rPr>
              <w:t>高级财务管理理论与实务</w:t>
            </w:r>
          </w:p>
        </w:tc>
        <w:tc>
          <w:tcPr>
            <w:tcW w:w="1172" w:type="dxa"/>
            <w:vAlign w:val="center"/>
          </w:tcPr>
          <w:p w14:paraId="6A6325A3">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02</w:t>
            </w:r>
          </w:p>
        </w:tc>
        <w:tc>
          <w:tcPr>
            <w:tcW w:w="794" w:type="dxa"/>
            <w:vAlign w:val="center"/>
          </w:tcPr>
          <w:p w14:paraId="58A2C46F">
            <w:pPr>
              <w:jc w:val="center"/>
              <w:rPr>
                <w:color w:val="auto"/>
                <w:sz w:val="18"/>
                <w:szCs w:val="18"/>
              </w:rPr>
            </w:pPr>
            <w:r>
              <w:rPr>
                <w:rFonts w:hint="eastAsia"/>
                <w:color w:val="auto"/>
                <w:sz w:val="18"/>
                <w:szCs w:val="18"/>
              </w:rPr>
              <w:t>2</w:t>
            </w:r>
          </w:p>
        </w:tc>
        <w:tc>
          <w:tcPr>
            <w:tcW w:w="829" w:type="dxa"/>
            <w:vAlign w:val="center"/>
          </w:tcPr>
          <w:p w14:paraId="25B4FFF5">
            <w:pPr>
              <w:jc w:val="center"/>
              <w:rPr>
                <w:color w:val="auto"/>
                <w:sz w:val="18"/>
                <w:szCs w:val="18"/>
              </w:rPr>
            </w:pPr>
            <w:r>
              <w:rPr>
                <w:rFonts w:hint="eastAsia"/>
                <w:color w:val="auto"/>
                <w:sz w:val="18"/>
                <w:szCs w:val="18"/>
              </w:rPr>
              <w:t>2</w:t>
            </w:r>
          </w:p>
        </w:tc>
        <w:tc>
          <w:tcPr>
            <w:tcW w:w="1606" w:type="dxa"/>
            <w:vMerge w:val="continue"/>
            <w:vAlign w:val="center"/>
          </w:tcPr>
          <w:p w14:paraId="36F5EC26">
            <w:pPr>
              <w:jc w:val="center"/>
              <w:rPr>
                <w:color w:val="auto"/>
                <w:sz w:val="18"/>
                <w:szCs w:val="18"/>
              </w:rPr>
            </w:pPr>
          </w:p>
        </w:tc>
      </w:tr>
      <w:tr w14:paraId="33DBDE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438369A">
            <w:pPr>
              <w:rPr>
                <w:b/>
                <w:color w:val="auto"/>
                <w:sz w:val="18"/>
                <w:szCs w:val="18"/>
              </w:rPr>
            </w:pPr>
          </w:p>
        </w:tc>
        <w:tc>
          <w:tcPr>
            <w:tcW w:w="1311" w:type="dxa"/>
            <w:vMerge w:val="continue"/>
            <w:vAlign w:val="center"/>
          </w:tcPr>
          <w:p w14:paraId="46A1AE76">
            <w:pPr>
              <w:jc w:val="center"/>
              <w:rPr>
                <w:b/>
                <w:color w:val="auto"/>
                <w:sz w:val="18"/>
                <w:szCs w:val="18"/>
              </w:rPr>
            </w:pPr>
          </w:p>
        </w:tc>
        <w:tc>
          <w:tcPr>
            <w:tcW w:w="3258" w:type="dxa"/>
            <w:vAlign w:val="center"/>
          </w:tcPr>
          <w:p w14:paraId="6F5A00F3">
            <w:pPr>
              <w:rPr>
                <w:color w:val="auto"/>
                <w:sz w:val="18"/>
                <w:szCs w:val="18"/>
              </w:rPr>
            </w:pPr>
            <w:r>
              <w:rPr>
                <w:rFonts w:hint="eastAsia"/>
                <w:color w:val="auto"/>
                <w:sz w:val="18"/>
                <w:szCs w:val="18"/>
              </w:rPr>
              <w:t>高级管理会计理论与实务</w:t>
            </w:r>
          </w:p>
        </w:tc>
        <w:tc>
          <w:tcPr>
            <w:tcW w:w="1172" w:type="dxa"/>
            <w:vAlign w:val="center"/>
          </w:tcPr>
          <w:p w14:paraId="57D77725">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03</w:t>
            </w:r>
          </w:p>
        </w:tc>
        <w:tc>
          <w:tcPr>
            <w:tcW w:w="794" w:type="dxa"/>
            <w:vAlign w:val="center"/>
          </w:tcPr>
          <w:p w14:paraId="7B10F2E4">
            <w:pPr>
              <w:jc w:val="center"/>
              <w:rPr>
                <w:color w:val="auto"/>
                <w:sz w:val="18"/>
                <w:szCs w:val="18"/>
              </w:rPr>
            </w:pPr>
            <w:r>
              <w:rPr>
                <w:rFonts w:hint="eastAsia"/>
                <w:color w:val="auto"/>
                <w:sz w:val="18"/>
                <w:szCs w:val="18"/>
              </w:rPr>
              <w:t>2</w:t>
            </w:r>
          </w:p>
        </w:tc>
        <w:tc>
          <w:tcPr>
            <w:tcW w:w="829" w:type="dxa"/>
            <w:vAlign w:val="center"/>
          </w:tcPr>
          <w:p w14:paraId="41CE849E">
            <w:pPr>
              <w:jc w:val="center"/>
              <w:rPr>
                <w:color w:val="auto"/>
                <w:sz w:val="18"/>
                <w:szCs w:val="18"/>
              </w:rPr>
            </w:pPr>
            <w:r>
              <w:rPr>
                <w:rFonts w:hint="eastAsia"/>
                <w:color w:val="auto"/>
                <w:sz w:val="18"/>
                <w:szCs w:val="18"/>
              </w:rPr>
              <w:t>2</w:t>
            </w:r>
          </w:p>
        </w:tc>
        <w:tc>
          <w:tcPr>
            <w:tcW w:w="1606" w:type="dxa"/>
            <w:vMerge w:val="continue"/>
            <w:vAlign w:val="center"/>
          </w:tcPr>
          <w:p w14:paraId="4960FBBF">
            <w:pPr>
              <w:jc w:val="center"/>
              <w:rPr>
                <w:color w:val="auto"/>
                <w:sz w:val="18"/>
                <w:szCs w:val="18"/>
              </w:rPr>
            </w:pPr>
          </w:p>
        </w:tc>
      </w:tr>
      <w:tr w14:paraId="57D88F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B4FCD5">
            <w:pPr>
              <w:rPr>
                <w:b/>
                <w:color w:val="auto"/>
                <w:sz w:val="18"/>
                <w:szCs w:val="18"/>
              </w:rPr>
            </w:pPr>
          </w:p>
        </w:tc>
        <w:tc>
          <w:tcPr>
            <w:tcW w:w="1311" w:type="dxa"/>
            <w:vMerge w:val="continue"/>
            <w:vAlign w:val="center"/>
          </w:tcPr>
          <w:p w14:paraId="1980A443">
            <w:pPr>
              <w:jc w:val="center"/>
              <w:rPr>
                <w:b/>
                <w:color w:val="auto"/>
                <w:sz w:val="18"/>
                <w:szCs w:val="18"/>
              </w:rPr>
            </w:pPr>
          </w:p>
        </w:tc>
        <w:tc>
          <w:tcPr>
            <w:tcW w:w="3258" w:type="dxa"/>
          </w:tcPr>
          <w:p w14:paraId="7AF15F8E">
            <w:pPr>
              <w:rPr>
                <w:color w:val="auto"/>
                <w:sz w:val="18"/>
                <w:szCs w:val="18"/>
              </w:rPr>
            </w:pPr>
            <w:r>
              <w:rPr>
                <w:rFonts w:hint="eastAsia"/>
                <w:color w:val="auto"/>
                <w:sz w:val="18"/>
                <w:szCs w:val="18"/>
                <w:highlight w:val="none"/>
              </w:rPr>
              <w:t>成本管理理论与实务</w:t>
            </w:r>
          </w:p>
        </w:tc>
        <w:tc>
          <w:tcPr>
            <w:tcW w:w="1172" w:type="dxa"/>
            <w:vAlign w:val="center"/>
          </w:tcPr>
          <w:p w14:paraId="73DFFBEE">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04</w:t>
            </w:r>
          </w:p>
        </w:tc>
        <w:tc>
          <w:tcPr>
            <w:tcW w:w="794" w:type="dxa"/>
            <w:vAlign w:val="center"/>
          </w:tcPr>
          <w:p w14:paraId="2D66F34A">
            <w:pPr>
              <w:jc w:val="center"/>
              <w:rPr>
                <w:color w:val="auto"/>
                <w:sz w:val="18"/>
                <w:szCs w:val="18"/>
              </w:rPr>
            </w:pPr>
            <w:r>
              <w:rPr>
                <w:rFonts w:hint="eastAsia"/>
                <w:color w:val="auto"/>
                <w:sz w:val="18"/>
                <w:szCs w:val="18"/>
              </w:rPr>
              <w:t>2</w:t>
            </w:r>
          </w:p>
        </w:tc>
        <w:tc>
          <w:tcPr>
            <w:tcW w:w="829" w:type="dxa"/>
            <w:vAlign w:val="center"/>
          </w:tcPr>
          <w:p w14:paraId="026D544C">
            <w:pPr>
              <w:jc w:val="center"/>
              <w:rPr>
                <w:color w:val="auto"/>
                <w:sz w:val="18"/>
                <w:szCs w:val="18"/>
              </w:rPr>
            </w:pPr>
            <w:r>
              <w:rPr>
                <w:rFonts w:hint="eastAsia"/>
                <w:color w:val="auto"/>
                <w:sz w:val="18"/>
                <w:szCs w:val="18"/>
              </w:rPr>
              <w:t>2</w:t>
            </w:r>
          </w:p>
        </w:tc>
        <w:tc>
          <w:tcPr>
            <w:tcW w:w="1606" w:type="dxa"/>
            <w:vMerge w:val="continue"/>
            <w:vAlign w:val="center"/>
          </w:tcPr>
          <w:p w14:paraId="7897DF93">
            <w:pPr>
              <w:jc w:val="center"/>
              <w:rPr>
                <w:color w:val="auto"/>
                <w:sz w:val="18"/>
                <w:szCs w:val="18"/>
              </w:rPr>
            </w:pPr>
          </w:p>
        </w:tc>
      </w:tr>
      <w:tr w14:paraId="2735CF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3EF1A9">
            <w:pPr>
              <w:rPr>
                <w:b/>
                <w:color w:val="auto"/>
                <w:sz w:val="18"/>
                <w:szCs w:val="18"/>
              </w:rPr>
            </w:pPr>
          </w:p>
        </w:tc>
        <w:tc>
          <w:tcPr>
            <w:tcW w:w="1311" w:type="dxa"/>
            <w:vMerge w:val="continue"/>
            <w:vAlign w:val="center"/>
          </w:tcPr>
          <w:p w14:paraId="63143C94">
            <w:pPr>
              <w:jc w:val="center"/>
              <w:rPr>
                <w:b/>
                <w:color w:val="auto"/>
                <w:sz w:val="18"/>
                <w:szCs w:val="18"/>
              </w:rPr>
            </w:pPr>
          </w:p>
        </w:tc>
        <w:tc>
          <w:tcPr>
            <w:tcW w:w="3258" w:type="dxa"/>
            <w:vAlign w:val="center"/>
          </w:tcPr>
          <w:p w14:paraId="681E0517">
            <w:pPr>
              <w:rPr>
                <w:rFonts w:hint="default" w:eastAsia="宋体"/>
                <w:color w:val="auto"/>
                <w:sz w:val="18"/>
                <w:szCs w:val="18"/>
                <w:lang w:val="en-US" w:eastAsia="zh-CN"/>
              </w:rPr>
            </w:pPr>
            <w:r>
              <w:rPr>
                <w:rFonts w:hint="eastAsia"/>
                <w:color w:val="auto"/>
                <w:sz w:val="18"/>
                <w:szCs w:val="18"/>
                <w:lang w:val="en-US" w:eastAsia="zh-CN"/>
              </w:rPr>
              <w:t>企业价值评估</w:t>
            </w:r>
          </w:p>
        </w:tc>
        <w:tc>
          <w:tcPr>
            <w:tcW w:w="1172" w:type="dxa"/>
            <w:vAlign w:val="center"/>
          </w:tcPr>
          <w:p w14:paraId="5EA66626">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w:t>
            </w:r>
            <w:r>
              <w:rPr>
                <w:rFonts w:hint="eastAsia"/>
                <w:color w:val="auto"/>
                <w:sz w:val="18"/>
                <w:szCs w:val="18"/>
                <w:lang w:val="en-US" w:eastAsia="zh-CN"/>
              </w:rPr>
              <w:t>3007</w:t>
            </w:r>
          </w:p>
        </w:tc>
        <w:tc>
          <w:tcPr>
            <w:tcW w:w="794" w:type="dxa"/>
            <w:vAlign w:val="center"/>
          </w:tcPr>
          <w:p w14:paraId="14D8E391">
            <w:pPr>
              <w:jc w:val="center"/>
              <w:rPr>
                <w:color w:val="auto"/>
                <w:sz w:val="18"/>
                <w:szCs w:val="18"/>
              </w:rPr>
            </w:pPr>
            <w:r>
              <w:rPr>
                <w:rFonts w:hint="eastAsia"/>
                <w:color w:val="auto"/>
                <w:sz w:val="18"/>
                <w:szCs w:val="18"/>
              </w:rPr>
              <w:t>2</w:t>
            </w:r>
          </w:p>
        </w:tc>
        <w:tc>
          <w:tcPr>
            <w:tcW w:w="829" w:type="dxa"/>
            <w:vAlign w:val="center"/>
          </w:tcPr>
          <w:p w14:paraId="0C3DB949">
            <w:pPr>
              <w:jc w:val="center"/>
              <w:rPr>
                <w:color w:val="auto"/>
                <w:sz w:val="18"/>
                <w:szCs w:val="18"/>
              </w:rPr>
            </w:pPr>
            <w:r>
              <w:rPr>
                <w:rFonts w:hint="eastAsia"/>
                <w:color w:val="auto"/>
                <w:sz w:val="18"/>
                <w:szCs w:val="18"/>
              </w:rPr>
              <w:t>2</w:t>
            </w:r>
          </w:p>
        </w:tc>
        <w:tc>
          <w:tcPr>
            <w:tcW w:w="1606" w:type="dxa"/>
            <w:vMerge w:val="continue"/>
            <w:vAlign w:val="center"/>
          </w:tcPr>
          <w:p w14:paraId="37CDA1E3">
            <w:pPr>
              <w:jc w:val="center"/>
              <w:rPr>
                <w:color w:val="auto"/>
                <w:sz w:val="18"/>
                <w:szCs w:val="18"/>
              </w:rPr>
            </w:pPr>
          </w:p>
        </w:tc>
      </w:tr>
      <w:tr w14:paraId="745F04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4800AFF">
            <w:pPr>
              <w:rPr>
                <w:b/>
                <w:color w:val="auto"/>
                <w:sz w:val="18"/>
                <w:szCs w:val="18"/>
              </w:rPr>
            </w:pPr>
          </w:p>
        </w:tc>
        <w:tc>
          <w:tcPr>
            <w:tcW w:w="1311" w:type="dxa"/>
            <w:vMerge w:val="restart"/>
            <w:vAlign w:val="center"/>
          </w:tcPr>
          <w:p w14:paraId="67E33A2F">
            <w:pPr>
              <w:jc w:val="center"/>
              <w:rPr>
                <w:b/>
                <w:color w:val="auto"/>
                <w:sz w:val="18"/>
                <w:szCs w:val="18"/>
              </w:rPr>
            </w:pPr>
            <w:r>
              <w:rPr>
                <w:rFonts w:hint="eastAsia"/>
                <w:b/>
                <w:color w:val="auto"/>
                <w:sz w:val="18"/>
                <w:szCs w:val="18"/>
              </w:rPr>
              <w:t>企业风险管理与审计方向选修课</w:t>
            </w:r>
          </w:p>
        </w:tc>
        <w:tc>
          <w:tcPr>
            <w:tcW w:w="3258" w:type="dxa"/>
          </w:tcPr>
          <w:p w14:paraId="67C15D90">
            <w:pPr>
              <w:rPr>
                <w:color w:val="auto"/>
                <w:sz w:val="18"/>
                <w:szCs w:val="18"/>
              </w:rPr>
            </w:pPr>
            <w:r>
              <w:rPr>
                <w:rFonts w:hint="eastAsia" w:ascii="Times New Roman" w:hAnsi="Times New Roman" w:cs="Times New Roman"/>
                <w:color w:val="auto"/>
                <w:sz w:val="18"/>
                <w:szCs w:val="18"/>
              </w:rPr>
              <w:t>大数据与财务决策</w:t>
            </w:r>
          </w:p>
        </w:tc>
        <w:tc>
          <w:tcPr>
            <w:tcW w:w="1172" w:type="dxa"/>
            <w:vAlign w:val="center"/>
          </w:tcPr>
          <w:p w14:paraId="192C2456">
            <w:pPr>
              <w:jc w:val="center"/>
              <w:rPr>
                <w:i/>
                <w:color w:val="auto"/>
                <w:sz w:val="18"/>
                <w:szCs w:val="18"/>
              </w:rPr>
            </w:pPr>
            <w:r>
              <w:rPr>
                <w:rFonts w:hint="eastAsia"/>
                <w:color w:val="auto"/>
                <w:sz w:val="18"/>
                <w:szCs w:val="18"/>
              </w:rPr>
              <w:t>ZS</w:t>
            </w:r>
            <w:r>
              <w:rPr>
                <w:color w:val="auto"/>
                <w:sz w:val="18"/>
                <w:szCs w:val="18"/>
              </w:rPr>
              <w:t>0411</w:t>
            </w:r>
            <w:r>
              <w:rPr>
                <w:rFonts w:hint="eastAsia"/>
                <w:color w:val="auto"/>
                <w:sz w:val="18"/>
                <w:szCs w:val="18"/>
                <w:lang w:val="en-US" w:eastAsia="zh-CN"/>
              </w:rPr>
              <w:t>10</w:t>
            </w:r>
            <w:r>
              <w:rPr>
                <w:color w:val="auto"/>
                <w:sz w:val="18"/>
                <w:szCs w:val="18"/>
              </w:rPr>
              <w:t>1</w:t>
            </w:r>
          </w:p>
        </w:tc>
        <w:tc>
          <w:tcPr>
            <w:tcW w:w="794" w:type="dxa"/>
            <w:vAlign w:val="center"/>
          </w:tcPr>
          <w:p w14:paraId="62F08F00">
            <w:pPr>
              <w:jc w:val="center"/>
              <w:rPr>
                <w:i/>
                <w:color w:val="auto"/>
                <w:sz w:val="18"/>
                <w:szCs w:val="18"/>
              </w:rPr>
            </w:pPr>
            <w:r>
              <w:rPr>
                <w:rFonts w:hint="eastAsia"/>
                <w:color w:val="auto"/>
                <w:sz w:val="18"/>
                <w:szCs w:val="18"/>
              </w:rPr>
              <w:t>2</w:t>
            </w:r>
          </w:p>
        </w:tc>
        <w:tc>
          <w:tcPr>
            <w:tcW w:w="829" w:type="dxa"/>
            <w:vAlign w:val="center"/>
          </w:tcPr>
          <w:p w14:paraId="0F875505">
            <w:pPr>
              <w:jc w:val="center"/>
              <w:rPr>
                <w:i/>
                <w:color w:val="auto"/>
                <w:sz w:val="18"/>
                <w:szCs w:val="18"/>
              </w:rPr>
            </w:pPr>
            <w:r>
              <w:rPr>
                <w:rFonts w:hint="eastAsia"/>
                <w:color w:val="auto"/>
                <w:sz w:val="18"/>
                <w:szCs w:val="18"/>
              </w:rPr>
              <w:t>2</w:t>
            </w:r>
          </w:p>
        </w:tc>
        <w:tc>
          <w:tcPr>
            <w:tcW w:w="1606" w:type="dxa"/>
            <w:vMerge w:val="restart"/>
            <w:vAlign w:val="center"/>
          </w:tcPr>
          <w:p w14:paraId="5CB28591">
            <w:pPr>
              <w:adjustRightInd w:val="0"/>
              <w:snapToGrid w:val="0"/>
              <w:jc w:val="center"/>
              <w:rPr>
                <w:color w:val="auto"/>
                <w:sz w:val="18"/>
                <w:szCs w:val="18"/>
              </w:rPr>
            </w:pPr>
            <w:r>
              <w:rPr>
                <w:rFonts w:hint="eastAsia"/>
                <w:color w:val="auto"/>
                <w:sz w:val="18"/>
                <w:szCs w:val="18"/>
              </w:rPr>
              <w:t>本方向研究生至少选修</w:t>
            </w:r>
          </w:p>
          <w:p w14:paraId="7B0A581C">
            <w:pPr>
              <w:jc w:val="center"/>
              <w:rPr>
                <w:color w:val="auto"/>
                <w:sz w:val="18"/>
                <w:szCs w:val="18"/>
              </w:rPr>
            </w:pPr>
            <w:r>
              <w:rPr>
                <w:color w:val="auto"/>
                <w:sz w:val="18"/>
                <w:szCs w:val="18"/>
              </w:rPr>
              <w:t>10</w:t>
            </w:r>
            <w:r>
              <w:rPr>
                <w:rFonts w:hint="eastAsia"/>
                <w:color w:val="auto"/>
                <w:sz w:val="18"/>
                <w:szCs w:val="18"/>
              </w:rPr>
              <w:t>学分</w:t>
            </w:r>
          </w:p>
        </w:tc>
      </w:tr>
      <w:tr w14:paraId="1D6AAB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8F39D3">
            <w:pPr>
              <w:rPr>
                <w:b/>
                <w:color w:val="auto"/>
                <w:sz w:val="18"/>
                <w:szCs w:val="18"/>
              </w:rPr>
            </w:pPr>
          </w:p>
        </w:tc>
        <w:tc>
          <w:tcPr>
            <w:tcW w:w="1311" w:type="dxa"/>
            <w:vMerge w:val="continue"/>
            <w:vAlign w:val="center"/>
          </w:tcPr>
          <w:p w14:paraId="6729E1F4">
            <w:pPr>
              <w:jc w:val="center"/>
              <w:rPr>
                <w:b/>
                <w:color w:val="auto"/>
                <w:sz w:val="18"/>
                <w:szCs w:val="18"/>
              </w:rPr>
            </w:pPr>
          </w:p>
        </w:tc>
        <w:tc>
          <w:tcPr>
            <w:tcW w:w="3258" w:type="dxa"/>
            <w:shd w:val="clear" w:color="auto" w:fill="auto"/>
            <w:vAlign w:val="center"/>
          </w:tcPr>
          <w:p w14:paraId="19AA13FD">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基于Python的</w:t>
            </w:r>
            <w:r>
              <w:rPr>
                <w:rFonts w:hint="eastAsia"/>
                <w:color w:val="auto"/>
                <w:sz w:val="18"/>
                <w:szCs w:val="18"/>
              </w:rPr>
              <w:t>财务报表分析</w:t>
            </w:r>
          </w:p>
        </w:tc>
        <w:tc>
          <w:tcPr>
            <w:tcW w:w="1172" w:type="dxa"/>
            <w:shd w:val="clear" w:color="auto" w:fill="auto"/>
            <w:vAlign w:val="center"/>
          </w:tcPr>
          <w:p w14:paraId="435BBF6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w:t>
            </w:r>
            <w:r>
              <w:rPr>
                <w:color w:val="auto"/>
                <w:sz w:val="18"/>
                <w:szCs w:val="18"/>
              </w:rPr>
              <w:t>0411</w:t>
            </w:r>
            <w:r>
              <w:rPr>
                <w:rFonts w:hint="eastAsia"/>
                <w:color w:val="auto"/>
                <w:sz w:val="18"/>
                <w:szCs w:val="18"/>
                <w:lang w:val="en-US" w:eastAsia="zh-CN"/>
              </w:rPr>
              <w:t>102</w:t>
            </w:r>
          </w:p>
        </w:tc>
        <w:tc>
          <w:tcPr>
            <w:tcW w:w="794" w:type="dxa"/>
            <w:shd w:val="clear" w:color="auto" w:fill="auto"/>
            <w:vAlign w:val="center"/>
          </w:tcPr>
          <w:p w14:paraId="34E4232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829" w:type="dxa"/>
            <w:shd w:val="clear" w:color="auto" w:fill="auto"/>
            <w:vAlign w:val="center"/>
          </w:tcPr>
          <w:p w14:paraId="3223DC96">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606" w:type="dxa"/>
            <w:vMerge w:val="continue"/>
            <w:vAlign w:val="center"/>
          </w:tcPr>
          <w:p w14:paraId="7C8BF005">
            <w:pPr>
              <w:jc w:val="center"/>
              <w:rPr>
                <w:color w:val="auto"/>
                <w:sz w:val="18"/>
                <w:szCs w:val="18"/>
              </w:rPr>
            </w:pPr>
          </w:p>
        </w:tc>
      </w:tr>
      <w:tr w14:paraId="2DABFD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AB96D1">
            <w:pPr>
              <w:rPr>
                <w:b/>
                <w:color w:val="auto"/>
                <w:sz w:val="18"/>
                <w:szCs w:val="18"/>
              </w:rPr>
            </w:pPr>
          </w:p>
        </w:tc>
        <w:tc>
          <w:tcPr>
            <w:tcW w:w="1311" w:type="dxa"/>
            <w:vMerge w:val="continue"/>
            <w:vAlign w:val="center"/>
          </w:tcPr>
          <w:p w14:paraId="4215922F">
            <w:pPr>
              <w:jc w:val="center"/>
              <w:rPr>
                <w:b/>
                <w:color w:val="auto"/>
                <w:sz w:val="18"/>
                <w:szCs w:val="18"/>
              </w:rPr>
            </w:pPr>
          </w:p>
        </w:tc>
        <w:tc>
          <w:tcPr>
            <w:tcW w:w="3258" w:type="dxa"/>
            <w:shd w:val="clear" w:color="auto" w:fill="auto"/>
            <w:vAlign w:val="center"/>
          </w:tcPr>
          <w:p w14:paraId="5B64AB60">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数量分析方法</w:t>
            </w:r>
          </w:p>
        </w:tc>
        <w:tc>
          <w:tcPr>
            <w:tcW w:w="1172" w:type="dxa"/>
            <w:shd w:val="clear" w:color="auto" w:fill="auto"/>
            <w:vAlign w:val="center"/>
          </w:tcPr>
          <w:p w14:paraId="1881484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w:t>
            </w:r>
            <w:r>
              <w:rPr>
                <w:color w:val="auto"/>
                <w:sz w:val="18"/>
                <w:szCs w:val="18"/>
              </w:rPr>
              <w:t>0411</w:t>
            </w:r>
            <w:r>
              <w:rPr>
                <w:rFonts w:hint="eastAsia"/>
                <w:color w:val="auto"/>
                <w:sz w:val="18"/>
                <w:szCs w:val="18"/>
                <w:lang w:val="en-US" w:eastAsia="zh-CN"/>
              </w:rPr>
              <w:t>103</w:t>
            </w:r>
          </w:p>
        </w:tc>
        <w:tc>
          <w:tcPr>
            <w:tcW w:w="794" w:type="dxa"/>
            <w:shd w:val="clear" w:color="auto" w:fill="auto"/>
            <w:vAlign w:val="center"/>
          </w:tcPr>
          <w:p w14:paraId="5A1FFD7E">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829" w:type="dxa"/>
            <w:shd w:val="clear" w:color="auto" w:fill="auto"/>
            <w:vAlign w:val="center"/>
          </w:tcPr>
          <w:p w14:paraId="48AA975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606" w:type="dxa"/>
            <w:vMerge w:val="continue"/>
            <w:vAlign w:val="center"/>
          </w:tcPr>
          <w:p w14:paraId="4D121B6C">
            <w:pPr>
              <w:jc w:val="center"/>
              <w:rPr>
                <w:color w:val="auto"/>
                <w:sz w:val="18"/>
                <w:szCs w:val="18"/>
              </w:rPr>
            </w:pPr>
          </w:p>
        </w:tc>
      </w:tr>
      <w:tr w14:paraId="0D084A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FC2706E">
            <w:pPr>
              <w:rPr>
                <w:b/>
                <w:color w:val="auto"/>
                <w:sz w:val="18"/>
                <w:szCs w:val="18"/>
              </w:rPr>
            </w:pPr>
          </w:p>
        </w:tc>
        <w:tc>
          <w:tcPr>
            <w:tcW w:w="1311" w:type="dxa"/>
            <w:vMerge w:val="continue"/>
            <w:vAlign w:val="center"/>
          </w:tcPr>
          <w:p w14:paraId="4137FAB9">
            <w:pPr>
              <w:jc w:val="center"/>
              <w:rPr>
                <w:b/>
                <w:color w:val="auto"/>
                <w:sz w:val="18"/>
                <w:szCs w:val="18"/>
              </w:rPr>
            </w:pPr>
          </w:p>
        </w:tc>
        <w:tc>
          <w:tcPr>
            <w:tcW w:w="3258" w:type="dxa"/>
            <w:shd w:val="clear" w:color="auto" w:fill="auto"/>
            <w:vAlign w:val="top"/>
          </w:tcPr>
          <w:p w14:paraId="759B67F8">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highlight w:val="none"/>
              </w:rPr>
              <w:t>成本管理理论与实务</w:t>
            </w:r>
          </w:p>
        </w:tc>
        <w:tc>
          <w:tcPr>
            <w:tcW w:w="1172" w:type="dxa"/>
            <w:shd w:val="clear" w:color="auto" w:fill="auto"/>
            <w:vAlign w:val="center"/>
          </w:tcPr>
          <w:p w14:paraId="4572DC2E">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ZS</w:t>
            </w:r>
            <w:r>
              <w:rPr>
                <w:color w:val="auto"/>
                <w:sz w:val="18"/>
                <w:szCs w:val="18"/>
              </w:rPr>
              <w:t>04112</w:t>
            </w:r>
            <w:r>
              <w:rPr>
                <w:rFonts w:hint="eastAsia"/>
                <w:color w:val="auto"/>
                <w:sz w:val="18"/>
                <w:szCs w:val="18"/>
                <w:lang w:val="en-US" w:eastAsia="zh-CN"/>
              </w:rPr>
              <w:t>04</w:t>
            </w:r>
          </w:p>
        </w:tc>
        <w:tc>
          <w:tcPr>
            <w:tcW w:w="794" w:type="dxa"/>
            <w:shd w:val="clear" w:color="auto" w:fill="auto"/>
            <w:vAlign w:val="center"/>
          </w:tcPr>
          <w:p w14:paraId="787D5F81">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829" w:type="dxa"/>
            <w:shd w:val="clear" w:color="auto" w:fill="auto"/>
            <w:vAlign w:val="center"/>
          </w:tcPr>
          <w:p w14:paraId="0462D778">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1606" w:type="dxa"/>
            <w:vMerge w:val="continue"/>
            <w:vAlign w:val="center"/>
          </w:tcPr>
          <w:p w14:paraId="05197443">
            <w:pPr>
              <w:jc w:val="center"/>
              <w:rPr>
                <w:color w:val="auto"/>
                <w:sz w:val="18"/>
                <w:szCs w:val="18"/>
              </w:rPr>
            </w:pPr>
          </w:p>
        </w:tc>
      </w:tr>
      <w:tr w14:paraId="64B6B0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9AC6FCA">
            <w:pPr>
              <w:rPr>
                <w:b/>
                <w:color w:val="auto"/>
                <w:sz w:val="18"/>
                <w:szCs w:val="18"/>
              </w:rPr>
            </w:pPr>
          </w:p>
        </w:tc>
        <w:tc>
          <w:tcPr>
            <w:tcW w:w="1311" w:type="dxa"/>
            <w:vMerge w:val="continue"/>
            <w:vAlign w:val="center"/>
          </w:tcPr>
          <w:p w14:paraId="02D38188">
            <w:pPr>
              <w:jc w:val="center"/>
              <w:rPr>
                <w:b/>
                <w:color w:val="auto"/>
                <w:sz w:val="18"/>
                <w:szCs w:val="18"/>
              </w:rPr>
            </w:pPr>
          </w:p>
        </w:tc>
        <w:tc>
          <w:tcPr>
            <w:tcW w:w="3258" w:type="dxa"/>
            <w:shd w:val="clear" w:color="auto" w:fill="auto"/>
            <w:vAlign w:val="center"/>
          </w:tcPr>
          <w:p w14:paraId="00CD6296">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会计</w:t>
            </w:r>
            <w:r>
              <w:rPr>
                <w:rFonts w:hint="eastAsia"/>
                <w:color w:val="auto"/>
                <w:sz w:val="18"/>
                <w:szCs w:val="18"/>
              </w:rPr>
              <w:t>信息系统</w:t>
            </w:r>
          </w:p>
        </w:tc>
        <w:tc>
          <w:tcPr>
            <w:tcW w:w="1172" w:type="dxa"/>
            <w:shd w:val="clear" w:color="auto" w:fill="auto"/>
            <w:vAlign w:val="center"/>
          </w:tcPr>
          <w:p w14:paraId="7A7BAFAB">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w:t>
            </w:r>
            <w:r>
              <w:rPr>
                <w:color w:val="auto"/>
                <w:sz w:val="18"/>
                <w:szCs w:val="18"/>
              </w:rPr>
              <w:t>04112</w:t>
            </w:r>
            <w:r>
              <w:rPr>
                <w:rFonts w:hint="eastAsia"/>
                <w:color w:val="auto"/>
                <w:sz w:val="18"/>
                <w:szCs w:val="18"/>
                <w:lang w:val="en-US" w:eastAsia="zh-CN"/>
              </w:rPr>
              <w:t>41</w:t>
            </w:r>
          </w:p>
        </w:tc>
        <w:tc>
          <w:tcPr>
            <w:tcW w:w="794" w:type="dxa"/>
            <w:shd w:val="clear" w:color="auto" w:fill="auto"/>
            <w:vAlign w:val="center"/>
          </w:tcPr>
          <w:p w14:paraId="4505048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829" w:type="dxa"/>
            <w:shd w:val="clear" w:color="auto" w:fill="auto"/>
            <w:vAlign w:val="center"/>
          </w:tcPr>
          <w:p w14:paraId="6CB1BA2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1606" w:type="dxa"/>
            <w:vMerge w:val="continue"/>
            <w:vAlign w:val="center"/>
          </w:tcPr>
          <w:p w14:paraId="2BB9D425">
            <w:pPr>
              <w:jc w:val="center"/>
              <w:rPr>
                <w:color w:val="auto"/>
                <w:sz w:val="18"/>
                <w:szCs w:val="18"/>
              </w:rPr>
            </w:pPr>
          </w:p>
        </w:tc>
      </w:tr>
      <w:tr w14:paraId="494074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4C6E48F">
            <w:pPr>
              <w:rPr>
                <w:b/>
                <w:color w:val="auto"/>
                <w:sz w:val="18"/>
                <w:szCs w:val="18"/>
              </w:rPr>
            </w:pPr>
          </w:p>
        </w:tc>
        <w:tc>
          <w:tcPr>
            <w:tcW w:w="1311" w:type="dxa"/>
            <w:vMerge w:val="continue"/>
            <w:vAlign w:val="center"/>
          </w:tcPr>
          <w:p w14:paraId="1165CCD7">
            <w:pPr>
              <w:jc w:val="center"/>
              <w:rPr>
                <w:b/>
                <w:color w:val="auto"/>
                <w:sz w:val="18"/>
                <w:szCs w:val="18"/>
              </w:rPr>
            </w:pPr>
          </w:p>
        </w:tc>
        <w:tc>
          <w:tcPr>
            <w:tcW w:w="3258" w:type="dxa"/>
          </w:tcPr>
          <w:p w14:paraId="19703334">
            <w:pPr>
              <w:rPr>
                <w:color w:val="auto"/>
                <w:sz w:val="18"/>
                <w:szCs w:val="18"/>
              </w:rPr>
            </w:pPr>
            <w:r>
              <w:rPr>
                <w:rFonts w:hint="eastAsia"/>
                <w:color w:val="auto"/>
                <w:sz w:val="18"/>
                <w:szCs w:val="18"/>
              </w:rPr>
              <w:t>公司治理</w:t>
            </w:r>
          </w:p>
        </w:tc>
        <w:tc>
          <w:tcPr>
            <w:tcW w:w="1172" w:type="dxa"/>
            <w:vAlign w:val="center"/>
          </w:tcPr>
          <w:p w14:paraId="29308054">
            <w:pPr>
              <w:jc w:val="center"/>
              <w:rPr>
                <w:rFonts w:hint="default" w:eastAsia="宋体"/>
                <w:i/>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33</w:t>
            </w:r>
          </w:p>
        </w:tc>
        <w:tc>
          <w:tcPr>
            <w:tcW w:w="794" w:type="dxa"/>
            <w:vAlign w:val="center"/>
          </w:tcPr>
          <w:p w14:paraId="717D0E99">
            <w:pPr>
              <w:jc w:val="center"/>
              <w:rPr>
                <w:color w:val="auto"/>
                <w:sz w:val="18"/>
                <w:szCs w:val="18"/>
              </w:rPr>
            </w:pPr>
            <w:r>
              <w:rPr>
                <w:rFonts w:hint="eastAsia"/>
                <w:color w:val="auto"/>
                <w:sz w:val="18"/>
                <w:szCs w:val="18"/>
              </w:rPr>
              <w:t>2</w:t>
            </w:r>
          </w:p>
        </w:tc>
        <w:tc>
          <w:tcPr>
            <w:tcW w:w="829" w:type="dxa"/>
            <w:vAlign w:val="center"/>
          </w:tcPr>
          <w:p w14:paraId="73718049">
            <w:pPr>
              <w:jc w:val="center"/>
              <w:rPr>
                <w:color w:val="auto"/>
                <w:sz w:val="18"/>
                <w:szCs w:val="18"/>
              </w:rPr>
            </w:pPr>
            <w:r>
              <w:rPr>
                <w:rFonts w:hint="eastAsia"/>
                <w:color w:val="auto"/>
                <w:sz w:val="18"/>
                <w:szCs w:val="18"/>
              </w:rPr>
              <w:t>2</w:t>
            </w:r>
          </w:p>
        </w:tc>
        <w:tc>
          <w:tcPr>
            <w:tcW w:w="1606" w:type="dxa"/>
            <w:vMerge w:val="continue"/>
            <w:vAlign w:val="center"/>
          </w:tcPr>
          <w:p w14:paraId="72FAAB71">
            <w:pPr>
              <w:jc w:val="center"/>
              <w:rPr>
                <w:color w:val="auto"/>
                <w:sz w:val="18"/>
                <w:szCs w:val="18"/>
              </w:rPr>
            </w:pPr>
          </w:p>
        </w:tc>
      </w:tr>
      <w:tr w14:paraId="0C470F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0EC26D">
            <w:pPr>
              <w:rPr>
                <w:b/>
                <w:color w:val="auto"/>
                <w:sz w:val="18"/>
                <w:szCs w:val="18"/>
              </w:rPr>
            </w:pPr>
          </w:p>
        </w:tc>
        <w:tc>
          <w:tcPr>
            <w:tcW w:w="1311" w:type="dxa"/>
            <w:vMerge w:val="continue"/>
            <w:vAlign w:val="center"/>
          </w:tcPr>
          <w:p w14:paraId="162EC039">
            <w:pPr>
              <w:jc w:val="center"/>
              <w:rPr>
                <w:b/>
                <w:color w:val="auto"/>
                <w:sz w:val="18"/>
                <w:szCs w:val="18"/>
              </w:rPr>
            </w:pPr>
          </w:p>
        </w:tc>
        <w:tc>
          <w:tcPr>
            <w:tcW w:w="3258" w:type="dxa"/>
            <w:vAlign w:val="center"/>
          </w:tcPr>
          <w:p w14:paraId="17AFF529">
            <w:pPr>
              <w:rPr>
                <w:rFonts w:hint="default" w:eastAsia="宋体"/>
                <w:color w:val="auto"/>
                <w:sz w:val="18"/>
                <w:szCs w:val="18"/>
                <w:lang w:val="en-US" w:eastAsia="zh-CN"/>
              </w:rPr>
            </w:pPr>
            <w:r>
              <w:rPr>
                <w:rFonts w:hint="eastAsia"/>
                <w:color w:val="auto"/>
                <w:sz w:val="18"/>
                <w:szCs w:val="18"/>
                <w:lang w:val="en-US" w:eastAsia="zh-CN"/>
              </w:rPr>
              <w:t>中国税制</w:t>
            </w:r>
          </w:p>
        </w:tc>
        <w:tc>
          <w:tcPr>
            <w:tcW w:w="1172" w:type="dxa"/>
            <w:vAlign w:val="center"/>
          </w:tcPr>
          <w:p w14:paraId="218E6C4E">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21</w:t>
            </w:r>
          </w:p>
        </w:tc>
        <w:tc>
          <w:tcPr>
            <w:tcW w:w="794" w:type="dxa"/>
            <w:vAlign w:val="center"/>
          </w:tcPr>
          <w:p w14:paraId="7DD75F78">
            <w:pPr>
              <w:jc w:val="center"/>
              <w:rPr>
                <w:color w:val="auto"/>
                <w:sz w:val="18"/>
                <w:szCs w:val="18"/>
              </w:rPr>
            </w:pPr>
            <w:r>
              <w:rPr>
                <w:rFonts w:hint="eastAsia"/>
                <w:color w:val="auto"/>
                <w:sz w:val="18"/>
                <w:szCs w:val="18"/>
              </w:rPr>
              <w:t>2</w:t>
            </w:r>
          </w:p>
        </w:tc>
        <w:tc>
          <w:tcPr>
            <w:tcW w:w="829" w:type="dxa"/>
            <w:vAlign w:val="center"/>
          </w:tcPr>
          <w:p w14:paraId="4126D0F2">
            <w:pPr>
              <w:jc w:val="center"/>
              <w:rPr>
                <w:color w:val="auto"/>
                <w:sz w:val="18"/>
                <w:szCs w:val="18"/>
              </w:rPr>
            </w:pPr>
            <w:r>
              <w:rPr>
                <w:rFonts w:hint="eastAsia"/>
                <w:color w:val="auto"/>
                <w:sz w:val="18"/>
                <w:szCs w:val="18"/>
              </w:rPr>
              <w:t>2</w:t>
            </w:r>
          </w:p>
        </w:tc>
        <w:tc>
          <w:tcPr>
            <w:tcW w:w="1606" w:type="dxa"/>
            <w:vMerge w:val="continue"/>
            <w:vAlign w:val="center"/>
          </w:tcPr>
          <w:p w14:paraId="7B5774B1">
            <w:pPr>
              <w:jc w:val="center"/>
              <w:rPr>
                <w:color w:val="auto"/>
                <w:sz w:val="18"/>
                <w:szCs w:val="18"/>
              </w:rPr>
            </w:pPr>
          </w:p>
        </w:tc>
      </w:tr>
      <w:tr w14:paraId="54B370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B8E372B">
            <w:pPr>
              <w:rPr>
                <w:b/>
                <w:color w:val="auto"/>
                <w:sz w:val="18"/>
                <w:szCs w:val="18"/>
              </w:rPr>
            </w:pPr>
          </w:p>
        </w:tc>
        <w:tc>
          <w:tcPr>
            <w:tcW w:w="1311" w:type="dxa"/>
            <w:vMerge w:val="continue"/>
            <w:vAlign w:val="center"/>
          </w:tcPr>
          <w:p w14:paraId="77739685">
            <w:pPr>
              <w:jc w:val="center"/>
              <w:rPr>
                <w:b/>
                <w:color w:val="auto"/>
                <w:sz w:val="18"/>
                <w:szCs w:val="18"/>
              </w:rPr>
            </w:pPr>
          </w:p>
        </w:tc>
        <w:tc>
          <w:tcPr>
            <w:tcW w:w="3258" w:type="dxa"/>
            <w:vAlign w:val="center"/>
          </w:tcPr>
          <w:p w14:paraId="09C7F66A">
            <w:pPr>
              <w:rPr>
                <w:color w:val="auto"/>
                <w:sz w:val="18"/>
                <w:szCs w:val="18"/>
              </w:rPr>
            </w:pPr>
            <w:r>
              <w:rPr>
                <w:rFonts w:hint="eastAsia"/>
                <w:color w:val="auto"/>
                <w:sz w:val="18"/>
                <w:szCs w:val="18"/>
              </w:rPr>
              <w:t>内部控制理论与实务</w:t>
            </w:r>
          </w:p>
        </w:tc>
        <w:tc>
          <w:tcPr>
            <w:tcW w:w="1172" w:type="dxa"/>
            <w:vAlign w:val="center"/>
          </w:tcPr>
          <w:p w14:paraId="13BA7EC4">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35</w:t>
            </w:r>
          </w:p>
        </w:tc>
        <w:tc>
          <w:tcPr>
            <w:tcW w:w="794" w:type="dxa"/>
            <w:vAlign w:val="center"/>
          </w:tcPr>
          <w:p w14:paraId="66BC8B81">
            <w:pPr>
              <w:jc w:val="center"/>
              <w:rPr>
                <w:color w:val="auto"/>
                <w:sz w:val="18"/>
                <w:szCs w:val="18"/>
              </w:rPr>
            </w:pPr>
            <w:r>
              <w:rPr>
                <w:rFonts w:hint="eastAsia"/>
                <w:color w:val="auto"/>
                <w:sz w:val="18"/>
                <w:szCs w:val="18"/>
              </w:rPr>
              <w:t>2</w:t>
            </w:r>
          </w:p>
        </w:tc>
        <w:tc>
          <w:tcPr>
            <w:tcW w:w="829" w:type="dxa"/>
            <w:vAlign w:val="center"/>
          </w:tcPr>
          <w:p w14:paraId="49881328">
            <w:pPr>
              <w:jc w:val="center"/>
              <w:rPr>
                <w:color w:val="auto"/>
                <w:sz w:val="18"/>
                <w:szCs w:val="18"/>
              </w:rPr>
            </w:pPr>
            <w:r>
              <w:rPr>
                <w:rFonts w:hint="eastAsia"/>
                <w:color w:val="auto"/>
                <w:sz w:val="18"/>
                <w:szCs w:val="18"/>
              </w:rPr>
              <w:t>2</w:t>
            </w:r>
          </w:p>
        </w:tc>
        <w:tc>
          <w:tcPr>
            <w:tcW w:w="1606" w:type="dxa"/>
            <w:vMerge w:val="continue"/>
            <w:vAlign w:val="center"/>
          </w:tcPr>
          <w:p w14:paraId="4BC56424">
            <w:pPr>
              <w:jc w:val="center"/>
              <w:rPr>
                <w:color w:val="auto"/>
                <w:sz w:val="18"/>
                <w:szCs w:val="18"/>
              </w:rPr>
            </w:pPr>
          </w:p>
        </w:tc>
      </w:tr>
      <w:tr w14:paraId="44CA70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65021F7">
            <w:pPr>
              <w:rPr>
                <w:b/>
                <w:color w:val="auto"/>
                <w:sz w:val="18"/>
                <w:szCs w:val="18"/>
              </w:rPr>
            </w:pPr>
          </w:p>
        </w:tc>
        <w:tc>
          <w:tcPr>
            <w:tcW w:w="1311" w:type="dxa"/>
            <w:vMerge w:val="restart"/>
            <w:vAlign w:val="center"/>
          </w:tcPr>
          <w:p w14:paraId="35395155">
            <w:pPr>
              <w:jc w:val="center"/>
              <w:rPr>
                <w:b/>
                <w:color w:val="auto"/>
                <w:sz w:val="18"/>
                <w:szCs w:val="18"/>
              </w:rPr>
            </w:pPr>
            <w:r>
              <w:rPr>
                <w:rFonts w:hint="eastAsia"/>
                <w:b/>
                <w:color w:val="auto"/>
                <w:sz w:val="18"/>
                <w:szCs w:val="18"/>
              </w:rPr>
              <w:t>会计信息系统与大数据方向选修课</w:t>
            </w:r>
          </w:p>
        </w:tc>
        <w:tc>
          <w:tcPr>
            <w:tcW w:w="3258" w:type="dxa"/>
            <w:vAlign w:val="top"/>
          </w:tcPr>
          <w:p w14:paraId="5578CA9B">
            <w:pPr>
              <w:rPr>
                <w:rFonts w:hint="eastAsia"/>
                <w:color w:val="auto"/>
                <w:sz w:val="18"/>
                <w:szCs w:val="18"/>
              </w:rPr>
            </w:pPr>
            <w:r>
              <w:rPr>
                <w:rFonts w:hint="eastAsia" w:ascii="Times New Roman" w:hAnsi="Times New Roman" w:cs="Times New Roman"/>
                <w:color w:val="auto"/>
                <w:sz w:val="18"/>
                <w:szCs w:val="18"/>
              </w:rPr>
              <w:t>大数据与财务决策</w:t>
            </w:r>
          </w:p>
        </w:tc>
        <w:tc>
          <w:tcPr>
            <w:tcW w:w="1172" w:type="dxa"/>
            <w:vAlign w:val="center"/>
          </w:tcPr>
          <w:p w14:paraId="250A7C72">
            <w:pPr>
              <w:jc w:val="center"/>
              <w:rPr>
                <w:rFonts w:hint="eastAsia"/>
                <w:color w:val="auto"/>
                <w:sz w:val="18"/>
                <w:szCs w:val="18"/>
              </w:rPr>
            </w:pPr>
            <w:r>
              <w:rPr>
                <w:rFonts w:hint="eastAsia"/>
                <w:color w:val="auto"/>
                <w:sz w:val="18"/>
                <w:szCs w:val="18"/>
              </w:rPr>
              <w:t>ZS</w:t>
            </w:r>
            <w:r>
              <w:rPr>
                <w:color w:val="auto"/>
                <w:sz w:val="18"/>
                <w:szCs w:val="18"/>
              </w:rPr>
              <w:t>0411</w:t>
            </w:r>
            <w:r>
              <w:rPr>
                <w:rFonts w:hint="eastAsia"/>
                <w:color w:val="auto"/>
                <w:sz w:val="18"/>
                <w:szCs w:val="18"/>
                <w:lang w:val="en-US" w:eastAsia="zh-CN"/>
              </w:rPr>
              <w:t>10</w:t>
            </w:r>
            <w:r>
              <w:rPr>
                <w:color w:val="auto"/>
                <w:sz w:val="18"/>
                <w:szCs w:val="18"/>
              </w:rPr>
              <w:t>1</w:t>
            </w:r>
          </w:p>
        </w:tc>
        <w:tc>
          <w:tcPr>
            <w:tcW w:w="794" w:type="dxa"/>
            <w:vAlign w:val="center"/>
          </w:tcPr>
          <w:p w14:paraId="03C6331D">
            <w:pPr>
              <w:jc w:val="center"/>
              <w:rPr>
                <w:rFonts w:hint="eastAsia"/>
                <w:color w:val="auto"/>
                <w:sz w:val="18"/>
                <w:szCs w:val="18"/>
              </w:rPr>
            </w:pPr>
            <w:r>
              <w:rPr>
                <w:rFonts w:hint="eastAsia"/>
                <w:color w:val="auto"/>
                <w:sz w:val="18"/>
                <w:szCs w:val="18"/>
              </w:rPr>
              <w:t>2</w:t>
            </w:r>
          </w:p>
        </w:tc>
        <w:tc>
          <w:tcPr>
            <w:tcW w:w="829" w:type="dxa"/>
            <w:vAlign w:val="center"/>
          </w:tcPr>
          <w:p w14:paraId="765F1FF7">
            <w:pPr>
              <w:jc w:val="center"/>
              <w:rPr>
                <w:rFonts w:hint="eastAsia"/>
                <w:color w:val="auto"/>
                <w:sz w:val="18"/>
                <w:szCs w:val="18"/>
              </w:rPr>
            </w:pPr>
            <w:r>
              <w:rPr>
                <w:rFonts w:hint="eastAsia"/>
                <w:color w:val="auto"/>
                <w:sz w:val="18"/>
                <w:szCs w:val="18"/>
              </w:rPr>
              <w:t>2</w:t>
            </w:r>
          </w:p>
        </w:tc>
        <w:tc>
          <w:tcPr>
            <w:tcW w:w="1606" w:type="dxa"/>
            <w:vMerge w:val="restart"/>
            <w:vAlign w:val="center"/>
          </w:tcPr>
          <w:p w14:paraId="5FCAB892">
            <w:pPr>
              <w:adjustRightInd w:val="0"/>
              <w:snapToGrid w:val="0"/>
              <w:jc w:val="center"/>
              <w:rPr>
                <w:color w:val="auto"/>
                <w:sz w:val="18"/>
                <w:szCs w:val="18"/>
              </w:rPr>
            </w:pPr>
            <w:r>
              <w:rPr>
                <w:rFonts w:hint="eastAsia"/>
                <w:color w:val="auto"/>
                <w:sz w:val="18"/>
                <w:szCs w:val="18"/>
              </w:rPr>
              <w:t>本方向研究生至少选修</w:t>
            </w:r>
          </w:p>
          <w:p w14:paraId="70051D51">
            <w:pPr>
              <w:jc w:val="center"/>
              <w:rPr>
                <w:color w:val="auto"/>
                <w:sz w:val="18"/>
                <w:szCs w:val="18"/>
              </w:rPr>
            </w:pPr>
            <w:r>
              <w:rPr>
                <w:color w:val="auto"/>
                <w:sz w:val="18"/>
                <w:szCs w:val="18"/>
              </w:rPr>
              <w:t>10</w:t>
            </w:r>
            <w:r>
              <w:rPr>
                <w:rFonts w:hint="eastAsia"/>
                <w:color w:val="auto"/>
                <w:sz w:val="18"/>
                <w:szCs w:val="18"/>
              </w:rPr>
              <w:t>学分</w:t>
            </w:r>
          </w:p>
        </w:tc>
      </w:tr>
      <w:tr w14:paraId="4A84B75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69CAC36">
            <w:pPr>
              <w:rPr>
                <w:b/>
                <w:color w:val="auto"/>
                <w:sz w:val="18"/>
                <w:szCs w:val="18"/>
              </w:rPr>
            </w:pPr>
          </w:p>
        </w:tc>
        <w:tc>
          <w:tcPr>
            <w:tcW w:w="1311" w:type="dxa"/>
            <w:vMerge w:val="continue"/>
            <w:vAlign w:val="center"/>
          </w:tcPr>
          <w:p w14:paraId="006E7FAF">
            <w:pPr>
              <w:jc w:val="center"/>
              <w:rPr>
                <w:rFonts w:hint="eastAsia"/>
                <w:b/>
                <w:color w:val="auto"/>
                <w:sz w:val="18"/>
                <w:szCs w:val="18"/>
              </w:rPr>
            </w:pPr>
          </w:p>
        </w:tc>
        <w:tc>
          <w:tcPr>
            <w:tcW w:w="3258" w:type="dxa"/>
            <w:vAlign w:val="center"/>
          </w:tcPr>
          <w:p w14:paraId="1FC0AFE4">
            <w:pPr>
              <w:rPr>
                <w:rFonts w:hint="eastAsia"/>
                <w:color w:val="auto"/>
                <w:sz w:val="18"/>
                <w:szCs w:val="18"/>
              </w:rPr>
            </w:pPr>
            <w:r>
              <w:rPr>
                <w:rFonts w:hint="eastAsia"/>
                <w:color w:val="auto"/>
                <w:sz w:val="18"/>
                <w:szCs w:val="18"/>
                <w:lang w:val="en-US" w:eastAsia="zh-CN"/>
              </w:rPr>
              <w:t>基于Python的</w:t>
            </w:r>
            <w:r>
              <w:rPr>
                <w:rFonts w:hint="eastAsia"/>
                <w:color w:val="auto"/>
                <w:sz w:val="18"/>
                <w:szCs w:val="18"/>
              </w:rPr>
              <w:t>财务报表分析</w:t>
            </w:r>
          </w:p>
        </w:tc>
        <w:tc>
          <w:tcPr>
            <w:tcW w:w="1172" w:type="dxa"/>
            <w:vAlign w:val="center"/>
          </w:tcPr>
          <w:p w14:paraId="276C55E0">
            <w:pPr>
              <w:jc w:val="center"/>
              <w:rPr>
                <w:rFonts w:hint="eastAsia"/>
                <w:color w:val="auto"/>
                <w:sz w:val="18"/>
                <w:szCs w:val="18"/>
              </w:rPr>
            </w:pPr>
            <w:r>
              <w:rPr>
                <w:rFonts w:hint="eastAsia"/>
                <w:color w:val="auto"/>
                <w:sz w:val="18"/>
                <w:szCs w:val="18"/>
              </w:rPr>
              <w:t>ZS</w:t>
            </w:r>
            <w:r>
              <w:rPr>
                <w:color w:val="auto"/>
                <w:sz w:val="18"/>
                <w:szCs w:val="18"/>
              </w:rPr>
              <w:t>0411</w:t>
            </w:r>
            <w:r>
              <w:rPr>
                <w:rFonts w:hint="eastAsia"/>
                <w:color w:val="auto"/>
                <w:sz w:val="18"/>
                <w:szCs w:val="18"/>
                <w:lang w:val="en-US" w:eastAsia="zh-CN"/>
              </w:rPr>
              <w:t>102</w:t>
            </w:r>
          </w:p>
        </w:tc>
        <w:tc>
          <w:tcPr>
            <w:tcW w:w="794" w:type="dxa"/>
            <w:vAlign w:val="center"/>
          </w:tcPr>
          <w:p w14:paraId="66383F0A">
            <w:pPr>
              <w:jc w:val="center"/>
              <w:rPr>
                <w:rFonts w:hint="eastAsia"/>
                <w:color w:val="auto"/>
                <w:sz w:val="18"/>
                <w:szCs w:val="18"/>
              </w:rPr>
            </w:pPr>
            <w:r>
              <w:rPr>
                <w:rFonts w:hint="eastAsia"/>
                <w:color w:val="auto"/>
                <w:sz w:val="18"/>
                <w:szCs w:val="18"/>
              </w:rPr>
              <w:t>2</w:t>
            </w:r>
          </w:p>
        </w:tc>
        <w:tc>
          <w:tcPr>
            <w:tcW w:w="829" w:type="dxa"/>
            <w:vAlign w:val="center"/>
          </w:tcPr>
          <w:p w14:paraId="726BDCA2">
            <w:pPr>
              <w:jc w:val="center"/>
              <w:rPr>
                <w:rFonts w:hint="eastAsia"/>
                <w:color w:val="auto"/>
                <w:sz w:val="18"/>
                <w:szCs w:val="18"/>
              </w:rPr>
            </w:pPr>
            <w:r>
              <w:rPr>
                <w:rFonts w:hint="eastAsia"/>
                <w:color w:val="auto"/>
                <w:sz w:val="18"/>
                <w:szCs w:val="18"/>
              </w:rPr>
              <w:t>2</w:t>
            </w:r>
          </w:p>
        </w:tc>
        <w:tc>
          <w:tcPr>
            <w:tcW w:w="1606" w:type="dxa"/>
            <w:vMerge w:val="continue"/>
            <w:vAlign w:val="center"/>
          </w:tcPr>
          <w:p w14:paraId="3A79BFE0">
            <w:pPr>
              <w:jc w:val="center"/>
              <w:rPr>
                <w:color w:val="auto"/>
                <w:sz w:val="18"/>
                <w:szCs w:val="18"/>
              </w:rPr>
            </w:pPr>
          </w:p>
        </w:tc>
      </w:tr>
      <w:tr w14:paraId="398E40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3B998F1">
            <w:pPr>
              <w:rPr>
                <w:b/>
                <w:color w:val="auto"/>
                <w:sz w:val="18"/>
                <w:szCs w:val="18"/>
              </w:rPr>
            </w:pPr>
          </w:p>
        </w:tc>
        <w:tc>
          <w:tcPr>
            <w:tcW w:w="1311" w:type="dxa"/>
            <w:vMerge w:val="continue"/>
            <w:vAlign w:val="center"/>
          </w:tcPr>
          <w:p w14:paraId="0CBC5E68">
            <w:pPr>
              <w:jc w:val="center"/>
              <w:rPr>
                <w:rFonts w:hint="eastAsia"/>
                <w:b/>
                <w:color w:val="auto"/>
                <w:sz w:val="18"/>
                <w:szCs w:val="18"/>
              </w:rPr>
            </w:pPr>
          </w:p>
        </w:tc>
        <w:tc>
          <w:tcPr>
            <w:tcW w:w="3258" w:type="dxa"/>
            <w:vAlign w:val="center"/>
          </w:tcPr>
          <w:p w14:paraId="1DD071C0">
            <w:pPr>
              <w:rPr>
                <w:rFonts w:hint="eastAsia"/>
                <w:color w:val="auto"/>
                <w:sz w:val="18"/>
                <w:szCs w:val="18"/>
              </w:rPr>
            </w:pPr>
            <w:r>
              <w:rPr>
                <w:rFonts w:hint="eastAsia"/>
                <w:color w:val="auto"/>
                <w:sz w:val="18"/>
                <w:szCs w:val="18"/>
              </w:rPr>
              <w:t>数量分析方法</w:t>
            </w:r>
          </w:p>
        </w:tc>
        <w:tc>
          <w:tcPr>
            <w:tcW w:w="1172" w:type="dxa"/>
            <w:vAlign w:val="center"/>
          </w:tcPr>
          <w:p w14:paraId="72E1580D">
            <w:pPr>
              <w:jc w:val="center"/>
              <w:rPr>
                <w:rFonts w:hint="eastAsia"/>
                <w:color w:val="auto"/>
                <w:sz w:val="18"/>
                <w:szCs w:val="18"/>
              </w:rPr>
            </w:pPr>
            <w:r>
              <w:rPr>
                <w:rFonts w:hint="eastAsia"/>
                <w:color w:val="auto"/>
                <w:sz w:val="18"/>
                <w:szCs w:val="18"/>
              </w:rPr>
              <w:t>ZS</w:t>
            </w:r>
            <w:r>
              <w:rPr>
                <w:color w:val="auto"/>
                <w:sz w:val="18"/>
                <w:szCs w:val="18"/>
              </w:rPr>
              <w:t>0411</w:t>
            </w:r>
            <w:r>
              <w:rPr>
                <w:rFonts w:hint="eastAsia"/>
                <w:color w:val="auto"/>
                <w:sz w:val="18"/>
                <w:szCs w:val="18"/>
                <w:lang w:val="en-US" w:eastAsia="zh-CN"/>
              </w:rPr>
              <w:t>103</w:t>
            </w:r>
          </w:p>
        </w:tc>
        <w:tc>
          <w:tcPr>
            <w:tcW w:w="794" w:type="dxa"/>
            <w:vAlign w:val="center"/>
          </w:tcPr>
          <w:p w14:paraId="2A99629B">
            <w:pPr>
              <w:jc w:val="center"/>
              <w:rPr>
                <w:rFonts w:hint="eastAsia"/>
                <w:color w:val="auto"/>
                <w:sz w:val="18"/>
                <w:szCs w:val="18"/>
              </w:rPr>
            </w:pPr>
            <w:r>
              <w:rPr>
                <w:rFonts w:hint="eastAsia"/>
                <w:color w:val="auto"/>
                <w:sz w:val="18"/>
                <w:szCs w:val="18"/>
              </w:rPr>
              <w:t>2</w:t>
            </w:r>
          </w:p>
        </w:tc>
        <w:tc>
          <w:tcPr>
            <w:tcW w:w="829" w:type="dxa"/>
            <w:vAlign w:val="center"/>
          </w:tcPr>
          <w:p w14:paraId="29B1CDF0">
            <w:pPr>
              <w:jc w:val="center"/>
              <w:rPr>
                <w:rFonts w:hint="eastAsia"/>
                <w:color w:val="auto"/>
                <w:sz w:val="18"/>
                <w:szCs w:val="18"/>
              </w:rPr>
            </w:pPr>
            <w:r>
              <w:rPr>
                <w:rFonts w:hint="eastAsia"/>
                <w:color w:val="auto"/>
                <w:sz w:val="18"/>
                <w:szCs w:val="18"/>
              </w:rPr>
              <w:t>2</w:t>
            </w:r>
          </w:p>
        </w:tc>
        <w:tc>
          <w:tcPr>
            <w:tcW w:w="1606" w:type="dxa"/>
            <w:vMerge w:val="continue"/>
            <w:vAlign w:val="center"/>
          </w:tcPr>
          <w:p w14:paraId="14CAA554">
            <w:pPr>
              <w:jc w:val="center"/>
              <w:rPr>
                <w:color w:val="auto"/>
                <w:sz w:val="18"/>
                <w:szCs w:val="18"/>
              </w:rPr>
            </w:pPr>
          </w:p>
        </w:tc>
      </w:tr>
      <w:tr w14:paraId="681F2E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73319EF">
            <w:pPr>
              <w:rPr>
                <w:b/>
                <w:color w:val="auto"/>
                <w:sz w:val="18"/>
                <w:szCs w:val="18"/>
              </w:rPr>
            </w:pPr>
          </w:p>
        </w:tc>
        <w:tc>
          <w:tcPr>
            <w:tcW w:w="1311" w:type="dxa"/>
            <w:vMerge w:val="continue"/>
            <w:vAlign w:val="center"/>
          </w:tcPr>
          <w:p w14:paraId="4C1EECD5">
            <w:pPr>
              <w:jc w:val="center"/>
              <w:rPr>
                <w:b/>
                <w:color w:val="auto"/>
                <w:sz w:val="18"/>
                <w:szCs w:val="18"/>
              </w:rPr>
            </w:pPr>
          </w:p>
        </w:tc>
        <w:tc>
          <w:tcPr>
            <w:tcW w:w="3258" w:type="dxa"/>
            <w:shd w:val="clear" w:color="auto" w:fill="auto"/>
            <w:vAlign w:val="top"/>
          </w:tcPr>
          <w:p w14:paraId="1BCFCB00">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highlight w:val="none"/>
              </w:rPr>
              <w:t>成本管理理论与实务</w:t>
            </w:r>
          </w:p>
        </w:tc>
        <w:tc>
          <w:tcPr>
            <w:tcW w:w="1172" w:type="dxa"/>
            <w:shd w:val="clear" w:color="auto" w:fill="auto"/>
            <w:vAlign w:val="center"/>
          </w:tcPr>
          <w:p w14:paraId="288F7764">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rPr>
              <w:t>ZS</w:t>
            </w:r>
            <w:r>
              <w:rPr>
                <w:color w:val="auto"/>
                <w:sz w:val="18"/>
                <w:szCs w:val="18"/>
              </w:rPr>
              <w:t>04112</w:t>
            </w:r>
            <w:r>
              <w:rPr>
                <w:rFonts w:hint="eastAsia"/>
                <w:color w:val="auto"/>
                <w:sz w:val="18"/>
                <w:szCs w:val="18"/>
                <w:lang w:val="en-US" w:eastAsia="zh-CN"/>
              </w:rPr>
              <w:t>04</w:t>
            </w:r>
          </w:p>
        </w:tc>
        <w:tc>
          <w:tcPr>
            <w:tcW w:w="794" w:type="dxa"/>
            <w:shd w:val="clear" w:color="auto" w:fill="auto"/>
            <w:vAlign w:val="center"/>
          </w:tcPr>
          <w:p w14:paraId="6C6EAA95">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829" w:type="dxa"/>
            <w:shd w:val="clear" w:color="auto" w:fill="auto"/>
            <w:vAlign w:val="center"/>
          </w:tcPr>
          <w:p w14:paraId="2AB9D0C3">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1606" w:type="dxa"/>
            <w:vMerge w:val="continue"/>
            <w:vAlign w:val="center"/>
          </w:tcPr>
          <w:p w14:paraId="0F0CEB2D">
            <w:pPr>
              <w:jc w:val="center"/>
              <w:rPr>
                <w:color w:val="auto"/>
                <w:sz w:val="18"/>
                <w:szCs w:val="18"/>
              </w:rPr>
            </w:pPr>
          </w:p>
        </w:tc>
      </w:tr>
      <w:tr w14:paraId="34ACBC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4DB987A">
            <w:pPr>
              <w:rPr>
                <w:b/>
                <w:color w:val="auto"/>
                <w:sz w:val="18"/>
                <w:szCs w:val="18"/>
              </w:rPr>
            </w:pPr>
          </w:p>
        </w:tc>
        <w:tc>
          <w:tcPr>
            <w:tcW w:w="1311" w:type="dxa"/>
            <w:vMerge w:val="continue"/>
            <w:vAlign w:val="center"/>
          </w:tcPr>
          <w:p w14:paraId="25B004DA">
            <w:pPr>
              <w:jc w:val="center"/>
              <w:rPr>
                <w:b/>
                <w:color w:val="auto"/>
                <w:sz w:val="18"/>
                <w:szCs w:val="18"/>
              </w:rPr>
            </w:pPr>
          </w:p>
        </w:tc>
        <w:tc>
          <w:tcPr>
            <w:tcW w:w="3258" w:type="dxa"/>
            <w:vAlign w:val="center"/>
          </w:tcPr>
          <w:p w14:paraId="2CE46C16">
            <w:pPr>
              <w:rPr>
                <w:color w:val="auto"/>
                <w:sz w:val="18"/>
                <w:szCs w:val="18"/>
              </w:rPr>
            </w:pPr>
            <w:r>
              <w:rPr>
                <w:rFonts w:hint="eastAsia"/>
                <w:color w:val="auto"/>
                <w:sz w:val="18"/>
                <w:szCs w:val="18"/>
              </w:rPr>
              <w:t>会计信息系统</w:t>
            </w:r>
          </w:p>
        </w:tc>
        <w:tc>
          <w:tcPr>
            <w:tcW w:w="1172" w:type="dxa"/>
            <w:vAlign w:val="center"/>
          </w:tcPr>
          <w:p w14:paraId="4A5CC9BC">
            <w:pPr>
              <w:jc w:val="center"/>
              <w:rPr>
                <w:rFonts w:hint="default" w:eastAsia="宋体"/>
                <w:i/>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41</w:t>
            </w:r>
          </w:p>
        </w:tc>
        <w:tc>
          <w:tcPr>
            <w:tcW w:w="794" w:type="dxa"/>
            <w:vAlign w:val="center"/>
          </w:tcPr>
          <w:p w14:paraId="3BBEA413">
            <w:pPr>
              <w:jc w:val="center"/>
              <w:rPr>
                <w:i/>
                <w:color w:val="auto"/>
                <w:sz w:val="18"/>
                <w:szCs w:val="18"/>
              </w:rPr>
            </w:pPr>
            <w:r>
              <w:rPr>
                <w:rFonts w:hint="eastAsia"/>
                <w:color w:val="auto"/>
                <w:sz w:val="18"/>
                <w:szCs w:val="18"/>
              </w:rPr>
              <w:t>2</w:t>
            </w:r>
          </w:p>
        </w:tc>
        <w:tc>
          <w:tcPr>
            <w:tcW w:w="829" w:type="dxa"/>
            <w:vAlign w:val="center"/>
          </w:tcPr>
          <w:p w14:paraId="395CFE41">
            <w:pPr>
              <w:jc w:val="center"/>
              <w:rPr>
                <w:i/>
                <w:color w:val="auto"/>
                <w:sz w:val="18"/>
                <w:szCs w:val="18"/>
              </w:rPr>
            </w:pPr>
            <w:r>
              <w:rPr>
                <w:rFonts w:hint="eastAsia"/>
                <w:color w:val="auto"/>
                <w:sz w:val="18"/>
                <w:szCs w:val="18"/>
              </w:rPr>
              <w:t>2</w:t>
            </w:r>
          </w:p>
        </w:tc>
        <w:tc>
          <w:tcPr>
            <w:tcW w:w="1606" w:type="dxa"/>
            <w:vMerge w:val="continue"/>
            <w:vAlign w:val="center"/>
          </w:tcPr>
          <w:p w14:paraId="5016A63E">
            <w:pPr>
              <w:jc w:val="center"/>
              <w:rPr>
                <w:color w:val="auto"/>
                <w:sz w:val="18"/>
                <w:szCs w:val="18"/>
              </w:rPr>
            </w:pPr>
          </w:p>
        </w:tc>
      </w:tr>
      <w:tr w14:paraId="17D892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C046B0">
            <w:pPr>
              <w:rPr>
                <w:b/>
                <w:color w:val="auto"/>
                <w:sz w:val="18"/>
                <w:szCs w:val="18"/>
              </w:rPr>
            </w:pPr>
          </w:p>
        </w:tc>
        <w:tc>
          <w:tcPr>
            <w:tcW w:w="1311" w:type="dxa"/>
            <w:vMerge w:val="continue"/>
            <w:vAlign w:val="center"/>
          </w:tcPr>
          <w:p w14:paraId="579F61BF">
            <w:pPr>
              <w:jc w:val="center"/>
              <w:rPr>
                <w:b/>
                <w:color w:val="auto"/>
                <w:sz w:val="18"/>
                <w:szCs w:val="18"/>
              </w:rPr>
            </w:pPr>
          </w:p>
        </w:tc>
        <w:tc>
          <w:tcPr>
            <w:tcW w:w="3258" w:type="dxa"/>
            <w:vAlign w:val="center"/>
          </w:tcPr>
          <w:p w14:paraId="142FE180">
            <w:pPr>
              <w:rPr>
                <w:color w:val="auto"/>
                <w:sz w:val="18"/>
                <w:szCs w:val="18"/>
              </w:rPr>
            </w:pPr>
            <w:r>
              <w:rPr>
                <w:rFonts w:hint="eastAsia"/>
                <w:color w:val="auto"/>
                <w:sz w:val="18"/>
                <w:szCs w:val="18"/>
              </w:rPr>
              <w:t>区块链与会计</w:t>
            </w:r>
          </w:p>
        </w:tc>
        <w:tc>
          <w:tcPr>
            <w:tcW w:w="1172" w:type="dxa"/>
            <w:vAlign w:val="center"/>
          </w:tcPr>
          <w:p w14:paraId="46A4514C">
            <w:pPr>
              <w:jc w:val="center"/>
              <w:rPr>
                <w:rFonts w:hint="default" w:eastAsia="宋体"/>
                <w:i/>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10</w:t>
            </w:r>
          </w:p>
        </w:tc>
        <w:tc>
          <w:tcPr>
            <w:tcW w:w="794" w:type="dxa"/>
            <w:vAlign w:val="center"/>
          </w:tcPr>
          <w:p w14:paraId="4714EEB9">
            <w:pPr>
              <w:jc w:val="center"/>
              <w:rPr>
                <w:color w:val="auto"/>
                <w:sz w:val="18"/>
                <w:szCs w:val="18"/>
              </w:rPr>
            </w:pPr>
            <w:r>
              <w:rPr>
                <w:rFonts w:hint="eastAsia"/>
                <w:color w:val="auto"/>
                <w:sz w:val="18"/>
                <w:szCs w:val="18"/>
              </w:rPr>
              <w:t>2</w:t>
            </w:r>
          </w:p>
        </w:tc>
        <w:tc>
          <w:tcPr>
            <w:tcW w:w="829" w:type="dxa"/>
            <w:vAlign w:val="center"/>
          </w:tcPr>
          <w:p w14:paraId="3FADB830">
            <w:pPr>
              <w:jc w:val="center"/>
              <w:rPr>
                <w:color w:val="auto"/>
                <w:sz w:val="18"/>
                <w:szCs w:val="18"/>
              </w:rPr>
            </w:pPr>
            <w:r>
              <w:rPr>
                <w:rFonts w:hint="eastAsia"/>
                <w:color w:val="auto"/>
                <w:sz w:val="18"/>
                <w:szCs w:val="18"/>
              </w:rPr>
              <w:t>2</w:t>
            </w:r>
          </w:p>
        </w:tc>
        <w:tc>
          <w:tcPr>
            <w:tcW w:w="1606" w:type="dxa"/>
            <w:vMerge w:val="continue"/>
            <w:vAlign w:val="center"/>
          </w:tcPr>
          <w:p w14:paraId="601C9F23">
            <w:pPr>
              <w:jc w:val="center"/>
              <w:rPr>
                <w:color w:val="auto"/>
                <w:sz w:val="18"/>
                <w:szCs w:val="18"/>
              </w:rPr>
            </w:pPr>
          </w:p>
        </w:tc>
      </w:tr>
      <w:tr w14:paraId="6FA7D6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F370D1">
            <w:pPr>
              <w:rPr>
                <w:b/>
                <w:color w:val="auto"/>
                <w:sz w:val="18"/>
                <w:szCs w:val="18"/>
              </w:rPr>
            </w:pPr>
          </w:p>
        </w:tc>
        <w:tc>
          <w:tcPr>
            <w:tcW w:w="1311" w:type="dxa"/>
            <w:vMerge w:val="continue"/>
            <w:vAlign w:val="center"/>
          </w:tcPr>
          <w:p w14:paraId="325C9B5B">
            <w:pPr>
              <w:jc w:val="center"/>
              <w:rPr>
                <w:b/>
                <w:color w:val="auto"/>
                <w:sz w:val="18"/>
                <w:szCs w:val="18"/>
              </w:rPr>
            </w:pPr>
          </w:p>
        </w:tc>
        <w:tc>
          <w:tcPr>
            <w:tcW w:w="3258" w:type="dxa"/>
            <w:vAlign w:val="center"/>
          </w:tcPr>
          <w:p w14:paraId="42A6D804">
            <w:pPr>
              <w:rPr>
                <w:color w:val="auto"/>
                <w:sz w:val="18"/>
                <w:szCs w:val="18"/>
              </w:rPr>
            </w:pPr>
            <w:r>
              <w:rPr>
                <w:rFonts w:hint="eastAsia"/>
                <w:color w:val="auto"/>
                <w:sz w:val="18"/>
                <w:szCs w:val="18"/>
              </w:rPr>
              <w:t>数字经济概论</w:t>
            </w:r>
          </w:p>
        </w:tc>
        <w:tc>
          <w:tcPr>
            <w:tcW w:w="1172" w:type="dxa"/>
            <w:vAlign w:val="center"/>
          </w:tcPr>
          <w:p w14:paraId="29CCA51C">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45</w:t>
            </w:r>
          </w:p>
        </w:tc>
        <w:tc>
          <w:tcPr>
            <w:tcW w:w="794" w:type="dxa"/>
            <w:vAlign w:val="center"/>
          </w:tcPr>
          <w:p w14:paraId="43A8684E">
            <w:pPr>
              <w:jc w:val="center"/>
              <w:rPr>
                <w:color w:val="auto"/>
                <w:sz w:val="18"/>
                <w:szCs w:val="18"/>
              </w:rPr>
            </w:pPr>
            <w:r>
              <w:rPr>
                <w:rFonts w:hint="eastAsia"/>
                <w:color w:val="auto"/>
                <w:sz w:val="18"/>
                <w:szCs w:val="18"/>
              </w:rPr>
              <w:t>2</w:t>
            </w:r>
          </w:p>
        </w:tc>
        <w:tc>
          <w:tcPr>
            <w:tcW w:w="829" w:type="dxa"/>
            <w:vAlign w:val="center"/>
          </w:tcPr>
          <w:p w14:paraId="74FCB127">
            <w:pPr>
              <w:jc w:val="center"/>
              <w:rPr>
                <w:color w:val="auto"/>
                <w:sz w:val="18"/>
                <w:szCs w:val="18"/>
              </w:rPr>
            </w:pPr>
            <w:r>
              <w:rPr>
                <w:rFonts w:hint="eastAsia"/>
                <w:color w:val="auto"/>
                <w:sz w:val="18"/>
                <w:szCs w:val="18"/>
              </w:rPr>
              <w:t>2</w:t>
            </w:r>
          </w:p>
        </w:tc>
        <w:tc>
          <w:tcPr>
            <w:tcW w:w="1606" w:type="dxa"/>
            <w:vMerge w:val="continue"/>
            <w:vAlign w:val="center"/>
          </w:tcPr>
          <w:p w14:paraId="458E45BB">
            <w:pPr>
              <w:jc w:val="center"/>
              <w:rPr>
                <w:color w:val="auto"/>
                <w:sz w:val="18"/>
                <w:szCs w:val="18"/>
              </w:rPr>
            </w:pPr>
          </w:p>
        </w:tc>
      </w:tr>
      <w:tr w14:paraId="1CFEAA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EC858E5">
            <w:pPr>
              <w:rPr>
                <w:b/>
                <w:color w:val="auto"/>
                <w:sz w:val="18"/>
                <w:szCs w:val="18"/>
              </w:rPr>
            </w:pPr>
          </w:p>
        </w:tc>
        <w:tc>
          <w:tcPr>
            <w:tcW w:w="1311" w:type="dxa"/>
            <w:vMerge w:val="continue"/>
            <w:vAlign w:val="center"/>
          </w:tcPr>
          <w:p w14:paraId="1D2AC358">
            <w:pPr>
              <w:jc w:val="center"/>
              <w:rPr>
                <w:b/>
                <w:color w:val="auto"/>
                <w:sz w:val="18"/>
                <w:szCs w:val="18"/>
              </w:rPr>
            </w:pPr>
          </w:p>
        </w:tc>
        <w:tc>
          <w:tcPr>
            <w:tcW w:w="3258" w:type="dxa"/>
            <w:vAlign w:val="center"/>
          </w:tcPr>
          <w:p w14:paraId="6D0E6B63">
            <w:pPr>
              <w:rPr>
                <w:i/>
                <w:color w:val="auto"/>
                <w:sz w:val="18"/>
                <w:szCs w:val="18"/>
              </w:rPr>
            </w:pPr>
            <w:r>
              <w:rPr>
                <w:rFonts w:hint="eastAsia"/>
                <w:color w:val="auto"/>
                <w:sz w:val="18"/>
                <w:szCs w:val="18"/>
              </w:rPr>
              <w:t>人工智能与会计发展</w:t>
            </w:r>
          </w:p>
        </w:tc>
        <w:tc>
          <w:tcPr>
            <w:tcW w:w="1172" w:type="dxa"/>
            <w:vAlign w:val="center"/>
          </w:tcPr>
          <w:p w14:paraId="20EF47A7">
            <w:pPr>
              <w:jc w:val="center"/>
              <w:rPr>
                <w:rFonts w:hint="default" w:eastAsia="宋体"/>
                <w:i/>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46</w:t>
            </w:r>
          </w:p>
        </w:tc>
        <w:tc>
          <w:tcPr>
            <w:tcW w:w="794" w:type="dxa"/>
            <w:vAlign w:val="center"/>
          </w:tcPr>
          <w:p w14:paraId="3C60E999">
            <w:pPr>
              <w:jc w:val="center"/>
              <w:rPr>
                <w:i/>
                <w:color w:val="auto"/>
                <w:sz w:val="18"/>
                <w:szCs w:val="18"/>
              </w:rPr>
            </w:pPr>
            <w:r>
              <w:rPr>
                <w:rFonts w:hint="eastAsia"/>
                <w:color w:val="auto"/>
                <w:sz w:val="18"/>
                <w:szCs w:val="18"/>
              </w:rPr>
              <w:t>2</w:t>
            </w:r>
          </w:p>
        </w:tc>
        <w:tc>
          <w:tcPr>
            <w:tcW w:w="829" w:type="dxa"/>
            <w:vAlign w:val="center"/>
          </w:tcPr>
          <w:p w14:paraId="3BC1A149">
            <w:pPr>
              <w:jc w:val="center"/>
              <w:rPr>
                <w:i/>
                <w:color w:val="auto"/>
                <w:sz w:val="18"/>
                <w:szCs w:val="18"/>
              </w:rPr>
            </w:pPr>
            <w:r>
              <w:rPr>
                <w:rFonts w:hint="eastAsia"/>
                <w:color w:val="auto"/>
                <w:sz w:val="18"/>
                <w:szCs w:val="18"/>
              </w:rPr>
              <w:t>2</w:t>
            </w:r>
          </w:p>
        </w:tc>
        <w:tc>
          <w:tcPr>
            <w:tcW w:w="1606" w:type="dxa"/>
            <w:vMerge w:val="continue"/>
            <w:vAlign w:val="center"/>
          </w:tcPr>
          <w:p w14:paraId="1975771D">
            <w:pPr>
              <w:jc w:val="center"/>
              <w:rPr>
                <w:color w:val="auto"/>
                <w:sz w:val="18"/>
                <w:szCs w:val="18"/>
              </w:rPr>
            </w:pPr>
          </w:p>
        </w:tc>
      </w:tr>
      <w:tr w14:paraId="403F48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3E54058">
            <w:pPr>
              <w:rPr>
                <w:b/>
                <w:color w:val="auto"/>
                <w:sz w:val="18"/>
                <w:szCs w:val="18"/>
              </w:rPr>
            </w:pPr>
          </w:p>
        </w:tc>
        <w:tc>
          <w:tcPr>
            <w:tcW w:w="1311" w:type="dxa"/>
            <w:vMerge w:val="restart"/>
            <w:vAlign w:val="center"/>
          </w:tcPr>
          <w:p w14:paraId="7D595934">
            <w:pPr>
              <w:jc w:val="center"/>
              <w:rPr>
                <w:b/>
                <w:color w:val="auto"/>
                <w:sz w:val="18"/>
                <w:szCs w:val="18"/>
              </w:rPr>
            </w:pPr>
            <w:r>
              <w:rPr>
                <w:rFonts w:hint="eastAsia"/>
                <w:b/>
                <w:color w:val="auto"/>
                <w:sz w:val="18"/>
                <w:szCs w:val="18"/>
              </w:rPr>
              <w:t>智能财务方向选修课</w:t>
            </w:r>
          </w:p>
        </w:tc>
        <w:tc>
          <w:tcPr>
            <w:tcW w:w="3258" w:type="dxa"/>
            <w:vAlign w:val="top"/>
          </w:tcPr>
          <w:p w14:paraId="1BE0973B">
            <w:pPr>
              <w:rPr>
                <w:rFonts w:hint="eastAsia"/>
                <w:color w:val="auto"/>
                <w:sz w:val="18"/>
                <w:szCs w:val="18"/>
              </w:rPr>
            </w:pPr>
            <w:r>
              <w:rPr>
                <w:rFonts w:hint="eastAsia" w:ascii="Times New Roman" w:hAnsi="Times New Roman" w:cs="Times New Roman"/>
                <w:color w:val="auto"/>
                <w:sz w:val="18"/>
                <w:szCs w:val="18"/>
              </w:rPr>
              <w:t>大数据与财务决策</w:t>
            </w:r>
          </w:p>
        </w:tc>
        <w:tc>
          <w:tcPr>
            <w:tcW w:w="1172" w:type="dxa"/>
            <w:vAlign w:val="center"/>
          </w:tcPr>
          <w:p w14:paraId="6E7F4FCC">
            <w:pPr>
              <w:jc w:val="center"/>
              <w:rPr>
                <w:rFonts w:hint="eastAsia"/>
                <w:color w:val="auto"/>
                <w:sz w:val="18"/>
                <w:szCs w:val="18"/>
              </w:rPr>
            </w:pPr>
            <w:r>
              <w:rPr>
                <w:rFonts w:hint="eastAsia"/>
                <w:color w:val="auto"/>
                <w:sz w:val="18"/>
                <w:szCs w:val="18"/>
              </w:rPr>
              <w:t>ZS</w:t>
            </w:r>
            <w:r>
              <w:rPr>
                <w:color w:val="auto"/>
                <w:sz w:val="18"/>
                <w:szCs w:val="18"/>
              </w:rPr>
              <w:t>0411</w:t>
            </w:r>
            <w:r>
              <w:rPr>
                <w:rFonts w:hint="eastAsia"/>
                <w:color w:val="auto"/>
                <w:sz w:val="18"/>
                <w:szCs w:val="18"/>
                <w:lang w:val="en-US" w:eastAsia="zh-CN"/>
              </w:rPr>
              <w:t>10</w:t>
            </w:r>
            <w:r>
              <w:rPr>
                <w:color w:val="auto"/>
                <w:sz w:val="18"/>
                <w:szCs w:val="18"/>
              </w:rPr>
              <w:t>1</w:t>
            </w:r>
          </w:p>
        </w:tc>
        <w:tc>
          <w:tcPr>
            <w:tcW w:w="794" w:type="dxa"/>
            <w:vAlign w:val="center"/>
          </w:tcPr>
          <w:p w14:paraId="71BFA6FB">
            <w:pPr>
              <w:jc w:val="center"/>
              <w:rPr>
                <w:rFonts w:hint="eastAsia"/>
                <w:color w:val="auto"/>
                <w:sz w:val="18"/>
                <w:szCs w:val="18"/>
              </w:rPr>
            </w:pPr>
            <w:r>
              <w:rPr>
                <w:rFonts w:hint="eastAsia"/>
                <w:color w:val="auto"/>
                <w:sz w:val="18"/>
                <w:szCs w:val="18"/>
              </w:rPr>
              <w:t>2</w:t>
            </w:r>
          </w:p>
        </w:tc>
        <w:tc>
          <w:tcPr>
            <w:tcW w:w="829" w:type="dxa"/>
            <w:vAlign w:val="center"/>
          </w:tcPr>
          <w:p w14:paraId="3793C654">
            <w:pPr>
              <w:jc w:val="center"/>
              <w:rPr>
                <w:rFonts w:hint="eastAsia"/>
                <w:color w:val="auto"/>
                <w:sz w:val="18"/>
                <w:szCs w:val="18"/>
              </w:rPr>
            </w:pPr>
            <w:r>
              <w:rPr>
                <w:rFonts w:hint="eastAsia"/>
                <w:color w:val="auto"/>
                <w:sz w:val="18"/>
                <w:szCs w:val="18"/>
              </w:rPr>
              <w:t>2</w:t>
            </w:r>
          </w:p>
        </w:tc>
        <w:tc>
          <w:tcPr>
            <w:tcW w:w="1606" w:type="dxa"/>
            <w:vMerge w:val="restart"/>
            <w:vAlign w:val="center"/>
          </w:tcPr>
          <w:p w14:paraId="0438B483">
            <w:pPr>
              <w:adjustRightInd w:val="0"/>
              <w:snapToGrid w:val="0"/>
              <w:jc w:val="center"/>
              <w:rPr>
                <w:color w:val="auto"/>
                <w:sz w:val="18"/>
                <w:szCs w:val="18"/>
              </w:rPr>
            </w:pPr>
            <w:r>
              <w:rPr>
                <w:rFonts w:hint="eastAsia"/>
                <w:color w:val="auto"/>
                <w:sz w:val="18"/>
                <w:szCs w:val="18"/>
              </w:rPr>
              <w:t>本方向研究生至少选修</w:t>
            </w:r>
          </w:p>
          <w:p w14:paraId="0BD6578B">
            <w:pPr>
              <w:adjustRightInd w:val="0"/>
              <w:snapToGrid w:val="0"/>
              <w:jc w:val="center"/>
              <w:rPr>
                <w:color w:val="auto"/>
                <w:sz w:val="18"/>
                <w:szCs w:val="18"/>
              </w:rPr>
            </w:pPr>
            <w:r>
              <w:rPr>
                <w:color w:val="auto"/>
                <w:sz w:val="18"/>
                <w:szCs w:val="18"/>
              </w:rPr>
              <w:t>10</w:t>
            </w:r>
            <w:r>
              <w:rPr>
                <w:rFonts w:hint="eastAsia"/>
                <w:color w:val="auto"/>
                <w:sz w:val="18"/>
                <w:szCs w:val="18"/>
              </w:rPr>
              <w:t>学分</w:t>
            </w:r>
          </w:p>
        </w:tc>
      </w:tr>
      <w:tr w14:paraId="711595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8FAA49">
            <w:pPr>
              <w:rPr>
                <w:b/>
                <w:color w:val="auto"/>
                <w:sz w:val="18"/>
                <w:szCs w:val="18"/>
              </w:rPr>
            </w:pPr>
          </w:p>
        </w:tc>
        <w:tc>
          <w:tcPr>
            <w:tcW w:w="1311" w:type="dxa"/>
            <w:vMerge w:val="continue"/>
            <w:vAlign w:val="center"/>
          </w:tcPr>
          <w:p w14:paraId="021FCE45">
            <w:pPr>
              <w:jc w:val="center"/>
              <w:rPr>
                <w:rFonts w:hint="eastAsia"/>
                <w:b/>
                <w:color w:val="auto"/>
                <w:sz w:val="18"/>
                <w:szCs w:val="18"/>
              </w:rPr>
            </w:pPr>
          </w:p>
        </w:tc>
        <w:tc>
          <w:tcPr>
            <w:tcW w:w="3258" w:type="dxa"/>
            <w:vAlign w:val="center"/>
          </w:tcPr>
          <w:p w14:paraId="572DB77F">
            <w:pPr>
              <w:rPr>
                <w:rFonts w:hint="eastAsia"/>
                <w:color w:val="auto"/>
                <w:sz w:val="18"/>
                <w:szCs w:val="18"/>
              </w:rPr>
            </w:pPr>
            <w:r>
              <w:rPr>
                <w:rFonts w:hint="eastAsia"/>
                <w:color w:val="auto"/>
                <w:sz w:val="18"/>
                <w:szCs w:val="18"/>
                <w:lang w:val="en-US" w:eastAsia="zh-CN"/>
              </w:rPr>
              <w:t>基于Python的</w:t>
            </w:r>
            <w:r>
              <w:rPr>
                <w:rFonts w:hint="eastAsia"/>
                <w:color w:val="auto"/>
                <w:sz w:val="18"/>
                <w:szCs w:val="18"/>
              </w:rPr>
              <w:t>财务报表分析</w:t>
            </w:r>
          </w:p>
        </w:tc>
        <w:tc>
          <w:tcPr>
            <w:tcW w:w="1172" w:type="dxa"/>
            <w:vAlign w:val="center"/>
          </w:tcPr>
          <w:p w14:paraId="40B4866E">
            <w:pPr>
              <w:jc w:val="center"/>
              <w:rPr>
                <w:rFonts w:hint="eastAsia"/>
                <w:color w:val="auto"/>
                <w:sz w:val="18"/>
                <w:szCs w:val="18"/>
              </w:rPr>
            </w:pPr>
            <w:r>
              <w:rPr>
                <w:rFonts w:hint="eastAsia"/>
                <w:color w:val="auto"/>
                <w:sz w:val="18"/>
                <w:szCs w:val="18"/>
              </w:rPr>
              <w:t>ZS</w:t>
            </w:r>
            <w:r>
              <w:rPr>
                <w:color w:val="auto"/>
                <w:sz w:val="18"/>
                <w:szCs w:val="18"/>
              </w:rPr>
              <w:t>0411</w:t>
            </w:r>
            <w:r>
              <w:rPr>
                <w:rFonts w:hint="eastAsia"/>
                <w:color w:val="auto"/>
                <w:sz w:val="18"/>
                <w:szCs w:val="18"/>
                <w:lang w:val="en-US" w:eastAsia="zh-CN"/>
              </w:rPr>
              <w:t>102</w:t>
            </w:r>
          </w:p>
        </w:tc>
        <w:tc>
          <w:tcPr>
            <w:tcW w:w="794" w:type="dxa"/>
            <w:vAlign w:val="center"/>
          </w:tcPr>
          <w:p w14:paraId="00387593">
            <w:pPr>
              <w:jc w:val="center"/>
              <w:rPr>
                <w:rFonts w:hint="eastAsia"/>
                <w:color w:val="auto"/>
                <w:sz w:val="18"/>
                <w:szCs w:val="18"/>
              </w:rPr>
            </w:pPr>
            <w:r>
              <w:rPr>
                <w:rFonts w:hint="eastAsia"/>
                <w:color w:val="auto"/>
                <w:sz w:val="18"/>
                <w:szCs w:val="18"/>
              </w:rPr>
              <w:t>2</w:t>
            </w:r>
          </w:p>
        </w:tc>
        <w:tc>
          <w:tcPr>
            <w:tcW w:w="829" w:type="dxa"/>
            <w:vAlign w:val="center"/>
          </w:tcPr>
          <w:p w14:paraId="45EF9EE8">
            <w:pPr>
              <w:jc w:val="center"/>
              <w:rPr>
                <w:rFonts w:hint="eastAsia"/>
                <w:color w:val="auto"/>
                <w:sz w:val="18"/>
                <w:szCs w:val="18"/>
              </w:rPr>
            </w:pPr>
            <w:r>
              <w:rPr>
                <w:rFonts w:hint="eastAsia"/>
                <w:color w:val="auto"/>
                <w:sz w:val="18"/>
                <w:szCs w:val="18"/>
              </w:rPr>
              <w:t>2</w:t>
            </w:r>
          </w:p>
        </w:tc>
        <w:tc>
          <w:tcPr>
            <w:tcW w:w="1606" w:type="dxa"/>
            <w:vMerge w:val="continue"/>
            <w:vAlign w:val="center"/>
          </w:tcPr>
          <w:p w14:paraId="600C910A">
            <w:pPr>
              <w:adjustRightInd w:val="0"/>
              <w:snapToGrid w:val="0"/>
              <w:jc w:val="center"/>
              <w:rPr>
                <w:color w:val="auto"/>
                <w:sz w:val="18"/>
                <w:szCs w:val="18"/>
              </w:rPr>
            </w:pPr>
          </w:p>
        </w:tc>
      </w:tr>
      <w:tr w14:paraId="40A41E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C829DA">
            <w:pPr>
              <w:rPr>
                <w:b/>
                <w:color w:val="auto"/>
                <w:sz w:val="18"/>
                <w:szCs w:val="18"/>
              </w:rPr>
            </w:pPr>
          </w:p>
        </w:tc>
        <w:tc>
          <w:tcPr>
            <w:tcW w:w="1311" w:type="dxa"/>
            <w:vMerge w:val="continue"/>
            <w:vAlign w:val="center"/>
          </w:tcPr>
          <w:p w14:paraId="34643152">
            <w:pPr>
              <w:jc w:val="center"/>
              <w:rPr>
                <w:rFonts w:hint="eastAsia"/>
                <w:b/>
                <w:color w:val="auto"/>
                <w:sz w:val="18"/>
                <w:szCs w:val="18"/>
              </w:rPr>
            </w:pPr>
          </w:p>
        </w:tc>
        <w:tc>
          <w:tcPr>
            <w:tcW w:w="3258" w:type="dxa"/>
            <w:vAlign w:val="center"/>
          </w:tcPr>
          <w:p w14:paraId="5A8FB817">
            <w:pPr>
              <w:rPr>
                <w:rFonts w:hint="eastAsia"/>
                <w:color w:val="auto"/>
                <w:sz w:val="18"/>
                <w:szCs w:val="18"/>
              </w:rPr>
            </w:pPr>
            <w:r>
              <w:rPr>
                <w:rFonts w:hint="eastAsia"/>
                <w:color w:val="auto"/>
                <w:sz w:val="18"/>
                <w:szCs w:val="18"/>
              </w:rPr>
              <w:t>数量分析方法</w:t>
            </w:r>
          </w:p>
        </w:tc>
        <w:tc>
          <w:tcPr>
            <w:tcW w:w="1172" w:type="dxa"/>
            <w:vAlign w:val="center"/>
          </w:tcPr>
          <w:p w14:paraId="7B02EBD7">
            <w:pPr>
              <w:jc w:val="center"/>
              <w:rPr>
                <w:rFonts w:hint="eastAsia"/>
                <w:color w:val="auto"/>
                <w:sz w:val="18"/>
                <w:szCs w:val="18"/>
              </w:rPr>
            </w:pPr>
            <w:r>
              <w:rPr>
                <w:rFonts w:hint="eastAsia"/>
                <w:color w:val="auto"/>
                <w:sz w:val="18"/>
                <w:szCs w:val="18"/>
              </w:rPr>
              <w:t>ZS</w:t>
            </w:r>
            <w:r>
              <w:rPr>
                <w:color w:val="auto"/>
                <w:sz w:val="18"/>
                <w:szCs w:val="18"/>
              </w:rPr>
              <w:t>0411</w:t>
            </w:r>
            <w:r>
              <w:rPr>
                <w:rFonts w:hint="eastAsia"/>
                <w:color w:val="auto"/>
                <w:sz w:val="18"/>
                <w:szCs w:val="18"/>
                <w:lang w:val="en-US" w:eastAsia="zh-CN"/>
              </w:rPr>
              <w:t>103</w:t>
            </w:r>
          </w:p>
        </w:tc>
        <w:tc>
          <w:tcPr>
            <w:tcW w:w="794" w:type="dxa"/>
            <w:vAlign w:val="center"/>
          </w:tcPr>
          <w:p w14:paraId="13308808">
            <w:pPr>
              <w:jc w:val="center"/>
              <w:rPr>
                <w:rFonts w:hint="eastAsia"/>
                <w:color w:val="auto"/>
                <w:sz w:val="18"/>
                <w:szCs w:val="18"/>
              </w:rPr>
            </w:pPr>
            <w:r>
              <w:rPr>
                <w:rFonts w:hint="eastAsia"/>
                <w:color w:val="auto"/>
                <w:sz w:val="18"/>
                <w:szCs w:val="18"/>
              </w:rPr>
              <w:t>2</w:t>
            </w:r>
          </w:p>
        </w:tc>
        <w:tc>
          <w:tcPr>
            <w:tcW w:w="829" w:type="dxa"/>
            <w:vAlign w:val="center"/>
          </w:tcPr>
          <w:p w14:paraId="5FA014FA">
            <w:pPr>
              <w:jc w:val="center"/>
              <w:rPr>
                <w:rFonts w:hint="eastAsia"/>
                <w:color w:val="auto"/>
                <w:sz w:val="18"/>
                <w:szCs w:val="18"/>
              </w:rPr>
            </w:pPr>
            <w:r>
              <w:rPr>
                <w:rFonts w:hint="eastAsia"/>
                <w:color w:val="auto"/>
                <w:sz w:val="18"/>
                <w:szCs w:val="18"/>
              </w:rPr>
              <w:t>2</w:t>
            </w:r>
          </w:p>
        </w:tc>
        <w:tc>
          <w:tcPr>
            <w:tcW w:w="1606" w:type="dxa"/>
            <w:vMerge w:val="continue"/>
            <w:vAlign w:val="center"/>
          </w:tcPr>
          <w:p w14:paraId="273FE6E9">
            <w:pPr>
              <w:adjustRightInd w:val="0"/>
              <w:snapToGrid w:val="0"/>
              <w:jc w:val="center"/>
              <w:rPr>
                <w:color w:val="auto"/>
                <w:sz w:val="18"/>
                <w:szCs w:val="18"/>
              </w:rPr>
            </w:pPr>
          </w:p>
        </w:tc>
      </w:tr>
      <w:tr w14:paraId="0DA370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241F9E6">
            <w:pPr>
              <w:rPr>
                <w:b/>
                <w:color w:val="auto"/>
                <w:sz w:val="18"/>
                <w:szCs w:val="18"/>
              </w:rPr>
            </w:pPr>
          </w:p>
        </w:tc>
        <w:tc>
          <w:tcPr>
            <w:tcW w:w="1311" w:type="dxa"/>
            <w:vMerge w:val="continue"/>
            <w:vAlign w:val="center"/>
          </w:tcPr>
          <w:p w14:paraId="6431A1CD">
            <w:pPr>
              <w:jc w:val="center"/>
              <w:rPr>
                <w:b/>
                <w:color w:val="auto"/>
                <w:sz w:val="18"/>
                <w:szCs w:val="18"/>
              </w:rPr>
            </w:pPr>
          </w:p>
        </w:tc>
        <w:tc>
          <w:tcPr>
            <w:tcW w:w="3258" w:type="dxa"/>
            <w:shd w:val="clear" w:color="auto" w:fill="auto"/>
            <w:vAlign w:val="top"/>
          </w:tcPr>
          <w:p w14:paraId="09FBA9B6">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highlight w:val="none"/>
              </w:rPr>
              <w:t>成本管理理论与实务</w:t>
            </w:r>
          </w:p>
        </w:tc>
        <w:tc>
          <w:tcPr>
            <w:tcW w:w="1172" w:type="dxa"/>
            <w:shd w:val="clear" w:color="auto" w:fill="auto"/>
            <w:vAlign w:val="center"/>
          </w:tcPr>
          <w:p w14:paraId="7B1CB818">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ZS</w:t>
            </w:r>
            <w:r>
              <w:rPr>
                <w:color w:val="auto"/>
                <w:sz w:val="18"/>
                <w:szCs w:val="18"/>
              </w:rPr>
              <w:t>04112</w:t>
            </w:r>
            <w:r>
              <w:rPr>
                <w:rFonts w:hint="eastAsia"/>
                <w:color w:val="auto"/>
                <w:sz w:val="18"/>
                <w:szCs w:val="18"/>
                <w:lang w:val="en-US" w:eastAsia="zh-CN"/>
              </w:rPr>
              <w:t>05</w:t>
            </w:r>
          </w:p>
        </w:tc>
        <w:tc>
          <w:tcPr>
            <w:tcW w:w="794" w:type="dxa"/>
            <w:shd w:val="clear" w:color="auto" w:fill="auto"/>
            <w:vAlign w:val="center"/>
          </w:tcPr>
          <w:p w14:paraId="4FB17354">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829" w:type="dxa"/>
            <w:shd w:val="clear" w:color="auto" w:fill="auto"/>
            <w:vAlign w:val="center"/>
          </w:tcPr>
          <w:p w14:paraId="3D809398">
            <w:pPr>
              <w:jc w:val="cente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1606" w:type="dxa"/>
            <w:vMerge w:val="continue"/>
            <w:vAlign w:val="center"/>
          </w:tcPr>
          <w:p w14:paraId="19C69CA8">
            <w:pPr>
              <w:adjustRightInd w:val="0"/>
              <w:snapToGrid w:val="0"/>
              <w:jc w:val="center"/>
              <w:rPr>
                <w:color w:val="auto"/>
                <w:sz w:val="18"/>
                <w:szCs w:val="18"/>
              </w:rPr>
            </w:pPr>
          </w:p>
        </w:tc>
      </w:tr>
      <w:tr w14:paraId="51C88D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1966E90">
            <w:pPr>
              <w:rPr>
                <w:b/>
                <w:color w:val="auto"/>
                <w:sz w:val="18"/>
                <w:szCs w:val="18"/>
              </w:rPr>
            </w:pPr>
          </w:p>
        </w:tc>
        <w:tc>
          <w:tcPr>
            <w:tcW w:w="1311" w:type="dxa"/>
            <w:vMerge w:val="continue"/>
            <w:vAlign w:val="center"/>
          </w:tcPr>
          <w:p w14:paraId="7CA51A94">
            <w:pPr>
              <w:jc w:val="center"/>
              <w:rPr>
                <w:b/>
                <w:color w:val="auto"/>
                <w:sz w:val="18"/>
                <w:szCs w:val="18"/>
              </w:rPr>
            </w:pPr>
          </w:p>
        </w:tc>
        <w:tc>
          <w:tcPr>
            <w:tcW w:w="3258" w:type="dxa"/>
            <w:vAlign w:val="center"/>
          </w:tcPr>
          <w:p w14:paraId="70D62C39">
            <w:pPr>
              <w:rPr>
                <w:color w:val="auto"/>
                <w:sz w:val="18"/>
                <w:szCs w:val="18"/>
              </w:rPr>
            </w:pPr>
            <w:r>
              <w:rPr>
                <w:rFonts w:hint="eastAsia"/>
                <w:color w:val="auto"/>
                <w:sz w:val="18"/>
                <w:szCs w:val="18"/>
              </w:rPr>
              <w:t>企业理财工具应用</w:t>
            </w:r>
          </w:p>
        </w:tc>
        <w:tc>
          <w:tcPr>
            <w:tcW w:w="1172" w:type="dxa"/>
            <w:vAlign w:val="center"/>
          </w:tcPr>
          <w:p w14:paraId="7F1C635C">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51</w:t>
            </w:r>
          </w:p>
        </w:tc>
        <w:tc>
          <w:tcPr>
            <w:tcW w:w="794" w:type="dxa"/>
            <w:vAlign w:val="center"/>
          </w:tcPr>
          <w:p w14:paraId="68BF2BC0">
            <w:pPr>
              <w:jc w:val="center"/>
              <w:rPr>
                <w:color w:val="auto"/>
                <w:sz w:val="18"/>
                <w:szCs w:val="18"/>
              </w:rPr>
            </w:pPr>
            <w:r>
              <w:rPr>
                <w:rFonts w:hint="eastAsia"/>
                <w:color w:val="auto"/>
                <w:sz w:val="18"/>
                <w:szCs w:val="18"/>
              </w:rPr>
              <w:t>2</w:t>
            </w:r>
          </w:p>
        </w:tc>
        <w:tc>
          <w:tcPr>
            <w:tcW w:w="829" w:type="dxa"/>
            <w:vAlign w:val="center"/>
          </w:tcPr>
          <w:p w14:paraId="5CC224C3">
            <w:pPr>
              <w:jc w:val="center"/>
              <w:rPr>
                <w:i/>
                <w:color w:val="auto"/>
                <w:sz w:val="18"/>
                <w:szCs w:val="18"/>
              </w:rPr>
            </w:pPr>
            <w:r>
              <w:rPr>
                <w:rFonts w:hint="eastAsia"/>
                <w:color w:val="auto"/>
                <w:sz w:val="18"/>
                <w:szCs w:val="18"/>
              </w:rPr>
              <w:t>2</w:t>
            </w:r>
          </w:p>
        </w:tc>
        <w:tc>
          <w:tcPr>
            <w:tcW w:w="1606" w:type="dxa"/>
            <w:vMerge w:val="continue"/>
            <w:vAlign w:val="center"/>
          </w:tcPr>
          <w:p w14:paraId="0D27E305">
            <w:pPr>
              <w:adjustRightInd w:val="0"/>
              <w:snapToGrid w:val="0"/>
              <w:jc w:val="center"/>
              <w:rPr>
                <w:color w:val="auto"/>
                <w:sz w:val="18"/>
                <w:szCs w:val="18"/>
              </w:rPr>
            </w:pPr>
          </w:p>
        </w:tc>
      </w:tr>
      <w:tr w14:paraId="26C134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22519A">
            <w:pPr>
              <w:rPr>
                <w:b/>
                <w:color w:val="auto"/>
                <w:sz w:val="18"/>
                <w:szCs w:val="18"/>
              </w:rPr>
            </w:pPr>
          </w:p>
        </w:tc>
        <w:tc>
          <w:tcPr>
            <w:tcW w:w="1311" w:type="dxa"/>
            <w:vMerge w:val="continue"/>
          </w:tcPr>
          <w:p w14:paraId="1436C094">
            <w:pPr>
              <w:jc w:val="center"/>
              <w:rPr>
                <w:b/>
                <w:color w:val="auto"/>
                <w:sz w:val="18"/>
                <w:szCs w:val="18"/>
              </w:rPr>
            </w:pPr>
          </w:p>
        </w:tc>
        <w:tc>
          <w:tcPr>
            <w:tcW w:w="3258" w:type="dxa"/>
            <w:vAlign w:val="center"/>
          </w:tcPr>
          <w:p w14:paraId="4A29A0B6">
            <w:pPr>
              <w:rPr>
                <w:color w:val="auto"/>
                <w:sz w:val="18"/>
                <w:szCs w:val="18"/>
              </w:rPr>
            </w:pPr>
            <w:r>
              <w:rPr>
                <w:rFonts w:hint="eastAsia"/>
                <w:color w:val="auto"/>
                <w:sz w:val="18"/>
                <w:szCs w:val="18"/>
              </w:rPr>
              <w:t>机器学习与财务智能</w:t>
            </w:r>
          </w:p>
        </w:tc>
        <w:tc>
          <w:tcPr>
            <w:tcW w:w="1172" w:type="dxa"/>
            <w:vAlign w:val="center"/>
          </w:tcPr>
          <w:p w14:paraId="7793072A">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53</w:t>
            </w:r>
          </w:p>
        </w:tc>
        <w:tc>
          <w:tcPr>
            <w:tcW w:w="794" w:type="dxa"/>
            <w:vAlign w:val="center"/>
          </w:tcPr>
          <w:p w14:paraId="0FADFBD1">
            <w:pPr>
              <w:jc w:val="center"/>
              <w:rPr>
                <w:color w:val="auto"/>
                <w:sz w:val="18"/>
                <w:szCs w:val="18"/>
              </w:rPr>
            </w:pPr>
            <w:r>
              <w:rPr>
                <w:rFonts w:hint="eastAsia"/>
                <w:color w:val="auto"/>
                <w:sz w:val="18"/>
                <w:szCs w:val="18"/>
              </w:rPr>
              <w:t>2</w:t>
            </w:r>
          </w:p>
        </w:tc>
        <w:tc>
          <w:tcPr>
            <w:tcW w:w="829" w:type="dxa"/>
            <w:vAlign w:val="center"/>
          </w:tcPr>
          <w:p w14:paraId="294AA6D1">
            <w:pPr>
              <w:jc w:val="center"/>
              <w:rPr>
                <w:color w:val="auto"/>
                <w:sz w:val="18"/>
                <w:szCs w:val="18"/>
              </w:rPr>
            </w:pPr>
            <w:r>
              <w:rPr>
                <w:rFonts w:hint="eastAsia"/>
                <w:color w:val="auto"/>
                <w:sz w:val="18"/>
                <w:szCs w:val="18"/>
              </w:rPr>
              <w:t>2</w:t>
            </w:r>
          </w:p>
        </w:tc>
        <w:tc>
          <w:tcPr>
            <w:tcW w:w="1606" w:type="dxa"/>
            <w:vMerge w:val="continue"/>
            <w:vAlign w:val="center"/>
          </w:tcPr>
          <w:p w14:paraId="3BB679B5">
            <w:pPr>
              <w:jc w:val="center"/>
              <w:rPr>
                <w:color w:val="auto"/>
                <w:sz w:val="18"/>
                <w:szCs w:val="18"/>
              </w:rPr>
            </w:pPr>
          </w:p>
        </w:tc>
      </w:tr>
      <w:tr w14:paraId="4ECC48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16752B">
            <w:pPr>
              <w:rPr>
                <w:b/>
                <w:color w:val="auto"/>
                <w:sz w:val="18"/>
                <w:szCs w:val="18"/>
              </w:rPr>
            </w:pPr>
          </w:p>
        </w:tc>
        <w:tc>
          <w:tcPr>
            <w:tcW w:w="1311" w:type="dxa"/>
            <w:vMerge w:val="continue"/>
          </w:tcPr>
          <w:p w14:paraId="4CA43980">
            <w:pPr>
              <w:jc w:val="center"/>
              <w:rPr>
                <w:b/>
                <w:color w:val="auto"/>
                <w:sz w:val="18"/>
                <w:szCs w:val="18"/>
              </w:rPr>
            </w:pPr>
          </w:p>
        </w:tc>
        <w:tc>
          <w:tcPr>
            <w:tcW w:w="3258" w:type="dxa"/>
            <w:vAlign w:val="center"/>
          </w:tcPr>
          <w:p w14:paraId="21E12875">
            <w:pPr>
              <w:rPr>
                <w:color w:val="auto"/>
                <w:sz w:val="18"/>
                <w:szCs w:val="18"/>
              </w:rPr>
            </w:pPr>
            <w:r>
              <w:rPr>
                <w:rFonts w:hint="eastAsia"/>
                <w:color w:val="auto"/>
                <w:sz w:val="18"/>
                <w:szCs w:val="18"/>
              </w:rPr>
              <w:t>财务共享</w:t>
            </w:r>
          </w:p>
        </w:tc>
        <w:tc>
          <w:tcPr>
            <w:tcW w:w="1172" w:type="dxa"/>
            <w:vAlign w:val="center"/>
          </w:tcPr>
          <w:p w14:paraId="67E3CDAD">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55</w:t>
            </w:r>
          </w:p>
        </w:tc>
        <w:tc>
          <w:tcPr>
            <w:tcW w:w="794" w:type="dxa"/>
            <w:vAlign w:val="center"/>
          </w:tcPr>
          <w:p w14:paraId="7952995F">
            <w:pPr>
              <w:jc w:val="center"/>
              <w:rPr>
                <w:color w:val="auto"/>
                <w:sz w:val="18"/>
                <w:szCs w:val="18"/>
              </w:rPr>
            </w:pPr>
            <w:r>
              <w:rPr>
                <w:rFonts w:hint="eastAsia"/>
                <w:color w:val="auto"/>
                <w:sz w:val="18"/>
                <w:szCs w:val="18"/>
              </w:rPr>
              <w:t>2</w:t>
            </w:r>
          </w:p>
        </w:tc>
        <w:tc>
          <w:tcPr>
            <w:tcW w:w="829" w:type="dxa"/>
            <w:vAlign w:val="center"/>
          </w:tcPr>
          <w:p w14:paraId="1824360F">
            <w:pPr>
              <w:jc w:val="center"/>
              <w:rPr>
                <w:color w:val="auto"/>
                <w:sz w:val="18"/>
                <w:szCs w:val="18"/>
              </w:rPr>
            </w:pPr>
            <w:r>
              <w:rPr>
                <w:rFonts w:hint="eastAsia"/>
                <w:color w:val="auto"/>
                <w:sz w:val="18"/>
                <w:szCs w:val="18"/>
              </w:rPr>
              <w:t>2</w:t>
            </w:r>
          </w:p>
        </w:tc>
        <w:tc>
          <w:tcPr>
            <w:tcW w:w="1606" w:type="dxa"/>
            <w:vMerge w:val="continue"/>
            <w:vAlign w:val="center"/>
          </w:tcPr>
          <w:p w14:paraId="77D3067D">
            <w:pPr>
              <w:jc w:val="center"/>
              <w:rPr>
                <w:color w:val="auto"/>
                <w:sz w:val="18"/>
                <w:szCs w:val="18"/>
              </w:rPr>
            </w:pPr>
          </w:p>
        </w:tc>
      </w:tr>
      <w:tr w14:paraId="2175A20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439D21">
            <w:pPr>
              <w:rPr>
                <w:b/>
                <w:color w:val="auto"/>
                <w:sz w:val="18"/>
                <w:szCs w:val="18"/>
              </w:rPr>
            </w:pPr>
          </w:p>
        </w:tc>
        <w:tc>
          <w:tcPr>
            <w:tcW w:w="1311" w:type="dxa"/>
            <w:vMerge w:val="continue"/>
          </w:tcPr>
          <w:p w14:paraId="13EFBA98">
            <w:pPr>
              <w:jc w:val="center"/>
              <w:rPr>
                <w:b/>
                <w:color w:val="auto"/>
                <w:sz w:val="18"/>
                <w:szCs w:val="18"/>
              </w:rPr>
            </w:pPr>
          </w:p>
        </w:tc>
        <w:tc>
          <w:tcPr>
            <w:tcW w:w="3258" w:type="dxa"/>
            <w:vAlign w:val="center"/>
          </w:tcPr>
          <w:p w14:paraId="6ADEBF07">
            <w:pPr>
              <w:rPr>
                <w:color w:val="auto"/>
                <w:sz w:val="18"/>
                <w:szCs w:val="18"/>
              </w:rPr>
            </w:pPr>
            <w:r>
              <w:rPr>
                <w:rFonts w:hint="eastAsia"/>
                <w:color w:val="auto"/>
                <w:sz w:val="18"/>
                <w:szCs w:val="18"/>
              </w:rPr>
              <w:t>企业数字化转型理论与实务</w:t>
            </w:r>
          </w:p>
        </w:tc>
        <w:tc>
          <w:tcPr>
            <w:tcW w:w="1172" w:type="dxa"/>
            <w:vAlign w:val="center"/>
          </w:tcPr>
          <w:p w14:paraId="4C82AF0B">
            <w:pPr>
              <w:jc w:val="center"/>
              <w:rPr>
                <w:rFonts w:hint="default" w:eastAsia="宋体"/>
                <w:color w:val="auto"/>
                <w:sz w:val="18"/>
                <w:szCs w:val="18"/>
                <w:lang w:val="en-US" w:eastAsia="zh-CN"/>
              </w:rPr>
            </w:pPr>
            <w:r>
              <w:rPr>
                <w:rFonts w:hint="eastAsia"/>
                <w:color w:val="auto"/>
                <w:sz w:val="18"/>
                <w:szCs w:val="18"/>
              </w:rPr>
              <w:t>ZS</w:t>
            </w:r>
            <w:r>
              <w:rPr>
                <w:color w:val="auto"/>
                <w:sz w:val="18"/>
                <w:szCs w:val="18"/>
              </w:rPr>
              <w:t>04112</w:t>
            </w:r>
            <w:r>
              <w:rPr>
                <w:rFonts w:hint="eastAsia"/>
                <w:color w:val="auto"/>
                <w:sz w:val="18"/>
                <w:szCs w:val="18"/>
                <w:lang w:val="en-US" w:eastAsia="zh-CN"/>
              </w:rPr>
              <w:t>50</w:t>
            </w:r>
            <w:bookmarkStart w:id="0" w:name="_GoBack"/>
            <w:bookmarkEnd w:id="0"/>
          </w:p>
        </w:tc>
        <w:tc>
          <w:tcPr>
            <w:tcW w:w="794" w:type="dxa"/>
            <w:vAlign w:val="center"/>
          </w:tcPr>
          <w:p w14:paraId="72AE33C7">
            <w:pPr>
              <w:jc w:val="center"/>
              <w:rPr>
                <w:color w:val="auto"/>
                <w:sz w:val="18"/>
                <w:szCs w:val="18"/>
              </w:rPr>
            </w:pPr>
            <w:r>
              <w:rPr>
                <w:rFonts w:hint="eastAsia"/>
                <w:color w:val="auto"/>
                <w:sz w:val="18"/>
                <w:szCs w:val="18"/>
              </w:rPr>
              <w:t>2</w:t>
            </w:r>
          </w:p>
        </w:tc>
        <w:tc>
          <w:tcPr>
            <w:tcW w:w="829" w:type="dxa"/>
            <w:vAlign w:val="center"/>
          </w:tcPr>
          <w:p w14:paraId="1B530161">
            <w:pPr>
              <w:jc w:val="center"/>
              <w:rPr>
                <w:i/>
                <w:color w:val="auto"/>
                <w:sz w:val="18"/>
                <w:szCs w:val="18"/>
              </w:rPr>
            </w:pPr>
            <w:r>
              <w:rPr>
                <w:rFonts w:hint="eastAsia"/>
                <w:color w:val="auto"/>
                <w:sz w:val="18"/>
                <w:szCs w:val="18"/>
              </w:rPr>
              <w:t>2</w:t>
            </w:r>
          </w:p>
        </w:tc>
        <w:tc>
          <w:tcPr>
            <w:tcW w:w="1606" w:type="dxa"/>
            <w:vMerge w:val="continue"/>
            <w:vAlign w:val="center"/>
          </w:tcPr>
          <w:p w14:paraId="373171A8">
            <w:pPr>
              <w:jc w:val="center"/>
              <w:rPr>
                <w:color w:val="auto"/>
                <w:sz w:val="18"/>
                <w:szCs w:val="18"/>
              </w:rPr>
            </w:pPr>
          </w:p>
        </w:tc>
      </w:tr>
      <w:tr w14:paraId="5FE0BC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restart"/>
            <w:vAlign w:val="center"/>
          </w:tcPr>
          <w:p w14:paraId="629C7AB9">
            <w:pPr>
              <w:jc w:val="center"/>
              <w:rPr>
                <w:b/>
                <w:color w:val="auto"/>
                <w:sz w:val="18"/>
                <w:szCs w:val="18"/>
              </w:rPr>
            </w:pPr>
            <w:r>
              <w:rPr>
                <w:b/>
                <w:color w:val="auto"/>
                <w:sz w:val="18"/>
                <w:szCs w:val="18"/>
              </w:rPr>
              <w:t>必修环节</w:t>
            </w:r>
          </w:p>
        </w:tc>
        <w:tc>
          <w:tcPr>
            <w:tcW w:w="1311" w:type="dxa"/>
            <w:vMerge w:val="restart"/>
            <w:vAlign w:val="center"/>
          </w:tcPr>
          <w:p w14:paraId="00D1B3AC">
            <w:pPr>
              <w:jc w:val="center"/>
              <w:rPr>
                <w:rFonts w:hint="eastAsia" w:eastAsia="宋体"/>
                <w:b/>
                <w:color w:val="auto"/>
                <w:sz w:val="18"/>
                <w:szCs w:val="18"/>
                <w:lang w:eastAsia="zh-CN"/>
              </w:rPr>
            </w:pPr>
            <w:r>
              <w:rPr>
                <w:rFonts w:hint="eastAsia"/>
                <w:b/>
                <w:color w:val="auto"/>
                <w:sz w:val="18"/>
                <w:szCs w:val="18"/>
                <w:lang w:val="en-US" w:eastAsia="zh-CN"/>
              </w:rPr>
              <w:t>素质拓展</w:t>
            </w:r>
          </w:p>
        </w:tc>
        <w:tc>
          <w:tcPr>
            <w:tcW w:w="3258" w:type="dxa"/>
            <w:vAlign w:val="center"/>
          </w:tcPr>
          <w:p w14:paraId="3753B3EE">
            <w:pPr>
              <w:rPr>
                <w:rFonts w:hint="eastAsia" w:eastAsia="宋体"/>
                <w:color w:val="auto"/>
                <w:sz w:val="18"/>
                <w:szCs w:val="18"/>
                <w:lang w:val="en-US" w:eastAsia="zh-CN"/>
              </w:rPr>
            </w:pPr>
            <w:r>
              <w:rPr>
                <w:color w:val="auto"/>
                <w:sz w:val="18"/>
                <w:szCs w:val="18"/>
              </w:rPr>
              <w:t>入学教育</w:t>
            </w:r>
          </w:p>
        </w:tc>
        <w:tc>
          <w:tcPr>
            <w:tcW w:w="1172" w:type="dxa"/>
            <w:vAlign w:val="center"/>
          </w:tcPr>
          <w:p w14:paraId="29DBF384">
            <w:pPr>
              <w:jc w:val="center"/>
              <w:rPr>
                <w:color w:val="auto"/>
                <w:sz w:val="18"/>
                <w:szCs w:val="18"/>
              </w:rPr>
            </w:pPr>
            <w:r>
              <w:rPr>
                <w:rFonts w:hint="eastAsia"/>
                <w:color w:val="auto"/>
                <w:sz w:val="18"/>
                <w:szCs w:val="18"/>
              </w:rPr>
              <w:t>-</w:t>
            </w:r>
          </w:p>
        </w:tc>
        <w:tc>
          <w:tcPr>
            <w:tcW w:w="794" w:type="dxa"/>
            <w:vAlign w:val="center"/>
          </w:tcPr>
          <w:p w14:paraId="644F9550">
            <w:pPr>
              <w:jc w:val="center"/>
              <w:rPr>
                <w:rFonts w:hint="eastAsia" w:eastAsia="宋体"/>
                <w:color w:val="auto"/>
                <w:sz w:val="18"/>
                <w:szCs w:val="18"/>
                <w:lang w:eastAsia="zh-CN"/>
              </w:rPr>
            </w:pPr>
            <w:r>
              <w:rPr>
                <w:rFonts w:hint="eastAsia"/>
                <w:color w:val="auto"/>
                <w:sz w:val="18"/>
                <w:szCs w:val="18"/>
              </w:rPr>
              <w:t>-</w:t>
            </w:r>
          </w:p>
        </w:tc>
        <w:tc>
          <w:tcPr>
            <w:tcW w:w="829" w:type="dxa"/>
            <w:vAlign w:val="center"/>
          </w:tcPr>
          <w:p w14:paraId="1E4E65E7">
            <w:pPr>
              <w:jc w:val="center"/>
              <w:rPr>
                <w:color w:val="auto"/>
                <w:sz w:val="18"/>
                <w:szCs w:val="18"/>
              </w:rPr>
            </w:pPr>
            <w:r>
              <w:rPr>
                <w:rFonts w:hint="eastAsia"/>
                <w:color w:val="auto"/>
                <w:sz w:val="18"/>
                <w:szCs w:val="18"/>
              </w:rPr>
              <w:t>1</w:t>
            </w:r>
          </w:p>
        </w:tc>
        <w:tc>
          <w:tcPr>
            <w:tcW w:w="1606" w:type="dxa"/>
            <w:tcBorders>
              <w:bottom w:val="single" w:color="auto" w:sz="4" w:space="0"/>
            </w:tcBorders>
            <w:vAlign w:val="center"/>
          </w:tcPr>
          <w:p w14:paraId="705BC5E7">
            <w:pPr>
              <w:jc w:val="center"/>
              <w:rPr>
                <w:color w:val="auto"/>
                <w:sz w:val="18"/>
                <w:szCs w:val="18"/>
              </w:rPr>
            </w:pPr>
            <w:r>
              <w:rPr>
                <w:rFonts w:hint="eastAsia"/>
                <w:color w:val="auto"/>
                <w:sz w:val="18"/>
                <w:szCs w:val="18"/>
              </w:rPr>
              <w:t>-</w:t>
            </w:r>
          </w:p>
        </w:tc>
      </w:tr>
      <w:tr w14:paraId="2117AE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0" w:hRule="atLeast"/>
          <w:jc w:val="center"/>
        </w:trPr>
        <w:tc>
          <w:tcPr>
            <w:tcW w:w="571" w:type="dxa"/>
            <w:vMerge w:val="continue"/>
            <w:vAlign w:val="center"/>
          </w:tcPr>
          <w:p w14:paraId="7729CDD9">
            <w:pPr>
              <w:jc w:val="center"/>
              <w:rPr>
                <w:b/>
                <w:color w:val="auto"/>
                <w:sz w:val="18"/>
                <w:szCs w:val="18"/>
              </w:rPr>
            </w:pPr>
          </w:p>
        </w:tc>
        <w:tc>
          <w:tcPr>
            <w:tcW w:w="1311" w:type="dxa"/>
            <w:vMerge w:val="continue"/>
            <w:vAlign w:val="center"/>
          </w:tcPr>
          <w:p w14:paraId="4947492C">
            <w:pPr>
              <w:jc w:val="center"/>
              <w:rPr>
                <w:b/>
                <w:color w:val="auto"/>
                <w:sz w:val="18"/>
                <w:szCs w:val="18"/>
              </w:rPr>
            </w:pPr>
          </w:p>
        </w:tc>
        <w:tc>
          <w:tcPr>
            <w:tcW w:w="3258" w:type="dxa"/>
            <w:vAlign w:val="center"/>
          </w:tcPr>
          <w:p w14:paraId="03ED42D7">
            <w:pPr>
              <w:rPr>
                <w:rFonts w:hint="eastAsia"/>
                <w:color w:val="auto"/>
                <w:sz w:val="18"/>
                <w:szCs w:val="18"/>
              </w:rPr>
            </w:pPr>
            <w:r>
              <w:rPr>
                <w:color w:val="auto"/>
                <w:sz w:val="18"/>
                <w:szCs w:val="18"/>
              </w:rPr>
              <w:t>学术/实践活动</w:t>
            </w:r>
          </w:p>
        </w:tc>
        <w:tc>
          <w:tcPr>
            <w:tcW w:w="1172" w:type="dxa"/>
            <w:tcBorders>
              <w:top w:val="single" w:color="auto" w:sz="4" w:space="0"/>
              <w:right w:val="single" w:color="auto" w:sz="4" w:space="0"/>
            </w:tcBorders>
            <w:vAlign w:val="center"/>
          </w:tcPr>
          <w:p w14:paraId="5009BE9F">
            <w:pPr>
              <w:jc w:val="center"/>
              <w:rPr>
                <w:rFonts w:hint="eastAsia" w:eastAsia="宋体"/>
                <w:color w:val="auto"/>
                <w:sz w:val="18"/>
                <w:szCs w:val="18"/>
                <w:lang w:eastAsia="zh-CN"/>
              </w:rPr>
            </w:pPr>
            <w:r>
              <w:rPr>
                <w:rFonts w:hint="eastAsia"/>
                <w:color w:val="auto"/>
                <w:sz w:val="18"/>
                <w:szCs w:val="18"/>
              </w:rPr>
              <w:t>-</w:t>
            </w:r>
          </w:p>
        </w:tc>
        <w:tc>
          <w:tcPr>
            <w:tcW w:w="794" w:type="dxa"/>
            <w:tcBorders>
              <w:top w:val="single" w:color="auto" w:sz="4" w:space="0"/>
              <w:left w:val="single" w:color="auto" w:sz="4" w:space="0"/>
            </w:tcBorders>
            <w:vAlign w:val="center"/>
          </w:tcPr>
          <w:p w14:paraId="7A372E7C">
            <w:pPr>
              <w:jc w:val="center"/>
              <w:rPr>
                <w:rFonts w:hint="default"/>
                <w:color w:val="auto"/>
                <w:sz w:val="18"/>
                <w:szCs w:val="18"/>
                <w:lang w:val="en-US" w:eastAsia="zh-CN"/>
              </w:rPr>
            </w:pPr>
            <w:r>
              <w:rPr>
                <w:rFonts w:hint="eastAsia"/>
                <w:color w:val="auto"/>
                <w:sz w:val="18"/>
                <w:szCs w:val="18"/>
                <w:lang w:val="en-US" w:eastAsia="zh-CN"/>
              </w:rPr>
              <w:t>5</w:t>
            </w:r>
          </w:p>
        </w:tc>
        <w:tc>
          <w:tcPr>
            <w:tcW w:w="829" w:type="dxa"/>
            <w:tcBorders>
              <w:top w:val="single" w:color="auto" w:sz="4" w:space="0"/>
              <w:bottom w:val="single" w:color="auto" w:sz="4" w:space="0"/>
              <w:right w:val="single" w:color="auto" w:sz="4" w:space="0"/>
            </w:tcBorders>
            <w:vAlign w:val="center"/>
          </w:tcPr>
          <w:p w14:paraId="3D68D389">
            <w:pPr>
              <w:jc w:val="center"/>
              <w:rPr>
                <w:rFonts w:hint="eastAsia"/>
                <w:color w:val="auto"/>
                <w:sz w:val="18"/>
                <w:szCs w:val="18"/>
              </w:rPr>
            </w:pPr>
            <w:r>
              <w:rPr>
                <w:rFonts w:hint="default" w:ascii="Times New Roman" w:hAnsi="Times New Roman" w:eastAsia="宋体" w:cs="Times New Roman"/>
                <w:color w:val="auto"/>
                <w:sz w:val="18"/>
                <w:szCs w:val="18"/>
                <w:highlight w:val="none"/>
              </w:rPr>
              <w:t>1-3</w:t>
            </w:r>
          </w:p>
        </w:tc>
        <w:tc>
          <w:tcPr>
            <w:tcW w:w="1606" w:type="dxa"/>
            <w:tcBorders>
              <w:top w:val="single" w:color="auto" w:sz="4" w:space="0"/>
              <w:left w:val="single" w:color="auto" w:sz="4" w:space="0"/>
            </w:tcBorders>
            <w:vAlign w:val="center"/>
          </w:tcPr>
          <w:p w14:paraId="0582C9FD">
            <w:pPr>
              <w:jc w:val="center"/>
              <w:rPr>
                <w:color w:val="auto"/>
                <w:sz w:val="18"/>
                <w:szCs w:val="18"/>
              </w:rPr>
            </w:pPr>
            <w:r>
              <w:rPr>
                <w:rFonts w:hint="eastAsia"/>
                <w:color w:val="auto"/>
                <w:sz w:val="18"/>
                <w:szCs w:val="18"/>
              </w:rPr>
              <w:t>-</w:t>
            </w:r>
          </w:p>
        </w:tc>
      </w:tr>
      <w:tr w14:paraId="77C112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94" w:hRule="atLeast"/>
          <w:jc w:val="center"/>
        </w:trPr>
        <w:tc>
          <w:tcPr>
            <w:tcW w:w="571" w:type="dxa"/>
            <w:vMerge w:val="continue"/>
            <w:vAlign w:val="center"/>
          </w:tcPr>
          <w:p w14:paraId="76B27544">
            <w:pPr>
              <w:jc w:val="center"/>
              <w:rPr>
                <w:b/>
                <w:color w:val="auto"/>
                <w:sz w:val="18"/>
                <w:szCs w:val="18"/>
              </w:rPr>
            </w:pPr>
          </w:p>
        </w:tc>
        <w:tc>
          <w:tcPr>
            <w:tcW w:w="1311" w:type="dxa"/>
            <w:vMerge w:val="continue"/>
            <w:vAlign w:val="center"/>
          </w:tcPr>
          <w:p w14:paraId="2A7A0E69">
            <w:pPr>
              <w:jc w:val="center"/>
              <w:rPr>
                <w:b/>
                <w:color w:val="auto"/>
                <w:sz w:val="18"/>
                <w:szCs w:val="18"/>
              </w:rPr>
            </w:pPr>
          </w:p>
        </w:tc>
        <w:tc>
          <w:tcPr>
            <w:tcW w:w="3258" w:type="dxa"/>
            <w:tcBorders>
              <w:top w:val="single" w:color="auto" w:sz="4" w:space="0"/>
            </w:tcBorders>
            <w:vAlign w:val="center"/>
          </w:tcPr>
          <w:p w14:paraId="22C0795B">
            <w:pPr>
              <w:jc w:val="left"/>
              <w:rPr>
                <w:color w:val="auto"/>
                <w:sz w:val="18"/>
                <w:szCs w:val="18"/>
              </w:rPr>
            </w:pPr>
            <w:r>
              <w:rPr>
                <w:rFonts w:hint="eastAsia"/>
                <w:color w:val="auto"/>
                <w:sz w:val="18"/>
                <w:szCs w:val="18"/>
              </w:rPr>
              <w:t>案例研究与开发</w:t>
            </w:r>
          </w:p>
        </w:tc>
        <w:tc>
          <w:tcPr>
            <w:tcW w:w="1172" w:type="dxa"/>
            <w:tcBorders>
              <w:top w:val="single" w:color="auto" w:sz="4" w:space="0"/>
            </w:tcBorders>
            <w:vAlign w:val="center"/>
          </w:tcPr>
          <w:p w14:paraId="59E6D247">
            <w:pPr>
              <w:jc w:val="center"/>
              <w:rPr>
                <w:rFonts w:hint="eastAsia"/>
                <w:color w:val="auto"/>
                <w:sz w:val="18"/>
                <w:szCs w:val="18"/>
              </w:rPr>
            </w:pPr>
            <w:r>
              <w:rPr>
                <w:rFonts w:hint="eastAsia"/>
                <w:color w:val="auto"/>
                <w:sz w:val="18"/>
                <w:szCs w:val="18"/>
              </w:rPr>
              <w:t>-</w:t>
            </w:r>
          </w:p>
        </w:tc>
        <w:tc>
          <w:tcPr>
            <w:tcW w:w="794" w:type="dxa"/>
            <w:tcBorders>
              <w:top w:val="single" w:color="auto" w:sz="4" w:space="0"/>
            </w:tcBorders>
            <w:vAlign w:val="center"/>
          </w:tcPr>
          <w:p w14:paraId="520A1E01">
            <w:pPr>
              <w:jc w:val="center"/>
              <w:rPr>
                <w:rFonts w:hint="default"/>
                <w:color w:val="auto"/>
                <w:sz w:val="18"/>
                <w:szCs w:val="18"/>
                <w:lang w:val="en-US" w:eastAsia="zh-CN"/>
              </w:rPr>
            </w:pPr>
            <w:r>
              <w:rPr>
                <w:rFonts w:hint="eastAsia"/>
                <w:color w:val="auto"/>
                <w:sz w:val="18"/>
                <w:szCs w:val="18"/>
                <w:lang w:val="en-US" w:eastAsia="zh-CN"/>
              </w:rPr>
              <w:t>2</w:t>
            </w:r>
          </w:p>
        </w:tc>
        <w:tc>
          <w:tcPr>
            <w:tcW w:w="829" w:type="dxa"/>
            <w:tcBorders>
              <w:top w:val="single" w:color="auto" w:sz="4" w:space="0"/>
            </w:tcBorders>
            <w:vAlign w:val="center"/>
          </w:tcPr>
          <w:p w14:paraId="06D27AA4">
            <w:pPr>
              <w:jc w:val="center"/>
              <w:rPr>
                <w:rFonts w:hint="eastAsia"/>
                <w:color w:val="auto"/>
                <w:sz w:val="18"/>
                <w:szCs w:val="18"/>
                <w:lang w:val="en-US" w:eastAsia="zh-CN"/>
              </w:rPr>
            </w:pPr>
            <w:r>
              <w:rPr>
                <w:rFonts w:hint="eastAsia"/>
                <w:color w:val="auto"/>
                <w:sz w:val="18"/>
                <w:szCs w:val="18"/>
                <w:lang w:val="en-US" w:eastAsia="zh-CN"/>
              </w:rPr>
              <w:t>2</w:t>
            </w:r>
            <w:r>
              <w:rPr>
                <w:rFonts w:hint="eastAsia"/>
                <w:color w:val="auto"/>
                <w:sz w:val="18"/>
                <w:szCs w:val="18"/>
              </w:rPr>
              <w:t>-</w:t>
            </w:r>
            <w:r>
              <w:rPr>
                <w:rFonts w:hint="eastAsia"/>
                <w:color w:val="auto"/>
                <w:sz w:val="18"/>
                <w:szCs w:val="18"/>
                <w:lang w:val="en-US" w:eastAsia="zh-CN"/>
              </w:rPr>
              <w:t>3</w:t>
            </w:r>
          </w:p>
        </w:tc>
        <w:tc>
          <w:tcPr>
            <w:tcW w:w="1606" w:type="dxa"/>
            <w:tcBorders>
              <w:top w:val="single" w:color="auto" w:sz="4" w:space="0"/>
              <w:bottom w:val="single" w:color="auto" w:sz="4" w:space="0"/>
            </w:tcBorders>
            <w:vAlign w:val="center"/>
          </w:tcPr>
          <w:p w14:paraId="5D9B33E9">
            <w:pPr>
              <w:jc w:val="center"/>
              <w:rPr>
                <w:color w:val="auto"/>
                <w:sz w:val="18"/>
                <w:szCs w:val="18"/>
              </w:rPr>
            </w:pPr>
            <w:r>
              <w:rPr>
                <w:rFonts w:hint="eastAsia"/>
                <w:color w:val="auto"/>
                <w:sz w:val="18"/>
                <w:szCs w:val="18"/>
              </w:rPr>
              <w:t>-</w:t>
            </w:r>
          </w:p>
        </w:tc>
      </w:tr>
      <w:tr w14:paraId="70673D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F282EB0">
            <w:pPr>
              <w:rPr>
                <w:b/>
                <w:color w:val="auto"/>
                <w:sz w:val="18"/>
                <w:szCs w:val="18"/>
              </w:rPr>
            </w:pPr>
          </w:p>
        </w:tc>
        <w:tc>
          <w:tcPr>
            <w:tcW w:w="1311" w:type="dxa"/>
            <w:vMerge w:val="restart"/>
            <w:vAlign w:val="center"/>
          </w:tcPr>
          <w:p w14:paraId="7CAFC0EF">
            <w:pPr>
              <w:jc w:val="center"/>
              <w:rPr>
                <w:b/>
                <w:color w:val="auto"/>
                <w:sz w:val="18"/>
                <w:szCs w:val="18"/>
              </w:rPr>
            </w:pPr>
            <w:r>
              <w:rPr>
                <w:b/>
                <w:color w:val="auto"/>
                <w:sz w:val="18"/>
                <w:szCs w:val="18"/>
              </w:rPr>
              <w:t>学术训练</w:t>
            </w:r>
          </w:p>
        </w:tc>
        <w:tc>
          <w:tcPr>
            <w:tcW w:w="3258" w:type="dxa"/>
            <w:vAlign w:val="center"/>
          </w:tcPr>
          <w:p w14:paraId="2757B34C">
            <w:pPr>
              <w:rPr>
                <w:color w:val="auto"/>
                <w:sz w:val="18"/>
                <w:szCs w:val="18"/>
              </w:rPr>
            </w:pPr>
            <w:r>
              <w:rPr>
                <w:color w:val="auto"/>
                <w:sz w:val="18"/>
                <w:szCs w:val="18"/>
              </w:rPr>
              <w:t>中期筛选</w:t>
            </w:r>
          </w:p>
        </w:tc>
        <w:tc>
          <w:tcPr>
            <w:tcW w:w="1172" w:type="dxa"/>
            <w:vAlign w:val="center"/>
          </w:tcPr>
          <w:p w14:paraId="2302F839">
            <w:pPr>
              <w:jc w:val="center"/>
              <w:rPr>
                <w:color w:val="auto"/>
                <w:sz w:val="18"/>
                <w:szCs w:val="18"/>
              </w:rPr>
            </w:pPr>
            <w:r>
              <w:rPr>
                <w:rFonts w:hint="eastAsia"/>
                <w:color w:val="auto"/>
                <w:sz w:val="18"/>
                <w:szCs w:val="18"/>
              </w:rPr>
              <w:t>-</w:t>
            </w:r>
          </w:p>
        </w:tc>
        <w:tc>
          <w:tcPr>
            <w:tcW w:w="794" w:type="dxa"/>
            <w:vAlign w:val="center"/>
          </w:tcPr>
          <w:p w14:paraId="5F346772">
            <w:pPr>
              <w:jc w:val="center"/>
              <w:rPr>
                <w:color w:val="auto"/>
                <w:sz w:val="18"/>
                <w:szCs w:val="18"/>
              </w:rPr>
            </w:pPr>
            <w:r>
              <w:rPr>
                <w:rFonts w:hint="eastAsia"/>
                <w:color w:val="auto"/>
                <w:sz w:val="18"/>
                <w:szCs w:val="18"/>
              </w:rPr>
              <w:t>-</w:t>
            </w:r>
          </w:p>
        </w:tc>
        <w:tc>
          <w:tcPr>
            <w:tcW w:w="829" w:type="dxa"/>
            <w:vAlign w:val="center"/>
          </w:tcPr>
          <w:p w14:paraId="2CB06823">
            <w:pPr>
              <w:jc w:val="center"/>
              <w:rPr>
                <w:color w:val="auto"/>
                <w:sz w:val="18"/>
                <w:szCs w:val="18"/>
              </w:rPr>
            </w:pPr>
            <w:r>
              <w:rPr>
                <w:rFonts w:hint="eastAsia"/>
                <w:color w:val="auto"/>
                <w:sz w:val="18"/>
                <w:szCs w:val="18"/>
              </w:rPr>
              <w:t>3-</w:t>
            </w:r>
            <w:r>
              <w:rPr>
                <w:color w:val="auto"/>
                <w:sz w:val="18"/>
                <w:szCs w:val="18"/>
              </w:rPr>
              <w:t>4</w:t>
            </w:r>
          </w:p>
        </w:tc>
        <w:tc>
          <w:tcPr>
            <w:tcW w:w="1606" w:type="dxa"/>
            <w:vMerge w:val="restart"/>
            <w:tcBorders>
              <w:top w:val="single" w:color="auto" w:sz="4" w:space="0"/>
            </w:tcBorders>
            <w:vAlign w:val="center"/>
          </w:tcPr>
          <w:p w14:paraId="5E9EC697">
            <w:pPr>
              <w:jc w:val="center"/>
              <w:rPr>
                <w:color w:val="auto"/>
                <w:sz w:val="18"/>
                <w:szCs w:val="18"/>
              </w:rPr>
            </w:pPr>
            <w:r>
              <w:rPr>
                <w:color w:val="auto"/>
                <w:sz w:val="18"/>
                <w:szCs w:val="18"/>
              </w:rPr>
              <w:t>过程管理</w:t>
            </w:r>
          </w:p>
          <w:p w14:paraId="251CED27">
            <w:pPr>
              <w:jc w:val="center"/>
              <w:rPr>
                <w:color w:val="auto"/>
                <w:sz w:val="18"/>
                <w:szCs w:val="18"/>
              </w:rPr>
            </w:pPr>
            <w:r>
              <w:rPr>
                <w:color w:val="auto"/>
                <w:sz w:val="18"/>
                <w:szCs w:val="18"/>
              </w:rPr>
              <w:t>无学分</w:t>
            </w:r>
          </w:p>
        </w:tc>
      </w:tr>
      <w:tr w14:paraId="766B81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13AA05">
            <w:pPr>
              <w:rPr>
                <w:b/>
                <w:color w:val="auto"/>
                <w:sz w:val="18"/>
                <w:szCs w:val="18"/>
              </w:rPr>
            </w:pPr>
          </w:p>
        </w:tc>
        <w:tc>
          <w:tcPr>
            <w:tcW w:w="1311" w:type="dxa"/>
            <w:vMerge w:val="continue"/>
            <w:vAlign w:val="center"/>
          </w:tcPr>
          <w:p w14:paraId="5D1AC771">
            <w:pPr>
              <w:jc w:val="center"/>
              <w:rPr>
                <w:b/>
                <w:color w:val="auto"/>
                <w:sz w:val="18"/>
                <w:szCs w:val="18"/>
              </w:rPr>
            </w:pPr>
          </w:p>
        </w:tc>
        <w:tc>
          <w:tcPr>
            <w:tcW w:w="3258" w:type="dxa"/>
            <w:vAlign w:val="center"/>
          </w:tcPr>
          <w:p w14:paraId="2AC64699">
            <w:pPr>
              <w:rPr>
                <w:color w:val="auto"/>
                <w:sz w:val="18"/>
                <w:szCs w:val="18"/>
              </w:rPr>
            </w:pPr>
            <w:r>
              <w:rPr>
                <w:color w:val="auto"/>
                <w:sz w:val="18"/>
                <w:szCs w:val="18"/>
              </w:rPr>
              <w:t>论文开题</w:t>
            </w:r>
          </w:p>
        </w:tc>
        <w:tc>
          <w:tcPr>
            <w:tcW w:w="1172" w:type="dxa"/>
            <w:vAlign w:val="center"/>
          </w:tcPr>
          <w:p w14:paraId="0EE8A100">
            <w:pPr>
              <w:jc w:val="center"/>
              <w:rPr>
                <w:color w:val="auto"/>
                <w:sz w:val="18"/>
                <w:szCs w:val="18"/>
              </w:rPr>
            </w:pPr>
            <w:r>
              <w:rPr>
                <w:rFonts w:hint="eastAsia"/>
                <w:color w:val="auto"/>
                <w:sz w:val="18"/>
                <w:szCs w:val="18"/>
              </w:rPr>
              <w:t>-</w:t>
            </w:r>
          </w:p>
        </w:tc>
        <w:tc>
          <w:tcPr>
            <w:tcW w:w="794" w:type="dxa"/>
            <w:vAlign w:val="center"/>
          </w:tcPr>
          <w:p w14:paraId="6C57AF6B">
            <w:pPr>
              <w:jc w:val="center"/>
              <w:rPr>
                <w:color w:val="auto"/>
                <w:sz w:val="18"/>
                <w:szCs w:val="18"/>
              </w:rPr>
            </w:pPr>
            <w:r>
              <w:rPr>
                <w:rFonts w:hint="eastAsia"/>
                <w:color w:val="auto"/>
                <w:sz w:val="18"/>
                <w:szCs w:val="18"/>
              </w:rPr>
              <w:t>-</w:t>
            </w:r>
          </w:p>
        </w:tc>
        <w:tc>
          <w:tcPr>
            <w:tcW w:w="829" w:type="dxa"/>
            <w:vAlign w:val="center"/>
          </w:tcPr>
          <w:p w14:paraId="14EB5C77">
            <w:pPr>
              <w:jc w:val="center"/>
              <w:rPr>
                <w:color w:val="auto"/>
                <w:sz w:val="18"/>
                <w:szCs w:val="18"/>
              </w:rPr>
            </w:pPr>
            <w:r>
              <w:rPr>
                <w:rFonts w:hint="eastAsia"/>
                <w:color w:val="auto"/>
                <w:sz w:val="18"/>
                <w:szCs w:val="18"/>
              </w:rPr>
              <w:t>4</w:t>
            </w:r>
          </w:p>
        </w:tc>
        <w:tc>
          <w:tcPr>
            <w:tcW w:w="1606" w:type="dxa"/>
            <w:vMerge w:val="continue"/>
          </w:tcPr>
          <w:p w14:paraId="6EF21BB3">
            <w:pPr>
              <w:jc w:val="center"/>
              <w:rPr>
                <w:color w:val="auto"/>
                <w:sz w:val="18"/>
                <w:szCs w:val="18"/>
              </w:rPr>
            </w:pPr>
          </w:p>
        </w:tc>
      </w:tr>
      <w:tr w14:paraId="2BC187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2" w:hRule="atLeast"/>
          <w:jc w:val="center"/>
        </w:trPr>
        <w:tc>
          <w:tcPr>
            <w:tcW w:w="571" w:type="dxa"/>
            <w:vMerge w:val="continue"/>
          </w:tcPr>
          <w:p w14:paraId="104E1BD7">
            <w:pPr>
              <w:rPr>
                <w:color w:val="auto"/>
                <w:sz w:val="18"/>
                <w:szCs w:val="18"/>
              </w:rPr>
            </w:pPr>
          </w:p>
        </w:tc>
        <w:tc>
          <w:tcPr>
            <w:tcW w:w="1311" w:type="dxa"/>
            <w:vMerge w:val="continue"/>
          </w:tcPr>
          <w:p w14:paraId="1157EBA2">
            <w:pPr>
              <w:jc w:val="center"/>
              <w:rPr>
                <w:color w:val="auto"/>
                <w:sz w:val="18"/>
                <w:szCs w:val="18"/>
              </w:rPr>
            </w:pPr>
          </w:p>
        </w:tc>
        <w:tc>
          <w:tcPr>
            <w:tcW w:w="3258" w:type="dxa"/>
            <w:tcBorders>
              <w:bottom w:val="single" w:color="auto" w:sz="4" w:space="0"/>
            </w:tcBorders>
            <w:vAlign w:val="center"/>
          </w:tcPr>
          <w:p w14:paraId="291CFB92">
            <w:pPr>
              <w:rPr>
                <w:color w:val="auto"/>
                <w:sz w:val="18"/>
                <w:szCs w:val="18"/>
              </w:rPr>
            </w:pPr>
            <w:r>
              <w:rPr>
                <w:color w:val="auto"/>
                <w:sz w:val="18"/>
                <w:szCs w:val="18"/>
              </w:rPr>
              <w:t>论文中期进展报告</w:t>
            </w:r>
          </w:p>
        </w:tc>
        <w:tc>
          <w:tcPr>
            <w:tcW w:w="1172" w:type="dxa"/>
            <w:tcBorders>
              <w:bottom w:val="single" w:color="auto" w:sz="4" w:space="0"/>
            </w:tcBorders>
            <w:vAlign w:val="center"/>
          </w:tcPr>
          <w:p w14:paraId="528B056B">
            <w:pPr>
              <w:jc w:val="center"/>
              <w:rPr>
                <w:color w:val="auto"/>
                <w:sz w:val="18"/>
                <w:szCs w:val="18"/>
              </w:rPr>
            </w:pPr>
            <w:r>
              <w:rPr>
                <w:rFonts w:hint="eastAsia"/>
                <w:color w:val="auto"/>
                <w:sz w:val="18"/>
                <w:szCs w:val="18"/>
              </w:rPr>
              <w:t>-</w:t>
            </w:r>
          </w:p>
        </w:tc>
        <w:tc>
          <w:tcPr>
            <w:tcW w:w="794" w:type="dxa"/>
            <w:tcBorders>
              <w:bottom w:val="single" w:color="auto" w:sz="4" w:space="0"/>
            </w:tcBorders>
            <w:vAlign w:val="center"/>
          </w:tcPr>
          <w:p w14:paraId="745FF9C9">
            <w:pPr>
              <w:jc w:val="center"/>
              <w:rPr>
                <w:color w:val="auto"/>
                <w:sz w:val="18"/>
                <w:szCs w:val="18"/>
              </w:rPr>
            </w:pPr>
            <w:r>
              <w:rPr>
                <w:rFonts w:hint="eastAsia"/>
                <w:color w:val="auto"/>
                <w:sz w:val="18"/>
                <w:szCs w:val="18"/>
              </w:rPr>
              <w:t>-</w:t>
            </w:r>
          </w:p>
        </w:tc>
        <w:tc>
          <w:tcPr>
            <w:tcW w:w="829" w:type="dxa"/>
            <w:tcBorders>
              <w:bottom w:val="single" w:color="auto" w:sz="4" w:space="0"/>
            </w:tcBorders>
            <w:vAlign w:val="center"/>
          </w:tcPr>
          <w:p w14:paraId="54D64972">
            <w:pPr>
              <w:jc w:val="center"/>
              <w:rPr>
                <w:rFonts w:hint="eastAsia" w:eastAsia="宋体"/>
                <w:color w:val="auto"/>
                <w:sz w:val="18"/>
                <w:szCs w:val="18"/>
                <w:lang w:eastAsia="zh-CN"/>
              </w:rPr>
            </w:pPr>
            <w:r>
              <w:rPr>
                <w:rFonts w:hint="eastAsia"/>
                <w:color w:val="auto"/>
                <w:sz w:val="18"/>
                <w:szCs w:val="18"/>
                <w:lang w:val="en-US" w:eastAsia="zh-CN"/>
              </w:rPr>
              <w:t>5</w:t>
            </w:r>
          </w:p>
        </w:tc>
        <w:tc>
          <w:tcPr>
            <w:tcW w:w="1606" w:type="dxa"/>
            <w:vMerge w:val="continue"/>
          </w:tcPr>
          <w:p w14:paraId="662E5E20">
            <w:pPr>
              <w:jc w:val="center"/>
              <w:rPr>
                <w:color w:val="auto"/>
                <w:sz w:val="18"/>
                <w:szCs w:val="18"/>
              </w:rPr>
            </w:pPr>
          </w:p>
        </w:tc>
      </w:tr>
      <w:tr w14:paraId="065B6A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53" w:hRule="atLeast"/>
          <w:jc w:val="center"/>
        </w:trPr>
        <w:tc>
          <w:tcPr>
            <w:tcW w:w="571" w:type="dxa"/>
            <w:vMerge w:val="continue"/>
          </w:tcPr>
          <w:p w14:paraId="4106D3D3">
            <w:pPr>
              <w:rPr>
                <w:color w:val="auto"/>
                <w:sz w:val="18"/>
                <w:szCs w:val="18"/>
              </w:rPr>
            </w:pPr>
          </w:p>
        </w:tc>
        <w:tc>
          <w:tcPr>
            <w:tcW w:w="1311" w:type="dxa"/>
            <w:vMerge w:val="continue"/>
          </w:tcPr>
          <w:p w14:paraId="784CDE09">
            <w:pPr>
              <w:jc w:val="center"/>
              <w:rPr>
                <w:color w:val="auto"/>
                <w:sz w:val="18"/>
                <w:szCs w:val="18"/>
              </w:rPr>
            </w:pPr>
          </w:p>
        </w:tc>
        <w:tc>
          <w:tcPr>
            <w:tcW w:w="3258" w:type="dxa"/>
            <w:tcBorders>
              <w:top w:val="single" w:color="auto" w:sz="4" w:space="0"/>
              <w:bottom w:val="single" w:color="auto" w:sz="4" w:space="0"/>
            </w:tcBorders>
            <w:vAlign w:val="center"/>
          </w:tcPr>
          <w:p w14:paraId="03DD1214">
            <w:pPr>
              <w:rPr>
                <w:rFonts w:hint="eastAsia"/>
                <w:color w:val="auto"/>
                <w:sz w:val="18"/>
                <w:szCs w:val="18"/>
              </w:rPr>
            </w:pPr>
            <w:r>
              <w:rPr>
                <w:color w:val="auto"/>
                <w:sz w:val="18"/>
                <w:szCs w:val="18"/>
              </w:rPr>
              <w:t>论文预答辩</w:t>
            </w:r>
          </w:p>
        </w:tc>
        <w:tc>
          <w:tcPr>
            <w:tcW w:w="1172" w:type="dxa"/>
            <w:tcBorders>
              <w:top w:val="single" w:color="auto" w:sz="4" w:space="0"/>
              <w:bottom w:val="single" w:color="auto" w:sz="4" w:space="0"/>
            </w:tcBorders>
            <w:vAlign w:val="center"/>
          </w:tcPr>
          <w:p w14:paraId="517BB41B">
            <w:pPr>
              <w:jc w:val="center"/>
              <w:rPr>
                <w:rFonts w:hint="eastAsia"/>
                <w:color w:val="auto"/>
                <w:sz w:val="18"/>
                <w:szCs w:val="18"/>
              </w:rPr>
            </w:pPr>
            <w:r>
              <w:rPr>
                <w:rFonts w:hint="eastAsia"/>
                <w:color w:val="auto"/>
                <w:sz w:val="18"/>
                <w:szCs w:val="18"/>
              </w:rPr>
              <w:t>-</w:t>
            </w:r>
          </w:p>
        </w:tc>
        <w:tc>
          <w:tcPr>
            <w:tcW w:w="794" w:type="dxa"/>
            <w:tcBorders>
              <w:top w:val="single" w:color="auto" w:sz="4" w:space="0"/>
              <w:bottom w:val="single" w:color="auto" w:sz="4" w:space="0"/>
            </w:tcBorders>
            <w:vAlign w:val="center"/>
          </w:tcPr>
          <w:p w14:paraId="6BC3C147">
            <w:pPr>
              <w:jc w:val="center"/>
              <w:rPr>
                <w:rFonts w:hint="eastAsia"/>
                <w:color w:val="auto"/>
                <w:sz w:val="18"/>
                <w:szCs w:val="18"/>
              </w:rPr>
            </w:pPr>
            <w:r>
              <w:rPr>
                <w:rFonts w:hint="eastAsia"/>
                <w:color w:val="auto"/>
                <w:sz w:val="18"/>
                <w:szCs w:val="18"/>
              </w:rPr>
              <w:t>-</w:t>
            </w:r>
          </w:p>
        </w:tc>
        <w:tc>
          <w:tcPr>
            <w:tcW w:w="829" w:type="dxa"/>
            <w:tcBorders>
              <w:top w:val="single" w:color="auto" w:sz="4" w:space="0"/>
              <w:bottom w:val="single" w:color="auto" w:sz="4" w:space="0"/>
            </w:tcBorders>
            <w:vAlign w:val="center"/>
          </w:tcPr>
          <w:p w14:paraId="026578E8">
            <w:pPr>
              <w:jc w:val="center"/>
              <w:rPr>
                <w:rFonts w:hint="eastAsia" w:eastAsia="宋体"/>
                <w:color w:val="auto"/>
                <w:sz w:val="18"/>
                <w:szCs w:val="18"/>
                <w:lang w:val="en-US" w:eastAsia="zh-CN"/>
              </w:rPr>
            </w:pPr>
            <w:r>
              <w:rPr>
                <w:rFonts w:hint="eastAsia"/>
                <w:color w:val="auto"/>
                <w:sz w:val="18"/>
                <w:szCs w:val="18"/>
                <w:lang w:val="en-US" w:eastAsia="zh-CN"/>
              </w:rPr>
              <w:t>6</w:t>
            </w:r>
          </w:p>
        </w:tc>
        <w:tc>
          <w:tcPr>
            <w:tcW w:w="1606" w:type="dxa"/>
            <w:vMerge w:val="continue"/>
          </w:tcPr>
          <w:p w14:paraId="2755037B">
            <w:pPr>
              <w:jc w:val="center"/>
              <w:rPr>
                <w:color w:val="auto"/>
                <w:sz w:val="18"/>
                <w:szCs w:val="18"/>
              </w:rPr>
            </w:pPr>
          </w:p>
        </w:tc>
      </w:tr>
      <w:tr w14:paraId="4DD0F1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9" w:hRule="atLeast"/>
          <w:jc w:val="center"/>
        </w:trPr>
        <w:tc>
          <w:tcPr>
            <w:tcW w:w="571" w:type="dxa"/>
            <w:vMerge w:val="continue"/>
          </w:tcPr>
          <w:p w14:paraId="1415A785">
            <w:pPr>
              <w:rPr>
                <w:color w:val="auto"/>
                <w:sz w:val="18"/>
                <w:szCs w:val="18"/>
              </w:rPr>
            </w:pPr>
          </w:p>
        </w:tc>
        <w:tc>
          <w:tcPr>
            <w:tcW w:w="1311" w:type="dxa"/>
            <w:vMerge w:val="continue"/>
          </w:tcPr>
          <w:p w14:paraId="552DFF57">
            <w:pPr>
              <w:jc w:val="center"/>
              <w:rPr>
                <w:color w:val="auto"/>
                <w:sz w:val="18"/>
                <w:szCs w:val="18"/>
              </w:rPr>
            </w:pPr>
          </w:p>
        </w:tc>
        <w:tc>
          <w:tcPr>
            <w:tcW w:w="3258" w:type="dxa"/>
            <w:tcBorders>
              <w:top w:val="single" w:color="auto" w:sz="4" w:space="0"/>
            </w:tcBorders>
            <w:vAlign w:val="center"/>
          </w:tcPr>
          <w:p w14:paraId="210284E0">
            <w:pPr>
              <w:rPr>
                <w:rFonts w:hint="eastAsia"/>
                <w:color w:val="auto"/>
                <w:sz w:val="18"/>
                <w:szCs w:val="18"/>
              </w:rPr>
            </w:pPr>
            <w:r>
              <w:rPr>
                <w:color w:val="auto"/>
                <w:sz w:val="18"/>
                <w:szCs w:val="18"/>
              </w:rPr>
              <w:t>论文评审</w:t>
            </w:r>
          </w:p>
        </w:tc>
        <w:tc>
          <w:tcPr>
            <w:tcW w:w="1172" w:type="dxa"/>
            <w:tcBorders>
              <w:top w:val="single" w:color="auto" w:sz="4" w:space="0"/>
            </w:tcBorders>
            <w:vAlign w:val="center"/>
          </w:tcPr>
          <w:p w14:paraId="6C169B02">
            <w:pPr>
              <w:jc w:val="center"/>
              <w:rPr>
                <w:rFonts w:hint="eastAsia"/>
                <w:color w:val="auto"/>
                <w:sz w:val="18"/>
                <w:szCs w:val="18"/>
              </w:rPr>
            </w:pPr>
            <w:r>
              <w:rPr>
                <w:rFonts w:hint="eastAsia"/>
                <w:color w:val="auto"/>
                <w:sz w:val="18"/>
                <w:szCs w:val="18"/>
              </w:rPr>
              <w:t>-</w:t>
            </w:r>
          </w:p>
        </w:tc>
        <w:tc>
          <w:tcPr>
            <w:tcW w:w="794" w:type="dxa"/>
            <w:tcBorders>
              <w:top w:val="single" w:color="auto" w:sz="4" w:space="0"/>
            </w:tcBorders>
            <w:vAlign w:val="center"/>
          </w:tcPr>
          <w:p w14:paraId="6F96E644">
            <w:pPr>
              <w:jc w:val="center"/>
              <w:rPr>
                <w:rFonts w:hint="eastAsia"/>
                <w:color w:val="auto"/>
                <w:sz w:val="18"/>
                <w:szCs w:val="18"/>
              </w:rPr>
            </w:pPr>
            <w:r>
              <w:rPr>
                <w:rFonts w:hint="eastAsia"/>
                <w:color w:val="auto"/>
                <w:sz w:val="18"/>
                <w:szCs w:val="18"/>
              </w:rPr>
              <w:t>-</w:t>
            </w:r>
          </w:p>
        </w:tc>
        <w:tc>
          <w:tcPr>
            <w:tcW w:w="829" w:type="dxa"/>
            <w:tcBorders>
              <w:top w:val="single" w:color="auto" w:sz="4" w:space="0"/>
            </w:tcBorders>
            <w:vAlign w:val="center"/>
          </w:tcPr>
          <w:p w14:paraId="0FE803A8">
            <w:pPr>
              <w:jc w:val="center"/>
              <w:rPr>
                <w:rFonts w:hint="eastAsia" w:eastAsia="宋体"/>
                <w:color w:val="auto"/>
                <w:sz w:val="18"/>
                <w:szCs w:val="18"/>
                <w:lang w:val="en-US" w:eastAsia="zh-CN"/>
              </w:rPr>
            </w:pPr>
            <w:r>
              <w:rPr>
                <w:rFonts w:hint="eastAsia"/>
                <w:color w:val="auto"/>
                <w:sz w:val="18"/>
                <w:szCs w:val="18"/>
                <w:lang w:val="en-US" w:eastAsia="zh-CN"/>
              </w:rPr>
              <w:t>6</w:t>
            </w:r>
          </w:p>
        </w:tc>
        <w:tc>
          <w:tcPr>
            <w:tcW w:w="1606" w:type="dxa"/>
            <w:vMerge w:val="continue"/>
          </w:tcPr>
          <w:p w14:paraId="1FA18731">
            <w:pPr>
              <w:jc w:val="center"/>
              <w:rPr>
                <w:color w:val="auto"/>
                <w:sz w:val="18"/>
                <w:szCs w:val="18"/>
              </w:rPr>
            </w:pPr>
          </w:p>
        </w:tc>
      </w:tr>
      <w:tr w14:paraId="5FCF97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987160">
            <w:pPr>
              <w:rPr>
                <w:color w:val="auto"/>
                <w:sz w:val="18"/>
                <w:szCs w:val="18"/>
              </w:rPr>
            </w:pPr>
          </w:p>
        </w:tc>
        <w:tc>
          <w:tcPr>
            <w:tcW w:w="1311" w:type="dxa"/>
            <w:vMerge w:val="continue"/>
          </w:tcPr>
          <w:p w14:paraId="73A598DC">
            <w:pPr>
              <w:jc w:val="center"/>
              <w:rPr>
                <w:color w:val="auto"/>
                <w:sz w:val="18"/>
                <w:szCs w:val="18"/>
              </w:rPr>
            </w:pPr>
          </w:p>
        </w:tc>
        <w:tc>
          <w:tcPr>
            <w:tcW w:w="3258" w:type="dxa"/>
            <w:vAlign w:val="center"/>
          </w:tcPr>
          <w:p w14:paraId="3F5ABB5A">
            <w:pPr>
              <w:rPr>
                <w:color w:val="auto"/>
                <w:sz w:val="18"/>
                <w:szCs w:val="18"/>
              </w:rPr>
            </w:pPr>
            <w:r>
              <w:rPr>
                <w:color w:val="auto"/>
                <w:sz w:val="18"/>
                <w:szCs w:val="18"/>
              </w:rPr>
              <w:t>论文答辩</w:t>
            </w:r>
          </w:p>
        </w:tc>
        <w:tc>
          <w:tcPr>
            <w:tcW w:w="1172" w:type="dxa"/>
            <w:vAlign w:val="center"/>
          </w:tcPr>
          <w:p w14:paraId="02A0FE5B">
            <w:pPr>
              <w:jc w:val="center"/>
              <w:rPr>
                <w:color w:val="auto"/>
                <w:sz w:val="18"/>
                <w:szCs w:val="18"/>
              </w:rPr>
            </w:pPr>
            <w:r>
              <w:rPr>
                <w:rFonts w:hint="eastAsia"/>
                <w:color w:val="auto"/>
                <w:sz w:val="18"/>
                <w:szCs w:val="18"/>
              </w:rPr>
              <w:t>-</w:t>
            </w:r>
          </w:p>
        </w:tc>
        <w:tc>
          <w:tcPr>
            <w:tcW w:w="794" w:type="dxa"/>
            <w:vAlign w:val="center"/>
          </w:tcPr>
          <w:p w14:paraId="0CCF09E5">
            <w:pPr>
              <w:jc w:val="center"/>
              <w:rPr>
                <w:color w:val="auto"/>
                <w:sz w:val="18"/>
                <w:szCs w:val="18"/>
              </w:rPr>
            </w:pPr>
            <w:r>
              <w:rPr>
                <w:rFonts w:hint="eastAsia"/>
                <w:color w:val="auto"/>
                <w:sz w:val="18"/>
                <w:szCs w:val="18"/>
              </w:rPr>
              <w:t>-</w:t>
            </w:r>
          </w:p>
        </w:tc>
        <w:tc>
          <w:tcPr>
            <w:tcW w:w="829" w:type="dxa"/>
            <w:vAlign w:val="center"/>
          </w:tcPr>
          <w:p w14:paraId="73E13D04">
            <w:pPr>
              <w:jc w:val="center"/>
              <w:rPr>
                <w:color w:val="auto"/>
                <w:sz w:val="18"/>
                <w:szCs w:val="18"/>
              </w:rPr>
            </w:pPr>
            <w:r>
              <w:rPr>
                <w:rFonts w:hint="eastAsia"/>
                <w:color w:val="auto"/>
                <w:sz w:val="18"/>
                <w:szCs w:val="18"/>
              </w:rPr>
              <w:t>6</w:t>
            </w:r>
          </w:p>
        </w:tc>
        <w:tc>
          <w:tcPr>
            <w:tcW w:w="1606" w:type="dxa"/>
            <w:vMerge w:val="continue"/>
            <w:tcBorders>
              <w:bottom w:val="single" w:color="auto" w:sz="12" w:space="0"/>
            </w:tcBorders>
          </w:tcPr>
          <w:p w14:paraId="3CBEAC35">
            <w:pPr>
              <w:jc w:val="center"/>
              <w:rPr>
                <w:color w:val="auto"/>
                <w:sz w:val="18"/>
                <w:szCs w:val="18"/>
              </w:rPr>
            </w:pPr>
          </w:p>
        </w:tc>
      </w:tr>
    </w:tbl>
    <w:p w14:paraId="1131C270">
      <w:pPr>
        <w:spacing w:line="440" w:lineRule="exact"/>
        <w:ind w:firstLine="480" w:firstLineChars="200"/>
        <w:rPr>
          <w:rFonts w:eastAsiaTheme="minorEastAsia"/>
          <w:bCs/>
          <w:color w:val="auto"/>
          <w:sz w:val="24"/>
        </w:rPr>
      </w:pPr>
      <w:r>
        <w:rPr>
          <w:rFonts w:eastAsiaTheme="minorEastAsia"/>
          <w:bCs/>
          <w:color w:val="auto"/>
          <w:sz w:val="24"/>
        </w:rPr>
        <w:t>*公共外语课程按入学时的外国语考试科目修读相关语种。</w:t>
      </w:r>
    </w:p>
    <w:p w14:paraId="756F3C2E">
      <w:pPr>
        <w:spacing w:line="440" w:lineRule="exact"/>
        <w:ind w:firstLine="562" w:firstLineChars="200"/>
        <w:rPr>
          <w:rFonts w:eastAsia="黑体"/>
          <w:b/>
          <w:bCs w:val="0"/>
          <w:color w:val="auto"/>
          <w:sz w:val="28"/>
          <w:szCs w:val="28"/>
        </w:rPr>
      </w:pPr>
      <w:r>
        <w:rPr>
          <w:rFonts w:eastAsia="黑体"/>
          <w:b/>
          <w:bCs w:val="0"/>
          <w:color w:val="auto"/>
          <w:sz w:val="28"/>
          <w:szCs w:val="28"/>
        </w:rPr>
        <w:t>十</w:t>
      </w:r>
      <w:r>
        <w:rPr>
          <w:rFonts w:hint="eastAsia" w:eastAsia="黑体"/>
          <w:b/>
          <w:bCs w:val="0"/>
          <w:color w:val="auto"/>
          <w:sz w:val="28"/>
          <w:szCs w:val="28"/>
        </w:rPr>
        <w:t>三</w:t>
      </w:r>
      <w:r>
        <w:rPr>
          <w:rFonts w:eastAsia="黑体"/>
          <w:b/>
          <w:bCs w:val="0"/>
          <w:color w:val="auto"/>
          <w:sz w:val="28"/>
          <w:szCs w:val="28"/>
        </w:rPr>
        <w:t>、其他需要说明事项</w:t>
      </w:r>
    </w:p>
    <w:p w14:paraId="36FD231E">
      <w:pPr>
        <w:spacing w:line="440" w:lineRule="exact"/>
        <w:ind w:firstLine="480" w:firstLineChars="200"/>
        <w:rPr>
          <w:rFonts w:eastAsiaTheme="minorEastAsia"/>
          <w:bCs/>
          <w:color w:val="auto"/>
          <w:sz w:val="24"/>
        </w:rPr>
      </w:pPr>
      <w:r>
        <w:rPr>
          <w:rFonts w:eastAsiaTheme="minorEastAsia"/>
          <w:bCs/>
          <w:color w:val="auto"/>
          <w:sz w:val="24"/>
        </w:rPr>
        <w:t>1</w:t>
      </w:r>
      <w:r>
        <w:rPr>
          <w:rFonts w:asciiTheme="minorEastAsia" w:hAnsiTheme="minorEastAsia" w:eastAsiaTheme="minorEastAsia"/>
          <w:b w:val="0"/>
          <w:bCs w:val="0"/>
          <w:iCs/>
          <w:color w:val="auto"/>
          <w:sz w:val="24"/>
        </w:rPr>
        <w:t>.</w:t>
      </w:r>
      <w:r>
        <w:rPr>
          <w:rFonts w:eastAsiaTheme="minorEastAsia"/>
          <w:bCs/>
          <w:color w:val="auto"/>
          <w:sz w:val="24"/>
        </w:rPr>
        <w:t>非学位课中的方向选修课模块由各培养单位自行设置，并给出具体选修学分要求。</w:t>
      </w:r>
    </w:p>
    <w:p w14:paraId="5999964B">
      <w:pPr>
        <w:spacing w:line="440" w:lineRule="exact"/>
        <w:ind w:firstLine="480" w:firstLineChars="200"/>
        <w:rPr>
          <w:rFonts w:eastAsiaTheme="minorEastAsia"/>
          <w:bCs/>
          <w:color w:val="auto"/>
          <w:sz w:val="24"/>
        </w:rPr>
      </w:pPr>
      <w:r>
        <w:rPr>
          <w:rFonts w:eastAsiaTheme="minorEastAsia"/>
          <w:bCs/>
          <w:color w:val="auto"/>
          <w:sz w:val="24"/>
        </w:rPr>
        <w:t>2</w:t>
      </w:r>
      <w:r>
        <w:rPr>
          <w:rFonts w:asciiTheme="minorEastAsia" w:hAnsiTheme="minorEastAsia" w:eastAsiaTheme="minorEastAsia"/>
          <w:b w:val="0"/>
          <w:bCs w:val="0"/>
          <w:iCs/>
          <w:color w:val="auto"/>
          <w:sz w:val="24"/>
        </w:rPr>
        <w:t>.</w:t>
      </w:r>
      <w:r>
        <w:rPr>
          <w:rFonts w:eastAsiaTheme="minorEastAsia"/>
          <w:bCs/>
          <w:color w:val="auto"/>
          <w:sz w:val="24"/>
        </w:rPr>
        <w:t>毕业总学分：</w:t>
      </w:r>
      <w:r>
        <w:rPr>
          <w:rFonts w:hint="eastAsia" w:eastAsiaTheme="minorEastAsia"/>
          <w:bCs/>
          <w:color w:val="auto"/>
          <w:sz w:val="24"/>
        </w:rPr>
        <w:t>学位课</w:t>
      </w:r>
      <w:r>
        <w:rPr>
          <w:rFonts w:eastAsiaTheme="minorEastAsia"/>
          <w:bCs/>
          <w:color w:val="auto"/>
          <w:sz w:val="24"/>
        </w:rPr>
        <w:t>+</w:t>
      </w:r>
      <w:r>
        <w:rPr>
          <w:rFonts w:hint="eastAsia" w:eastAsiaTheme="minorEastAsia"/>
          <w:bCs/>
          <w:color w:val="auto"/>
          <w:sz w:val="24"/>
        </w:rPr>
        <w:t>非学位课</w:t>
      </w:r>
      <w:r>
        <w:rPr>
          <w:rFonts w:eastAsiaTheme="minorEastAsia"/>
          <w:bCs/>
          <w:color w:val="auto"/>
          <w:sz w:val="24"/>
        </w:rPr>
        <w:t>+必修环节。</w:t>
      </w:r>
    </w:p>
    <w:p w14:paraId="5A03378E">
      <w:pPr>
        <w:spacing w:line="440" w:lineRule="exact"/>
        <w:ind w:firstLine="480" w:firstLineChars="200"/>
        <w:rPr>
          <w:rFonts w:hint="eastAsia" w:eastAsiaTheme="minorEastAsia"/>
          <w:bCs/>
          <w:color w:val="auto"/>
          <w:sz w:val="24"/>
          <w:lang w:val="en-US" w:eastAsia="zh-CN"/>
        </w:rPr>
      </w:pPr>
      <w:r>
        <w:rPr>
          <w:rFonts w:hint="eastAsia" w:eastAsiaTheme="minorEastAsia"/>
          <w:bCs/>
          <w:color w:val="auto"/>
          <w:sz w:val="24"/>
          <w:lang w:val="en-US" w:eastAsia="zh-CN"/>
        </w:rPr>
        <w:t>3.</w:t>
      </w:r>
      <w:r>
        <w:rPr>
          <w:rFonts w:eastAsiaTheme="minorEastAsia"/>
          <w:bCs/>
          <w:color w:val="auto"/>
          <w:sz w:val="24"/>
        </w:rPr>
        <w:t>学术/实践活动</w:t>
      </w:r>
      <w:r>
        <w:rPr>
          <w:rFonts w:hint="eastAsia" w:eastAsiaTheme="minorEastAsia"/>
          <w:bCs/>
          <w:color w:val="auto"/>
          <w:sz w:val="24"/>
          <w:lang w:eastAsia="zh-CN"/>
        </w:rPr>
        <w:t>：</w:t>
      </w:r>
      <w:r>
        <w:rPr>
          <w:rFonts w:eastAsiaTheme="minorEastAsia"/>
          <w:bCs/>
          <w:color w:val="auto"/>
          <w:sz w:val="24"/>
        </w:rPr>
        <w:t>实践活动</w:t>
      </w:r>
      <w:r>
        <w:rPr>
          <w:rFonts w:hint="default" w:eastAsiaTheme="minorEastAsia"/>
          <w:bCs/>
          <w:color w:val="auto"/>
          <w:sz w:val="24"/>
        </w:rPr>
        <w:t>必须保证不少于半年的实习实践，可采用集中实践与分段实践相结合的方式。应提交实践计划，撰写实践总结报告，实践表由实践单位盖章认定通过后获得相应学分。</w:t>
      </w:r>
      <w:r>
        <w:rPr>
          <w:rFonts w:hint="eastAsia" w:eastAsiaTheme="minorEastAsia"/>
          <w:bCs/>
          <w:color w:val="auto"/>
          <w:sz w:val="24"/>
          <w:lang w:val="en-US" w:eastAsia="zh-CN"/>
        </w:rPr>
        <w:t>学术报告必须参加10次并提交总结方可获得相应学分。其中以主讲人或宣讲人身份，参加在校内外举行的学术报告或学术讲座不少于1次。</w:t>
      </w:r>
    </w:p>
    <w:p w14:paraId="2B1F5E2F">
      <w:pPr>
        <w:spacing w:line="440" w:lineRule="exact"/>
        <w:ind w:firstLine="480" w:firstLineChars="200"/>
        <w:rPr>
          <w:rFonts w:hint="eastAsia" w:eastAsiaTheme="minorEastAsia"/>
          <w:bCs/>
          <w:color w:val="auto"/>
          <w:sz w:val="24"/>
          <w:lang w:val="en-US" w:eastAsia="zh-CN"/>
        </w:rPr>
      </w:pPr>
      <w:r>
        <w:rPr>
          <w:rFonts w:hint="eastAsia" w:eastAsiaTheme="minorEastAsia"/>
          <w:bCs/>
          <w:color w:val="auto"/>
          <w:sz w:val="24"/>
          <w:lang w:val="en-US" w:eastAsia="zh-CN"/>
        </w:rPr>
        <w:t>4.</w:t>
      </w:r>
      <w:r>
        <w:rPr>
          <w:rFonts w:hint="eastAsia" w:eastAsiaTheme="minorEastAsia"/>
          <w:bCs/>
          <w:color w:val="auto"/>
          <w:sz w:val="24"/>
        </w:rPr>
        <w:t>案例研究与开发</w:t>
      </w:r>
      <w:r>
        <w:rPr>
          <w:rFonts w:hint="eastAsia" w:eastAsiaTheme="minorEastAsia"/>
          <w:bCs/>
          <w:color w:val="auto"/>
          <w:sz w:val="24"/>
          <w:lang w:eastAsia="zh-CN"/>
        </w:rPr>
        <w:t>：</w:t>
      </w:r>
      <w:r>
        <w:rPr>
          <w:rFonts w:hint="default" w:eastAsiaTheme="minorEastAsia"/>
          <w:bCs/>
          <w:color w:val="auto"/>
          <w:sz w:val="24"/>
        </w:rPr>
        <w:t>在学习期间必须参与案例研究与开发活动，包括但不限于参加</w:t>
      </w:r>
      <w:r>
        <w:rPr>
          <w:rFonts w:hint="eastAsia" w:eastAsiaTheme="minorEastAsia"/>
          <w:bCs/>
          <w:color w:val="auto"/>
          <w:sz w:val="24"/>
          <w:lang w:val="en-US" w:eastAsia="zh-CN"/>
        </w:rPr>
        <w:t>Mpacc</w:t>
      </w:r>
      <w:r>
        <w:rPr>
          <w:rFonts w:hint="default" w:eastAsiaTheme="minorEastAsia"/>
          <w:bCs/>
          <w:color w:val="auto"/>
          <w:sz w:val="24"/>
        </w:rPr>
        <w:t>学生案例大赛、独立或协助指导老师通过实地调研形成教学案例、参与企业管理咨询活动并形成管理咨询报告、发表案例研究方面的学术成果。案例研究与开发由指导教师根据学生参与的案例开发工作情况或科研成果评定成绩，学生取得相应学分。</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17BB"/>
    <w:rsid w:val="00002A1A"/>
    <w:rsid w:val="00003AB1"/>
    <w:rsid w:val="000045F0"/>
    <w:rsid w:val="00004834"/>
    <w:rsid w:val="000051FF"/>
    <w:rsid w:val="00005540"/>
    <w:rsid w:val="00005A23"/>
    <w:rsid w:val="00006E04"/>
    <w:rsid w:val="0000780D"/>
    <w:rsid w:val="00011169"/>
    <w:rsid w:val="00011E8C"/>
    <w:rsid w:val="0001365A"/>
    <w:rsid w:val="00013F55"/>
    <w:rsid w:val="000143CB"/>
    <w:rsid w:val="00015266"/>
    <w:rsid w:val="000154B5"/>
    <w:rsid w:val="00015E88"/>
    <w:rsid w:val="000165A8"/>
    <w:rsid w:val="00021895"/>
    <w:rsid w:val="000229B8"/>
    <w:rsid w:val="000253FB"/>
    <w:rsid w:val="0002553A"/>
    <w:rsid w:val="00025715"/>
    <w:rsid w:val="00025D34"/>
    <w:rsid w:val="000266E2"/>
    <w:rsid w:val="00026F8F"/>
    <w:rsid w:val="00027376"/>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4B7E"/>
    <w:rsid w:val="00045490"/>
    <w:rsid w:val="00045566"/>
    <w:rsid w:val="000462ED"/>
    <w:rsid w:val="00046784"/>
    <w:rsid w:val="00046EFF"/>
    <w:rsid w:val="00047780"/>
    <w:rsid w:val="000517AD"/>
    <w:rsid w:val="0005309E"/>
    <w:rsid w:val="00053173"/>
    <w:rsid w:val="00054712"/>
    <w:rsid w:val="00054F25"/>
    <w:rsid w:val="00060C9E"/>
    <w:rsid w:val="00060E5A"/>
    <w:rsid w:val="00061443"/>
    <w:rsid w:val="000627FF"/>
    <w:rsid w:val="00065525"/>
    <w:rsid w:val="00065668"/>
    <w:rsid w:val="00065862"/>
    <w:rsid w:val="00067DA2"/>
    <w:rsid w:val="00070CAD"/>
    <w:rsid w:val="00070FB5"/>
    <w:rsid w:val="00073226"/>
    <w:rsid w:val="000773B4"/>
    <w:rsid w:val="000777E4"/>
    <w:rsid w:val="00080077"/>
    <w:rsid w:val="0008043C"/>
    <w:rsid w:val="000808AC"/>
    <w:rsid w:val="000819A1"/>
    <w:rsid w:val="00081ED3"/>
    <w:rsid w:val="00082A32"/>
    <w:rsid w:val="000846F8"/>
    <w:rsid w:val="000865C0"/>
    <w:rsid w:val="00086A2D"/>
    <w:rsid w:val="000877D8"/>
    <w:rsid w:val="00087BB6"/>
    <w:rsid w:val="000903CF"/>
    <w:rsid w:val="00090F47"/>
    <w:rsid w:val="00091106"/>
    <w:rsid w:val="00092A20"/>
    <w:rsid w:val="00093E55"/>
    <w:rsid w:val="00094795"/>
    <w:rsid w:val="00094EF5"/>
    <w:rsid w:val="00095FAE"/>
    <w:rsid w:val="000A0C3E"/>
    <w:rsid w:val="000A1577"/>
    <w:rsid w:val="000A1769"/>
    <w:rsid w:val="000A422B"/>
    <w:rsid w:val="000A46F4"/>
    <w:rsid w:val="000A47A2"/>
    <w:rsid w:val="000A48BC"/>
    <w:rsid w:val="000A59A1"/>
    <w:rsid w:val="000A5AEB"/>
    <w:rsid w:val="000A6B0F"/>
    <w:rsid w:val="000A6FBD"/>
    <w:rsid w:val="000A73F2"/>
    <w:rsid w:val="000A7E9B"/>
    <w:rsid w:val="000B10CA"/>
    <w:rsid w:val="000B1176"/>
    <w:rsid w:val="000B3404"/>
    <w:rsid w:val="000B36CF"/>
    <w:rsid w:val="000B3A32"/>
    <w:rsid w:val="000B3F63"/>
    <w:rsid w:val="000B4084"/>
    <w:rsid w:val="000B596C"/>
    <w:rsid w:val="000B5B40"/>
    <w:rsid w:val="000B5CBB"/>
    <w:rsid w:val="000C1C39"/>
    <w:rsid w:val="000C1DF1"/>
    <w:rsid w:val="000C684D"/>
    <w:rsid w:val="000C7109"/>
    <w:rsid w:val="000C7B56"/>
    <w:rsid w:val="000D0856"/>
    <w:rsid w:val="000D0CA9"/>
    <w:rsid w:val="000D21C4"/>
    <w:rsid w:val="000D2324"/>
    <w:rsid w:val="000D31F3"/>
    <w:rsid w:val="000D3BAB"/>
    <w:rsid w:val="000D41D0"/>
    <w:rsid w:val="000D6149"/>
    <w:rsid w:val="000D6CC0"/>
    <w:rsid w:val="000D6CD9"/>
    <w:rsid w:val="000D71B2"/>
    <w:rsid w:val="000E0380"/>
    <w:rsid w:val="000E51AE"/>
    <w:rsid w:val="000E5229"/>
    <w:rsid w:val="000E58F5"/>
    <w:rsid w:val="000F12FD"/>
    <w:rsid w:val="000F21F3"/>
    <w:rsid w:val="000F238B"/>
    <w:rsid w:val="000F2DCE"/>
    <w:rsid w:val="000F2E11"/>
    <w:rsid w:val="000F335A"/>
    <w:rsid w:val="000F3809"/>
    <w:rsid w:val="000F479B"/>
    <w:rsid w:val="000F4E87"/>
    <w:rsid w:val="001004D8"/>
    <w:rsid w:val="00100A1C"/>
    <w:rsid w:val="00101F57"/>
    <w:rsid w:val="00104BB1"/>
    <w:rsid w:val="00105E20"/>
    <w:rsid w:val="001101F5"/>
    <w:rsid w:val="00110577"/>
    <w:rsid w:val="00110911"/>
    <w:rsid w:val="00110D6C"/>
    <w:rsid w:val="00111BCA"/>
    <w:rsid w:val="0011294E"/>
    <w:rsid w:val="00112E68"/>
    <w:rsid w:val="00113B61"/>
    <w:rsid w:val="00116DAF"/>
    <w:rsid w:val="00116ED7"/>
    <w:rsid w:val="0011773A"/>
    <w:rsid w:val="00117E96"/>
    <w:rsid w:val="001200D3"/>
    <w:rsid w:val="001201FC"/>
    <w:rsid w:val="00123074"/>
    <w:rsid w:val="001252CE"/>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41A90"/>
    <w:rsid w:val="00141C03"/>
    <w:rsid w:val="00141D33"/>
    <w:rsid w:val="00142AE5"/>
    <w:rsid w:val="001434A0"/>
    <w:rsid w:val="0014508B"/>
    <w:rsid w:val="001513DE"/>
    <w:rsid w:val="001519AB"/>
    <w:rsid w:val="001548B0"/>
    <w:rsid w:val="00155AAE"/>
    <w:rsid w:val="00156DDA"/>
    <w:rsid w:val="00160DA3"/>
    <w:rsid w:val="0016181D"/>
    <w:rsid w:val="00162151"/>
    <w:rsid w:val="0016284B"/>
    <w:rsid w:val="00163A5C"/>
    <w:rsid w:val="00165D55"/>
    <w:rsid w:val="00166596"/>
    <w:rsid w:val="00167C56"/>
    <w:rsid w:val="00171332"/>
    <w:rsid w:val="001715BD"/>
    <w:rsid w:val="0017260D"/>
    <w:rsid w:val="001726DB"/>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64E"/>
    <w:rsid w:val="00196830"/>
    <w:rsid w:val="00196F50"/>
    <w:rsid w:val="001A0657"/>
    <w:rsid w:val="001A33E3"/>
    <w:rsid w:val="001A52FF"/>
    <w:rsid w:val="001A567C"/>
    <w:rsid w:val="001A6029"/>
    <w:rsid w:val="001A7229"/>
    <w:rsid w:val="001A78CF"/>
    <w:rsid w:val="001B0D85"/>
    <w:rsid w:val="001B276A"/>
    <w:rsid w:val="001B2A51"/>
    <w:rsid w:val="001B30C4"/>
    <w:rsid w:val="001B465A"/>
    <w:rsid w:val="001B4FF4"/>
    <w:rsid w:val="001B62AC"/>
    <w:rsid w:val="001B66AF"/>
    <w:rsid w:val="001B6D84"/>
    <w:rsid w:val="001C2996"/>
    <w:rsid w:val="001C30DC"/>
    <w:rsid w:val="001C45C2"/>
    <w:rsid w:val="001C481C"/>
    <w:rsid w:val="001C5480"/>
    <w:rsid w:val="001C6211"/>
    <w:rsid w:val="001C7066"/>
    <w:rsid w:val="001C752D"/>
    <w:rsid w:val="001D154F"/>
    <w:rsid w:val="001D1AE7"/>
    <w:rsid w:val="001D1C64"/>
    <w:rsid w:val="001D1E43"/>
    <w:rsid w:val="001D2313"/>
    <w:rsid w:val="001D28BB"/>
    <w:rsid w:val="001D3EA6"/>
    <w:rsid w:val="001D45FC"/>
    <w:rsid w:val="001D599A"/>
    <w:rsid w:val="001D621F"/>
    <w:rsid w:val="001D690F"/>
    <w:rsid w:val="001D6A65"/>
    <w:rsid w:val="001D6EB9"/>
    <w:rsid w:val="001D78A6"/>
    <w:rsid w:val="001D7EAF"/>
    <w:rsid w:val="001E0FD8"/>
    <w:rsid w:val="001E149A"/>
    <w:rsid w:val="001E1523"/>
    <w:rsid w:val="001E173F"/>
    <w:rsid w:val="001E2472"/>
    <w:rsid w:val="001E47AA"/>
    <w:rsid w:val="001E4A22"/>
    <w:rsid w:val="001E57D0"/>
    <w:rsid w:val="001F03A6"/>
    <w:rsid w:val="001F0AE0"/>
    <w:rsid w:val="001F11BA"/>
    <w:rsid w:val="001F195A"/>
    <w:rsid w:val="001F1A8A"/>
    <w:rsid w:val="001F1F2E"/>
    <w:rsid w:val="001F1F8B"/>
    <w:rsid w:val="001F2B47"/>
    <w:rsid w:val="001F431F"/>
    <w:rsid w:val="001F61D1"/>
    <w:rsid w:val="001F65A4"/>
    <w:rsid w:val="00200505"/>
    <w:rsid w:val="00202151"/>
    <w:rsid w:val="002027B9"/>
    <w:rsid w:val="00202B64"/>
    <w:rsid w:val="00202C05"/>
    <w:rsid w:val="00202D87"/>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2264F"/>
    <w:rsid w:val="00222A5E"/>
    <w:rsid w:val="002231B6"/>
    <w:rsid w:val="002249A4"/>
    <w:rsid w:val="00226F23"/>
    <w:rsid w:val="0023080B"/>
    <w:rsid w:val="002309EB"/>
    <w:rsid w:val="00230D9E"/>
    <w:rsid w:val="002311D2"/>
    <w:rsid w:val="00231C36"/>
    <w:rsid w:val="00232528"/>
    <w:rsid w:val="002325BF"/>
    <w:rsid w:val="00233F30"/>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3768"/>
    <w:rsid w:val="0025480C"/>
    <w:rsid w:val="00254838"/>
    <w:rsid w:val="00255288"/>
    <w:rsid w:val="002558BC"/>
    <w:rsid w:val="00256AC5"/>
    <w:rsid w:val="00257241"/>
    <w:rsid w:val="002573A9"/>
    <w:rsid w:val="00260797"/>
    <w:rsid w:val="00260E68"/>
    <w:rsid w:val="002636A1"/>
    <w:rsid w:val="0026401B"/>
    <w:rsid w:val="00265C89"/>
    <w:rsid w:val="00265F6A"/>
    <w:rsid w:val="002661C1"/>
    <w:rsid w:val="002666C6"/>
    <w:rsid w:val="00266F5D"/>
    <w:rsid w:val="00267515"/>
    <w:rsid w:val="0027096E"/>
    <w:rsid w:val="00274D29"/>
    <w:rsid w:val="002801E8"/>
    <w:rsid w:val="002819AD"/>
    <w:rsid w:val="00281A0D"/>
    <w:rsid w:val="0028441E"/>
    <w:rsid w:val="00290488"/>
    <w:rsid w:val="00291095"/>
    <w:rsid w:val="00292687"/>
    <w:rsid w:val="0029299A"/>
    <w:rsid w:val="002930F5"/>
    <w:rsid w:val="00293466"/>
    <w:rsid w:val="00293784"/>
    <w:rsid w:val="00293972"/>
    <w:rsid w:val="00295013"/>
    <w:rsid w:val="002950C9"/>
    <w:rsid w:val="002956DA"/>
    <w:rsid w:val="00296D8B"/>
    <w:rsid w:val="002A112F"/>
    <w:rsid w:val="002A2616"/>
    <w:rsid w:val="002A4A36"/>
    <w:rsid w:val="002A71B9"/>
    <w:rsid w:val="002A7921"/>
    <w:rsid w:val="002B0A99"/>
    <w:rsid w:val="002B293A"/>
    <w:rsid w:val="002B2A1B"/>
    <w:rsid w:val="002B3394"/>
    <w:rsid w:val="002B63CC"/>
    <w:rsid w:val="002B72BE"/>
    <w:rsid w:val="002B7EFB"/>
    <w:rsid w:val="002C0ADB"/>
    <w:rsid w:val="002C0D99"/>
    <w:rsid w:val="002C10F7"/>
    <w:rsid w:val="002C1361"/>
    <w:rsid w:val="002C27CC"/>
    <w:rsid w:val="002C44BA"/>
    <w:rsid w:val="002C531D"/>
    <w:rsid w:val="002C5839"/>
    <w:rsid w:val="002C5D7C"/>
    <w:rsid w:val="002C68F2"/>
    <w:rsid w:val="002C6CF4"/>
    <w:rsid w:val="002C7D60"/>
    <w:rsid w:val="002D16C7"/>
    <w:rsid w:val="002D2AEB"/>
    <w:rsid w:val="002D2E9E"/>
    <w:rsid w:val="002D326B"/>
    <w:rsid w:val="002D34C1"/>
    <w:rsid w:val="002D4DCD"/>
    <w:rsid w:val="002D5BB0"/>
    <w:rsid w:val="002D6382"/>
    <w:rsid w:val="002D6BA6"/>
    <w:rsid w:val="002D7162"/>
    <w:rsid w:val="002E22E4"/>
    <w:rsid w:val="002E2365"/>
    <w:rsid w:val="002E26AE"/>
    <w:rsid w:val="002E2C47"/>
    <w:rsid w:val="002E497F"/>
    <w:rsid w:val="002E51D1"/>
    <w:rsid w:val="002E5BED"/>
    <w:rsid w:val="002E639B"/>
    <w:rsid w:val="002E703B"/>
    <w:rsid w:val="002E704A"/>
    <w:rsid w:val="002E716E"/>
    <w:rsid w:val="002E7E9B"/>
    <w:rsid w:val="002E7F13"/>
    <w:rsid w:val="002E7F9D"/>
    <w:rsid w:val="002F2797"/>
    <w:rsid w:val="002F3877"/>
    <w:rsid w:val="002F39EA"/>
    <w:rsid w:val="002F3C9A"/>
    <w:rsid w:val="002F417B"/>
    <w:rsid w:val="002F4833"/>
    <w:rsid w:val="002F5579"/>
    <w:rsid w:val="002F6B84"/>
    <w:rsid w:val="0030052A"/>
    <w:rsid w:val="003015B0"/>
    <w:rsid w:val="00302150"/>
    <w:rsid w:val="003030A7"/>
    <w:rsid w:val="00305644"/>
    <w:rsid w:val="003056A8"/>
    <w:rsid w:val="00307635"/>
    <w:rsid w:val="003127B0"/>
    <w:rsid w:val="00312822"/>
    <w:rsid w:val="00314BE3"/>
    <w:rsid w:val="00314D3C"/>
    <w:rsid w:val="0031623B"/>
    <w:rsid w:val="00316326"/>
    <w:rsid w:val="00316470"/>
    <w:rsid w:val="00316817"/>
    <w:rsid w:val="00317FDF"/>
    <w:rsid w:val="00321FD1"/>
    <w:rsid w:val="00322D53"/>
    <w:rsid w:val="00323D0D"/>
    <w:rsid w:val="00325D12"/>
    <w:rsid w:val="00326A2C"/>
    <w:rsid w:val="003279B0"/>
    <w:rsid w:val="00331123"/>
    <w:rsid w:val="00331B4B"/>
    <w:rsid w:val="00331D3B"/>
    <w:rsid w:val="00332C98"/>
    <w:rsid w:val="00334F71"/>
    <w:rsid w:val="00335BB9"/>
    <w:rsid w:val="00336751"/>
    <w:rsid w:val="00336778"/>
    <w:rsid w:val="003374FD"/>
    <w:rsid w:val="00337DD6"/>
    <w:rsid w:val="003416BC"/>
    <w:rsid w:val="00345BF6"/>
    <w:rsid w:val="00350E12"/>
    <w:rsid w:val="00351789"/>
    <w:rsid w:val="00352485"/>
    <w:rsid w:val="00352525"/>
    <w:rsid w:val="003539D7"/>
    <w:rsid w:val="00353D6B"/>
    <w:rsid w:val="003617F2"/>
    <w:rsid w:val="00362BF4"/>
    <w:rsid w:val="00364D73"/>
    <w:rsid w:val="003658CF"/>
    <w:rsid w:val="00367064"/>
    <w:rsid w:val="00371E5D"/>
    <w:rsid w:val="00371F36"/>
    <w:rsid w:val="00372023"/>
    <w:rsid w:val="00374191"/>
    <w:rsid w:val="00376F53"/>
    <w:rsid w:val="00381B2C"/>
    <w:rsid w:val="00382F33"/>
    <w:rsid w:val="00383F4C"/>
    <w:rsid w:val="00383FF4"/>
    <w:rsid w:val="00384607"/>
    <w:rsid w:val="00386FF4"/>
    <w:rsid w:val="00387621"/>
    <w:rsid w:val="0039122B"/>
    <w:rsid w:val="003916C3"/>
    <w:rsid w:val="00392FBD"/>
    <w:rsid w:val="00397184"/>
    <w:rsid w:val="003A0041"/>
    <w:rsid w:val="003A3458"/>
    <w:rsid w:val="003A3654"/>
    <w:rsid w:val="003A42FD"/>
    <w:rsid w:val="003A4D10"/>
    <w:rsid w:val="003A562E"/>
    <w:rsid w:val="003A59AE"/>
    <w:rsid w:val="003A6828"/>
    <w:rsid w:val="003A6BA2"/>
    <w:rsid w:val="003A7FDB"/>
    <w:rsid w:val="003B02F6"/>
    <w:rsid w:val="003B11EC"/>
    <w:rsid w:val="003B1809"/>
    <w:rsid w:val="003B1C29"/>
    <w:rsid w:val="003B21FD"/>
    <w:rsid w:val="003B38C6"/>
    <w:rsid w:val="003B3945"/>
    <w:rsid w:val="003B50B1"/>
    <w:rsid w:val="003B5EF2"/>
    <w:rsid w:val="003B5FCD"/>
    <w:rsid w:val="003C1B16"/>
    <w:rsid w:val="003C2368"/>
    <w:rsid w:val="003C2B6F"/>
    <w:rsid w:val="003C3387"/>
    <w:rsid w:val="003C43AE"/>
    <w:rsid w:val="003C4CF4"/>
    <w:rsid w:val="003C4F53"/>
    <w:rsid w:val="003C5F9F"/>
    <w:rsid w:val="003D13E5"/>
    <w:rsid w:val="003D1899"/>
    <w:rsid w:val="003D18A7"/>
    <w:rsid w:val="003D2BFC"/>
    <w:rsid w:val="003D354D"/>
    <w:rsid w:val="003D35E3"/>
    <w:rsid w:val="003D3974"/>
    <w:rsid w:val="003D3996"/>
    <w:rsid w:val="003D3BD9"/>
    <w:rsid w:val="003D51E0"/>
    <w:rsid w:val="003D6349"/>
    <w:rsid w:val="003E0503"/>
    <w:rsid w:val="003E1FE7"/>
    <w:rsid w:val="003E42F3"/>
    <w:rsid w:val="003E5315"/>
    <w:rsid w:val="003E5423"/>
    <w:rsid w:val="003E5A1E"/>
    <w:rsid w:val="003E5BF2"/>
    <w:rsid w:val="003E5F3F"/>
    <w:rsid w:val="003E6CB3"/>
    <w:rsid w:val="003E7512"/>
    <w:rsid w:val="003F1009"/>
    <w:rsid w:val="003F104D"/>
    <w:rsid w:val="003F1C70"/>
    <w:rsid w:val="003F1F1D"/>
    <w:rsid w:val="003F2182"/>
    <w:rsid w:val="003F261F"/>
    <w:rsid w:val="003F3531"/>
    <w:rsid w:val="003F3BF4"/>
    <w:rsid w:val="003F42A8"/>
    <w:rsid w:val="003F5B64"/>
    <w:rsid w:val="003F7640"/>
    <w:rsid w:val="0040267E"/>
    <w:rsid w:val="00405CBD"/>
    <w:rsid w:val="004072EC"/>
    <w:rsid w:val="004106FF"/>
    <w:rsid w:val="004109A1"/>
    <w:rsid w:val="00411D94"/>
    <w:rsid w:val="004124A9"/>
    <w:rsid w:val="004130E5"/>
    <w:rsid w:val="00413674"/>
    <w:rsid w:val="00414FF5"/>
    <w:rsid w:val="00416F54"/>
    <w:rsid w:val="00417898"/>
    <w:rsid w:val="0042019B"/>
    <w:rsid w:val="004210EC"/>
    <w:rsid w:val="00421AB0"/>
    <w:rsid w:val="00424002"/>
    <w:rsid w:val="00424D58"/>
    <w:rsid w:val="00426083"/>
    <w:rsid w:val="0043229B"/>
    <w:rsid w:val="00432B06"/>
    <w:rsid w:val="00432D6A"/>
    <w:rsid w:val="00437442"/>
    <w:rsid w:val="00441446"/>
    <w:rsid w:val="00442209"/>
    <w:rsid w:val="004424CB"/>
    <w:rsid w:val="00444DA6"/>
    <w:rsid w:val="00450444"/>
    <w:rsid w:val="004507E2"/>
    <w:rsid w:val="0045095A"/>
    <w:rsid w:val="00450E8F"/>
    <w:rsid w:val="00451601"/>
    <w:rsid w:val="004517DC"/>
    <w:rsid w:val="0045466A"/>
    <w:rsid w:val="00454F3D"/>
    <w:rsid w:val="00455910"/>
    <w:rsid w:val="0045607C"/>
    <w:rsid w:val="0045658D"/>
    <w:rsid w:val="0045686B"/>
    <w:rsid w:val="00456D50"/>
    <w:rsid w:val="004573A6"/>
    <w:rsid w:val="0045759A"/>
    <w:rsid w:val="00457865"/>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CAE"/>
    <w:rsid w:val="0048109C"/>
    <w:rsid w:val="00481ED3"/>
    <w:rsid w:val="004823CA"/>
    <w:rsid w:val="0048303D"/>
    <w:rsid w:val="00483D42"/>
    <w:rsid w:val="0048401B"/>
    <w:rsid w:val="00484694"/>
    <w:rsid w:val="00484F01"/>
    <w:rsid w:val="00487311"/>
    <w:rsid w:val="004878D5"/>
    <w:rsid w:val="00487F90"/>
    <w:rsid w:val="004930BE"/>
    <w:rsid w:val="00493360"/>
    <w:rsid w:val="00493E56"/>
    <w:rsid w:val="00493F33"/>
    <w:rsid w:val="00494F54"/>
    <w:rsid w:val="00495360"/>
    <w:rsid w:val="00495791"/>
    <w:rsid w:val="004960EE"/>
    <w:rsid w:val="004A07FE"/>
    <w:rsid w:val="004A1039"/>
    <w:rsid w:val="004A2DF9"/>
    <w:rsid w:val="004A3097"/>
    <w:rsid w:val="004A4867"/>
    <w:rsid w:val="004A53C4"/>
    <w:rsid w:val="004A5EB7"/>
    <w:rsid w:val="004A671E"/>
    <w:rsid w:val="004A6A44"/>
    <w:rsid w:val="004A6E8A"/>
    <w:rsid w:val="004B0DD9"/>
    <w:rsid w:val="004B2577"/>
    <w:rsid w:val="004B25BE"/>
    <w:rsid w:val="004B3E96"/>
    <w:rsid w:val="004B4ED3"/>
    <w:rsid w:val="004B6494"/>
    <w:rsid w:val="004B6B41"/>
    <w:rsid w:val="004B7C1D"/>
    <w:rsid w:val="004C0AA3"/>
    <w:rsid w:val="004C23AA"/>
    <w:rsid w:val="004C48C8"/>
    <w:rsid w:val="004C4F07"/>
    <w:rsid w:val="004C7469"/>
    <w:rsid w:val="004C7690"/>
    <w:rsid w:val="004D17F5"/>
    <w:rsid w:val="004D1952"/>
    <w:rsid w:val="004D5F79"/>
    <w:rsid w:val="004D62EC"/>
    <w:rsid w:val="004D685B"/>
    <w:rsid w:val="004E0437"/>
    <w:rsid w:val="004E0F0B"/>
    <w:rsid w:val="004E0F12"/>
    <w:rsid w:val="004E1823"/>
    <w:rsid w:val="004E1A89"/>
    <w:rsid w:val="004E32D6"/>
    <w:rsid w:val="004E6028"/>
    <w:rsid w:val="004E7FBD"/>
    <w:rsid w:val="004F0A81"/>
    <w:rsid w:val="004F2A3F"/>
    <w:rsid w:val="004F3283"/>
    <w:rsid w:val="004F4562"/>
    <w:rsid w:val="004F7534"/>
    <w:rsid w:val="00501096"/>
    <w:rsid w:val="0050152F"/>
    <w:rsid w:val="00501D66"/>
    <w:rsid w:val="00502BCF"/>
    <w:rsid w:val="00503822"/>
    <w:rsid w:val="00503CA3"/>
    <w:rsid w:val="005064A0"/>
    <w:rsid w:val="00506B23"/>
    <w:rsid w:val="00507E05"/>
    <w:rsid w:val="00510950"/>
    <w:rsid w:val="00511113"/>
    <w:rsid w:val="00512343"/>
    <w:rsid w:val="0051322C"/>
    <w:rsid w:val="00514279"/>
    <w:rsid w:val="0051684C"/>
    <w:rsid w:val="00517A47"/>
    <w:rsid w:val="00521257"/>
    <w:rsid w:val="00523001"/>
    <w:rsid w:val="00524602"/>
    <w:rsid w:val="00525953"/>
    <w:rsid w:val="00525BB6"/>
    <w:rsid w:val="005273F8"/>
    <w:rsid w:val="00534727"/>
    <w:rsid w:val="00534F23"/>
    <w:rsid w:val="00535263"/>
    <w:rsid w:val="00536540"/>
    <w:rsid w:val="00536795"/>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562B"/>
    <w:rsid w:val="005559E3"/>
    <w:rsid w:val="00557ACE"/>
    <w:rsid w:val="00561D63"/>
    <w:rsid w:val="005657BC"/>
    <w:rsid w:val="0056705B"/>
    <w:rsid w:val="0057028D"/>
    <w:rsid w:val="0057155B"/>
    <w:rsid w:val="00571763"/>
    <w:rsid w:val="005719F2"/>
    <w:rsid w:val="00572349"/>
    <w:rsid w:val="00573048"/>
    <w:rsid w:val="005730C1"/>
    <w:rsid w:val="0057329D"/>
    <w:rsid w:val="00575B8D"/>
    <w:rsid w:val="00575D5C"/>
    <w:rsid w:val="00576FF4"/>
    <w:rsid w:val="00577018"/>
    <w:rsid w:val="005805A8"/>
    <w:rsid w:val="005811BA"/>
    <w:rsid w:val="00582768"/>
    <w:rsid w:val="005838D9"/>
    <w:rsid w:val="00584184"/>
    <w:rsid w:val="005849DB"/>
    <w:rsid w:val="00585334"/>
    <w:rsid w:val="0058735A"/>
    <w:rsid w:val="00590C24"/>
    <w:rsid w:val="00590D93"/>
    <w:rsid w:val="00590F17"/>
    <w:rsid w:val="005912CC"/>
    <w:rsid w:val="00591D22"/>
    <w:rsid w:val="00591EB8"/>
    <w:rsid w:val="0059204A"/>
    <w:rsid w:val="0059257A"/>
    <w:rsid w:val="005928A7"/>
    <w:rsid w:val="00593FC2"/>
    <w:rsid w:val="00594940"/>
    <w:rsid w:val="005952E2"/>
    <w:rsid w:val="00595339"/>
    <w:rsid w:val="00595641"/>
    <w:rsid w:val="0059643D"/>
    <w:rsid w:val="005A008F"/>
    <w:rsid w:val="005A1911"/>
    <w:rsid w:val="005A3159"/>
    <w:rsid w:val="005A411E"/>
    <w:rsid w:val="005A5206"/>
    <w:rsid w:val="005A62AC"/>
    <w:rsid w:val="005A746C"/>
    <w:rsid w:val="005A7800"/>
    <w:rsid w:val="005B1E31"/>
    <w:rsid w:val="005B386E"/>
    <w:rsid w:val="005B478B"/>
    <w:rsid w:val="005B58D6"/>
    <w:rsid w:val="005C1099"/>
    <w:rsid w:val="005C12CA"/>
    <w:rsid w:val="005C1E3A"/>
    <w:rsid w:val="005C2037"/>
    <w:rsid w:val="005C2DF0"/>
    <w:rsid w:val="005C2F1A"/>
    <w:rsid w:val="005C3B60"/>
    <w:rsid w:val="005C4336"/>
    <w:rsid w:val="005C4432"/>
    <w:rsid w:val="005C540F"/>
    <w:rsid w:val="005C7F64"/>
    <w:rsid w:val="005D14BA"/>
    <w:rsid w:val="005D22F5"/>
    <w:rsid w:val="005D32A3"/>
    <w:rsid w:val="005D3952"/>
    <w:rsid w:val="005D3E43"/>
    <w:rsid w:val="005D40D4"/>
    <w:rsid w:val="005D5C84"/>
    <w:rsid w:val="005D79EF"/>
    <w:rsid w:val="005D7BE7"/>
    <w:rsid w:val="005E1061"/>
    <w:rsid w:val="005E1B84"/>
    <w:rsid w:val="005E2A0E"/>
    <w:rsid w:val="005E62E3"/>
    <w:rsid w:val="005E64E5"/>
    <w:rsid w:val="005F06F9"/>
    <w:rsid w:val="005F4D6E"/>
    <w:rsid w:val="005F7CA5"/>
    <w:rsid w:val="005F7CAF"/>
    <w:rsid w:val="006016AC"/>
    <w:rsid w:val="00601816"/>
    <w:rsid w:val="0060199C"/>
    <w:rsid w:val="00602671"/>
    <w:rsid w:val="00602B90"/>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C0C"/>
    <w:rsid w:val="0062244F"/>
    <w:rsid w:val="0062342A"/>
    <w:rsid w:val="00623EBA"/>
    <w:rsid w:val="0062578A"/>
    <w:rsid w:val="0062593D"/>
    <w:rsid w:val="00626DFE"/>
    <w:rsid w:val="00627702"/>
    <w:rsid w:val="00632BBB"/>
    <w:rsid w:val="00633326"/>
    <w:rsid w:val="0063461B"/>
    <w:rsid w:val="00634736"/>
    <w:rsid w:val="00634DBA"/>
    <w:rsid w:val="006350A1"/>
    <w:rsid w:val="00635BA0"/>
    <w:rsid w:val="00635EF3"/>
    <w:rsid w:val="006406F4"/>
    <w:rsid w:val="00640F18"/>
    <w:rsid w:val="006416DA"/>
    <w:rsid w:val="006417EC"/>
    <w:rsid w:val="00641A50"/>
    <w:rsid w:val="00642498"/>
    <w:rsid w:val="006437FE"/>
    <w:rsid w:val="00645DF9"/>
    <w:rsid w:val="00646A84"/>
    <w:rsid w:val="0065012C"/>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40CA"/>
    <w:rsid w:val="00665E28"/>
    <w:rsid w:val="006661B6"/>
    <w:rsid w:val="00666F41"/>
    <w:rsid w:val="0067029E"/>
    <w:rsid w:val="00671196"/>
    <w:rsid w:val="00671444"/>
    <w:rsid w:val="00672487"/>
    <w:rsid w:val="00674A3E"/>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764"/>
    <w:rsid w:val="006A593C"/>
    <w:rsid w:val="006A63AD"/>
    <w:rsid w:val="006A75EB"/>
    <w:rsid w:val="006B06AF"/>
    <w:rsid w:val="006B138B"/>
    <w:rsid w:val="006B1FA0"/>
    <w:rsid w:val="006B2D38"/>
    <w:rsid w:val="006B348B"/>
    <w:rsid w:val="006B36E1"/>
    <w:rsid w:val="006B466F"/>
    <w:rsid w:val="006B6B5A"/>
    <w:rsid w:val="006B6C53"/>
    <w:rsid w:val="006C0F43"/>
    <w:rsid w:val="006C1073"/>
    <w:rsid w:val="006C10AB"/>
    <w:rsid w:val="006C1A84"/>
    <w:rsid w:val="006C1CC1"/>
    <w:rsid w:val="006C1E60"/>
    <w:rsid w:val="006C250B"/>
    <w:rsid w:val="006C420C"/>
    <w:rsid w:val="006C4440"/>
    <w:rsid w:val="006C54A4"/>
    <w:rsid w:val="006C6CA5"/>
    <w:rsid w:val="006C6E36"/>
    <w:rsid w:val="006C703A"/>
    <w:rsid w:val="006C72E5"/>
    <w:rsid w:val="006C77EC"/>
    <w:rsid w:val="006D30FE"/>
    <w:rsid w:val="006D3C95"/>
    <w:rsid w:val="006D5B36"/>
    <w:rsid w:val="006E0CA3"/>
    <w:rsid w:val="006E1B6D"/>
    <w:rsid w:val="006E2BCE"/>
    <w:rsid w:val="006E3DA0"/>
    <w:rsid w:val="006E4D6E"/>
    <w:rsid w:val="006E6EA0"/>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B2"/>
    <w:rsid w:val="00706115"/>
    <w:rsid w:val="007065C5"/>
    <w:rsid w:val="007066D8"/>
    <w:rsid w:val="00713960"/>
    <w:rsid w:val="00715D11"/>
    <w:rsid w:val="00716989"/>
    <w:rsid w:val="00717815"/>
    <w:rsid w:val="007212C9"/>
    <w:rsid w:val="007214B5"/>
    <w:rsid w:val="00721724"/>
    <w:rsid w:val="007223D6"/>
    <w:rsid w:val="0072443E"/>
    <w:rsid w:val="00724CA4"/>
    <w:rsid w:val="0072674C"/>
    <w:rsid w:val="0072681F"/>
    <w:rsid w:val="00726B86"/>
    <w:rsid w:val="00727001"/>
    <w:rsid w:val="0072766F"/>
    <w:rsid w:val="00731ACF"/>
    <w:rsid w:val="00732B3F"/>
    <w:rsid w:val="007340C9"/>
    <w:rsid w:val="0073618E"/>
    <w:rsid w:val="00736F52"/>
    <w:rsid w:val="00737217"/>
    <w:rsid w:val="00737C29"/>
    <w:rsid w:val="0074076C"/>
    <w:rsid w:val="00742652"/>
    <w:rsid w:val="00743615"/>
    <w:rsid w:val="00743BB8"/>
    <w:rsid w:val="007470C4"/>
    <w:rsid w:val="007500A4"/>
    <w:rsid w:val="007522EC"/>
    <w:rsid w:val="00753336"/>
    <w:rsid w:val="00754A9F"/>
    <w:rsid w:val="00754B70"/>
    <w:rsid w:val="00755EC4"/>
    <w:rsid w:val="00756507"/>
    <w:rsid w:val="0075725A"/>
    <w:rsid w:val="00757690"/>
    <w:rsid w:val="007625FB"/>
    <w:rsid w:val="0076580C"/>
    <w:rsid w:val="007678DA"/>
    <w:rsid w:val="0077281C"/>
    <w:rsid w:val="007728FC"/>
    <w:rsid w:val="00773AF5"/>
    <w:rsid w:val="0077498C"/>
    <w:rsid w:val="0077541C"/>
    <w:rsid w:val="007767CD"/>
    <w:rsid w:val="00777300"/>
    <w:rsid w:val="00777697"/>
    <w:rsid w:val="00780CD3"/>
    <w:rsid w:val="007816D2"/>
    <w:rsid w:val="00781989"/>
    <w:rsid w:val="00782601"/>
    <w:rsid w:val="00782FAA"/>
    <w:rsid w:val="00785273"/>
    <w:rsid w:val="0078654A"/>
    <w:rsid w:val="007870A8"/>
    <w:rsid w:val="0078771C"/>
    <w:rsid w:val="00790718"/>
    <w:rsid w:val="00794CA2"/>
    <w:rsid w:val="00796724"/>
    <w:rsid w:val="007A10E9"/>
    <w:rsid w:val="007A137D"/>
    <w:rsid w:val="007A14FB"/>
    <w:rsid w:val="007A2EF8"/>
    <w:rsid w:val="007A41B9"/>
    <w:rsid w:val="007A4377"/>
    <w:rsid w:val="007A4BFC"/>
    <w:rsid w:val="007A4FE0"/>
    <w:rsid w:val="007A5155"/>
    <w:rsid w:val="007A58DB"/>
    <w:rsid w:val="007A5F61"/>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6C56"/>
    <w:rsid w:val="007F7069"/>
    <w:rsid w:val="007F7A43"/>
    <w:rsid w:val="0080018D"/>
    <w:rsid w:val="00800422"/>
    <w:rsid w:val="008017DD"/>
    <w:rsid w:val="008029A2"/>
    <w:rsid w:val="00804D47"/>
    <w:rsid w:val="00805502"/>
    <w:rsid w:val="00805785"/>
    <w:rsid w:val="008072D0"/>
    <w:rsid w:val="00810A7C"/>
    <w:rsid w:val="00810F43"/>
    <w:rsid w:val="008116F4"/>
    <w:rsid w:val="00813262"/>
    <w:rsid w:val="00814CA9"/>
    <w:rsid w:val="00815987"/>
    <w:rsid w:val="00815BA8"/>
    <w:rsid w:val="008162C6"/>
    <w:rsid w:val="00817E4C"/>
    <w:rsid w:val="00821603"/>
    <w:rsid w:val="0082256B"/>
    <w:rsid w:val="0082266C"/>
    <w:rsid w:val="00822CB9"/>
    <w:rsid w:val="00825096"/>
    <w:rsid w:val="00825828"/>
    <w:rsid w:val="0082606C"/>
    <w:rsid w:val="00827862"/>
    <w:rsid w:val="00831212"/>
    <w:rsid w:val="00831257"/>
    <w:rsid w:val="0083140F"/>
    <w:rsid w:val="00834A04"/>
    <w:rsid w:val="008376C2"/>
    <w:rsid w:val="008377F9"/>
    <w:rsid w:val="00840242"/>
    <w:rsid w:val="008407D9"/>
    <w:rsid w:val="00841C9C"/>
    <w:rsid w:val="00841D97"/>
    <w:rsid w:val="0084229C"/>
    <w:rsid w:val="00842714"/>
    <w:rsid w:val="00843F7B"/>
    <w:rsid w:val="0084438E"/>
    <w:rsid w:val="0084492D"/>
    <w:rsid w:val="00844D1E"/>
    <w:rsid w:val="00844EE4"/>
    <w:rsid w:val="00847E50"/>
    <w:rsid w:val="008500A1"/>
    <w:rsid w:val="008514A8"/>
    <w:rsid w:val="00855613"/>
    <w:rsid w:val="0085641A"/>
    <w:rsid w:val="00857405"/>
    <w:rsid w:val="008634C1"/>
    <w:rsid w:val="0086368E"/>
    <w:rsid w:val="00863785"/>
    <w:rsid w:val="00864B60"/>
    <w:rsid w:val="008657A9"/>
    <w:rsid w:val="008658D6"/>
    <w:rsid w:val="00865AFC"/>
    <w:rsid w:val="00865B84"/>
    <w:rsid w:val="00866D7F"/>
    <w:rsid w:val="00866FB1"/>
    <w:rsid w:val="008707CE"/>
    <w:rsid w:val="00870F59"/>
    <w:rsid w:val="00871138"/>
    <w:rsid w:val="008715FB"/>
    <w:rsid w:val="00872D83"/>
    <w:rsid w:val="00872F58"/>
    <w:rsid w:val="00873461"/>
    <w:rsid w:val="0087407C"/>
    <w:rsid w:val="0087489D"/>
    <w:rsid w:val="0087548B"/>
    <w:rsid w:val="00875C08"/>
    <w:rsid w:val="00876770"/>
    <w:rsid w:val="00876DEE"/>
    <w:rsid w:val="00880526"/>
    <w:rsid w:val="00881840"/>
    <w:rsid w:val="00881CEC"/>
    <w:rsid w:val="008820B5"/>
    <w:rsid w:val="008823CE"/>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6348"/>
    <w:rsid w:val="008A6B9B"/>
    <w:rsid w:val="008A7188"/>
    <w:rsid w:val="008A7CAD"/>
    <w:rsid w:val="008B09E1"/>
    <w:rsid w:val="008B1010"/>
    <w:rsid w:val="008B1918"/>
    <w:rsid w:val="008B3160"/>
    <w:rsid w:val="008B3608"/>
    <w:rsid w:val="008B6A0F"/>
    <w:rsid w:val="008B6A84"/>
    <w:rsid w:val="008B79F0"/>
    <w:rsid w:val="008C0847"/>
    <w:rsid w:val="008C0CD5"/>
    <w:rsid w:val="008C3036"/>
    <w:rsid w:val="008C3532"/>
    <w:rsid w:val="008C35AC"/>
    <w:rsid w:val="008C3DA2"/>
    <w:rsid w:val="008C6307"/>
    <w:rsid w:val="008D02C0"/>
    <w:rsid w:val="008D050B"/>
    <w:rsid w:val="008D1674"/>
    <w:rsid w:val="008D169C"/>
    <w:rsid w:val="008D28EB"/>
    <w:rsid w:val="008D3790"/>
    <w:rsid w:val="008D505D"/>
    <w:rsid w:val="008D57A3"/>
    <w:rsid w:val="008D5B96"/>
    <w:rsid w:val="008D6259"/>
    <w:rsid w:val="008D68AE"/>
    <w:rsid w:val="008E0764"/>
    <w:rsid w:val="008E165B"/>
    <w:rsid w:val="008E191D"/>
    <w:rsid w:val="008E3835"/>
    <w:rsid w:val="008E4D6E"/>
    <w:rsid w:val="008E545B"/>
    <w:rsid w:val="008F11C2"/>
    <w:rsid w:val="008F1554"/>
    <w:rsid w:val="008F2DD5"/>
    <w:rsid w:val="008F3868"/>
    <w:rsid w:val="008F5300"/>
    <w:rsid w:val="008F54C5"/>
    <w:rsid w:val="008F56BF"/>
    <w:rsid w:val="008F59B6"/>
    <w:rsid w:val="008F7883"/>
    <w:rsid w:val="00900779"/>
    <w:rsid w:val="00900A9C"/>
    <w:rsid w:val="00900D1A"/>
    <w:rsid w:val="00901380"/>
    <w:rsid w:val="00901CFA"/>
    <w:rsid w:val="00903019"/>
    <w:rsid w:val="009043B5"/>
    <w:rsid w:val="0090557B"/>
    <w:rsid w:val="00905AC8"/>
    <w:rsid w:val="009062FB"/>
    <w:rsid w:val="0091015C"/>
    <w:rsid w:val="00910B32"/>
    <w:rsid w:val="00910C3B"/>
    <w:rsid w:val="00911AC4"/>
    <w:rsid w:val="00911D0A"/>
    <w:rsid w:val="009120C5"/>
    <w:rsid w:val="0091611D"/>
    <w:rsid w:val="00916C60"/>
    <w:rsid w:val="00917D69"/>
    <w:rsid w:val="009205AF"/>
    <w:rsid w:val="00921AA0"/>
    <w:rsid w:val="00921ABD"/>
    <w:rsid w:val="00921B45"/>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16C2"/>
    <w:rsid w:val="00951DBD"/>
    <w:rsid w:val="0095369B"/>
    <w:rsid w:val="009538AA"/>
    <w:rsid w:val="00954815"/>
    <w:rsid w:val="0095554C"/>
    <w:rsid w:val="00957BFA"/>
    <w:rsid w:val="0096054A"/>
    <w:rsid w:val="00962613"/>
    <w:rsid w:val="00962FE9"/>
    <w:rsid w:val="00964911"/>
    <w:rsid w:val="009651C0"/>
    <w:rsid w:val="00965222"/>
    <w:rsid w:val="00965987"/>
    <w:rsid w:val="00967005"/>
    <w:rsid w:val="0097176E"/>
    <w:rsid w:val="00973B69"/>
    <w:rsid w:val="00974E7A"/>
    <w:rsid w:val="00975E01"/>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0235"/>
    <w:rsid w:val="009A2000"/>
    <w:rsid w:val="009A3A70"/>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6F55"/>
    <w:rsid w:val="009C7345"/>
    <w:rsid w:val="009D0C3F"/>
    <w:rsid w:val="009D1A26"/>
    <w:rsid w:val="009D29AE"/>
    <w:rsid w:val="009D321B"/>
    <w:rsid w:val="009D3F96"/>
    <w:rsid w:val="009D5778"/>
    <w:rsid w:val="009D5E25"/>
    <w:rsid w:val="009D641E"/>
    <w:rsid w:val="009D6E18"/>
    <w:rsid w:val="009E0045"/>
    <w:rsid w:val="009E0122"/>
    <w:rsid w:val="009E0509"/>
    <w:rsid w:val="009E205F"/>
    <w:rsid w:val="009E432B"/>
    <w:rsid w:val="009E4EE1"/>
    <w:rsid w:val="009E52AD"/>
    <w:rsid w:val="009E5AEF"/>
    <w:rsid w:val="009E6F99"/>
    <w:rsid w:val="009E753E"/>
    <w:rsid w:val="009F04DC"/>
    <w:rsid w:val="009F1134"/>
    <w:rsid w:val="009F1A70"/>
    <w:rsid w:val="009F26E5"/>
    <w:rsid w:val="009F5E43"/>
    <w:rsid w:val="009F65B7"/>
    <w:rsid w:val="009F68A2"/>
    <w:rsid w:val="009F74A9"/>
    <w:rsid w:val="009F7FA4"/>
    <w:rsid w:val="00A01B1A"/>
    <w:rsid w:val="00A01FA4"/>
    <w:rsid w:val="00A031A6"/>
    <w:rsid w:val="00A03894"/>
    <w:rsid w:val="00A03F42"/>
    <w:rsid w:val="00A04631"/>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609"/>
    <w:rsid w:val="00A20A72"/>
    <w:rsid w:val="00A21E4B"/>
    <w:rsid w:val="00A22E5F"/>
    <w:rsid w:val="00A230DB"/>
    <w:rsid w:val="00A2341F"/>
    <w:rsid w:val="00A23A00"/>
    <w:rsid w:val="00A23EE4"/>
    <w:rsid w:val="00A24FB3"/>
    <w:rsid w:val="00A25403"/>
    <w:rsid w:val="00A30A5F"/>
    <w:rsid w:val="00A32582"/>
    <w:rsid w:val="00A32C78"/>
    <w:rsid w:val="00A36261"/>
    <w:rsid w:val="00A36557"/>
    <w:rsid w:val="00A366A1"/>
    <w:rsid w:val="00A36D91"/>
    <w:rsid w:val="00A37BC4"/>
    <w:rsid w:val="00A40AC2"/>
    <w:rsid w:val="00A43B69"/>
    <w:rsid w:val="00A45643"/>
    <w:rsid w:val="00A45AC3"/>
    <w:rsid w:val="00A50AAE"/>
    <w:rsid w:val="00A53FB7"/>
    <w:rsid w:val="00A54190"/>
    <w:rsid w:val="00A565B8"/>
    <w:rsid w:val="00A56812"/>
    <w:rsid w:val="00A604EA"/>
    <w:rsid w:val="00A60F28"/>
    <w:rsid w:val="00A611DA"/>
    <w:rsid w:val="00A61879"/>
    <w:rsid w:val="00A621C1"/>
    <w:rsid w:val="00A624D8"/>
    <w:rsid w:val="00A6293C"/>
    <w:rsid w:val="00A62E1B"/>
    <w:rsid w:val="00A66503"/>
    <w:rsid w:val="00A67889"/>
    <w:rsid w:val="00A6789B"/>
    <w:rsid w:val="00A7026A"/>
    <w:rsid w:val="00A703EA"/>
    <w:rsid w:val="00A736E7"/>
    <w:rsid w:val="00A74F32"/>
    <w:rsid w:val="00A76287"/>
    <w:rsid w:val="00A767BE"/>
    <w:rsid w:val="00A77B5A"/>
    <w:rsid w:val="00A77FA7"/>
    <w:rsid w:val="00A82558"/>
    <w:rsid w:val="00A82B39"/>
    <w:rsid w:val="00A82F52"/>
    <w:rsid w:val="00A83F2C"/>
    <w:rsid w:val="00A84154"/>
    <w:rsid w:val="00A8428C"/>
    <w:rsid w:val="00A85906"/>
    <w:rsid w:val="00A86F2A"/>
    <w:rsid w:val="00A8720B"/>
    <w:rsid w:val="00A919DB"/>
    <w:rsid w:val="00A91A23"/>
    <w:rsid w:val="00A921F5"/>
    <w:rsid w:val="00A925BE"/>
    <w:rsid w:val="00A95CF2"/>
    <w:rsid w:val="00A96EC4"/>
    <w:rsid w:val="00A97B47"/>
    <w:rsid w:val="00AA06F4"/>
    <w:rsid w:val="00AA1AF9"/>
    <w:rsid w:val="00AA28EA"/>
    <w:rsid w:val="00AA2CB5"/>
    <w:rsid w:val="00AA4EDC"/>
    <w:rsid w:val="00AA6AAB"/>
    <w:rsid w:val="00AA6C65"/>
    <w:rsid w:val="00AA7D8E"/>
    <w:rsid w:val="00AB1BB4"/>
    <w:rsid w:val="00AB4970"/>
    <w:rsid w:val="00AB4A4F"/>
    <w:rsid w:val="00AB4DF5"/>
    <w:rsid w:val="00AB4F86"/>
    <w:rsid w:val="00AB5145"/>
    <w:rsid w:val="00AB52BB"/>
    <w:rsid w:val="00AB5FD3"/>
    <w:rsid w:val="00AB6905"/>
    <w:rsid w:val="00AB7374"/>
    <w:rsid w:val="00AC12AF"/>
    <w:rsid w:val="00AC1A7A"/>
    <w:rsid w:val="00AC2797"/>
    <w:rsid w:val="00AC2C87"/>
    <w:rsid w:val="00AC4374"/>
    <w:rsid w:val="00AC7A04"/>
    <w:rsid w:val="00AC7F64"/>
    <w:rsid w:val="00AD0411"/>
    <w:rsid w:val="00AD070E"/>
    <w:rsid w:val="00AD0BC2"/>
    <w:rsid w:val="00AD2597"/>
    <w:rsid w:val="00AD25F3"/>
    <w:rsid w:val="00AD26EF"/>
    <w:rsid w:val="00AD4E99"/>
    <w:rsid w:val="00AD58AF"/>
    <w:rsid w:val="00AD699F"/>
    <w:rsid w:val="00AE24CE"/>
    <w:rsid w:val="00AE2CB4"/>
    <w:rsid w:val="00AE4374"/>
    <w:rsid w:val="00AE4888"/>
    <w:rsid w:val="00AE55ED"/>
    <w:rsid w:val="00AE57CA"/>
    <w:rsid w:val="00AE61FF"/>
    <w:rsid w:val="00AE68F5"/>
    <w:rsid w:val="00AE78CA"/>
    <w:rsid w:val="00AF00D9"/>
    <w:rsid w:val="00AF04E1"/>
    <w:rsid w:val="00AF0ED6"/>
    <w:rsid w:val="00AF1764"/>
    <w:rsid w:val="00AF1CC9"/>
    <w:rsid w:val="00AF25DB"/>
    <w:rsid w:val="00AF3B45"/>
    <w:rsid w:val="00AF40A5"/>
    <w:rsid w:val="00AF5B5F"/>
    <w:rsid w:val="00AF7F25"/>
    <w:rsid w:val="00B000B0"/>
    <w:rsid w:val="00B00164"/>
    <w:rsid w:val="00B00561"/>
    <w:rsid w:val="00B00F1B"/>
    <w:rsid w:val="00B035FC"/>
    <w:rsid w:val="00B03B19"/>
    <w:rsid w:val="00B03B1F"/>
    <w:rsid w:val="00B03F49"/>
    <w:rsid w:val="00B0533C"/>
    <w:rsid w:val="00B053B0"/>
    <w:rsid w:val="00B10337"/>
    <w:rsid w:val="00B108D6"/>
    <w:rsid w:val="00B10BF6"/>
    <w:rsid w:val="00B12840"/>
    <w:rsid w:val="00B12EC0"/>
    <w:rsid w:val="00B15E94"/>
    <w:rsid w:val="00B16947"/>
    <w:rsid w:val="00B16F56"/>
    <w:rsid w:val="00B20C1E"/>
    <w:rsid w:val="00B20ECF"/>
    <w:rsid w:val="00B21407"/>
    <w:rsid w:val="00B214A5"/>
    <w:rsid w:val="00B21F14"/>
    <w:rsid w:val="00B2244D"/>
    <w:rsid w:val="00B239F4"/>
    <w:rsid w:val="00B2463B"/>
    <w:rsid w:val="00B254E4"/>
    <w:rsid w:val="00B274FB"/>
    <w:rsid w:val="00B27BF4"/>
    <w:rsid w:val="00B311FD"/>
    <w:rsid w:val="00B3467F"/>
    <w:rsid w:val="00B364FB"/>
    <w:rsid w:val="00B37728"/>
    <w:rsid w:val="00B40173"/>
    <w:rsid w:val="00B40564"/>
    <w:rsid w:val="00B40843"/>
    <w:rsid w:val="00B40C80"/>
    <w:rsid w:val="00B41C97"/>
    <w:rsid w:val="00B435F3"/>
    <w:rsid w:val="00B43794"/>
    <w:rsid w:val="00B44677"/>
    <w:rsid w:val="00B46AE4"/>
    <w:rsid w:val="00B4730A"/>
    <w:rsid w:val="00B47FF4"/>
    <w:rsid w:val="00B52270"/>
    <w:rsid w:val="00B52808"/>
    <w:rsid w:val="00B5398F"/>
    <w:rsid w:val="00B55EB0"/>
    <w:rsid w:val="00B6099F"/>
    <w:rsid w:val="00B60EAA"/>
    <w:rsid w:val="00B625BE"/>
    <w:rsid w:val="00B64732"/>
    <w:rsid w:val="00B65BCA"/>
    <w:rsid w:val="00B66183"/>
    <w:rsid w:val="00B66D67"/>
    <w:rsid w:val="00B66FC5"/>
    <w:rsid w:val="00B67082"/>
    <w:rsid w:val="00B67703"/>
    <w:rsid w:val="00B73199"/>
    <w:rsid w:val="00B7337D"/>
    <w:rsid w:val="00B73397"/>
    <w:rsid w:val="00B7595E"/>
    <w:rsid w:val="00B75D73"/>
    <w:rsid w:val="00B7628E"/>
    <w:rsid w:val="00B77328"/>
    <w:rsid w:val="00B775AF"/>
    <w:rsid w:val="00B8038C"/>
    <w:rsid w:val="00B81342"/>
    <w:rsid w:val="00B83EE0"/>
    <w:rsid w:val="00B865F2"/>
    <w:rsid w:val="00B8733E"/>
    <w:rsid w:val="00B93BED"/>
    <w:rsid w:val="00B9515D"/>
    <w:rsid w:val="00B95A7C"/>
    <w:rsid w:val="00B96D79"/>
    <w:rsid w:val="00B973FF"/>
    <w:rsid w:val="00BA077E"/>
    <w:rsid w:val="00BA5997"/>
    <w:rsid w:val="00BA7014"/>
    <w:rsid w:val="00BA7EF7"/>
    <w:rsid w:val="00BA7F51"/>
    <w:rsid w:val="00BB04A8"/>
    <w:rsid w:val="00BB0E8B"/>
    <w:rsid w:val="00BB0FDF"/>
    <w:rsid w:val="00BB1345"/>
    <w:rsid w:val="00BB19F5"/>
    <w:rsid w:val="00BB641F"/>
    <w:rsid w:val="00BB6A0D"/>
    <w:rsid w:val="00BB7B30"/>
    <w:rsid w:val="00BB7E7A"/>
    <w:rsid w:val="00BC04CF"/>
    <w:rsid w:val="00BC31C9"/>
    <w:rsid w:val="00BC44B4"/>
    <w:rsid w:val="00BC488E"/>
    <w:rsid w:val="00BC58EA"/>
    <w:rsid w:val="00BC6E39"/>
    <w:rsid w:val="00BD0109"/>
    <w:rsid w:val="00BD1BDB"/>
    <w:rsid w:val="00BD2A25"/>
    <w:rsid w:val="00BD3BB8"/>
    <w:rsid w:val="00BD4272"/>
    <w:rsid w:val="00BD4491"/>
    <w:rsid w:val="00BD6FF3"/>
    <w:rsid w:val="00BE00E7"/>
    <w:rsid w:val="00BE0144"/>
    <w:rsid w:val="00BE1BEF"/>
    <w:rsid w:val="00BE1D77"/>
    <w:rsid w:val="00BE21C2"/>
    <w:rsid w:val="00BE2E66"/>
    <w:rsid w:val="00BE3B3F"/>
    <w:rsid w:val="00BE51C7"/>
    <w:rsid w:val="00BF128E"/>
    <w:rsid w:val="00BF444F"/>
    <w:rsid w:val="00BF49C7"/>
    <w:rsid w:val="00BF4E0C"/>
    <w:rsid w:val="00BF5A2E"/>
    <w:rsid w:val="00BF6770"/>
    <w:rsid w:val="00BF6F0C"/>
    <w:rsid w:val="00BF76BC"/>
    <w:rsid w:val="00C0054E"/>
    <w:rsid w:val="00C016B0"/>
    <w:rsid w:val="00C01D98"/>
    <w:rsid w:val="00C037E6"/>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0576"/>
    <w:rsid w:val="00C21AA7"/>
    <w:rsid w:val="00C21B40"/>
    <w:rsid w:val="00C21C6A"/>
    <w:rsid w:val="00C21F9D"/>
    <w:rsid w:val="00C235CE"/>
    <w:rsid w:val="00C313F0"/>
    <w:rsid w:val="00C330FB"/>
    <w:rsid w:val="00C345FE"/>
    <w:rsid w:val="00C34DB1"/>
    <w:rsid w:val="00C37C24"/>
    <w:rsid w:val="00C37D24"/>
    <w:rsid w:val="00C37E20"/>
    <w:rsid w:val="00C37E42"/>
    <w:rsid w:val="00C44575"/>
    <w:rsid w:val="00C45568"/>
    <w:rsid w:val="00C46780"/>
    <w:rsid w:val="00C46BAD"/>
    <w:rsid w:val="00C46FFC"/>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974"/>
    <w:rsid w:val="00C678C8"/>
    <w:rsid w:val="00C704BB"/>
    <w:rsid w:val="00C7085F"/>
    <w:rsid w:val="00C70E1A"/>
    <w:rsid w:val="00C71053"/>
    <w:rsid w:val="00C7193E"/>
    <w:rsid w:val="00C726C7"/>
    <w:rsid w:val="00C74341"/>
    <w:rsid w:val="00C76AA5"/>
    <w:rsid w:val="00C80653"/>
    <w:rsid w:val="00C81AA5"/>
    <w:rsid w:val="00C81E33"/>
    <w:rsid w:val="00C82D7C"/>
    <w:rsid w:val="00C83623"/>
    <w:rsid w:val="00C85FD7"/>
    <w:rsid w:val="00C87DB4"/>
    <w:rsid w:val="00C90D7B"/>
    <w:rsid w:val="00C91395"/>
    <w:rsid w:val="00C927D7"/>
    <w:rsid w:val="00C934D3"/>
    <w:rsid w:val="00C93648"/>
    <w:rsid w:val="00C93859"/>
    <w:rsid w:val="00C94E95"/>
    <w:rsid w:val="00C95BDF"/>
    <w:rsid w:val="00C95CB1"/>
    <w:rsid w:val="00C96184"/>
    <w:rsid w:val="00C96482"/>
    <w:rsid w:val="00C972EC"/>
    <w:rsid w:val="00CA153E"/>
    <w:rsid w:val="00CA32E6"/>
    <w:rsid w:val="00CA46CE"/>
    <w:rsid w:val="00CA525A"/>
    <w:rsid w:val="00CA52A0"/>
    <w:rsid w:val="00CA6DCC"/>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5612"/>
    <w:rsid w:val="00CC57AC"/>
    <w:rsid w:val="00CC5A8B"/>
    <w:rsid w:val="00CC5DF2"/>
    <w:rsid w:val="00CC647F"/>
    <w:rsid w:val="00CC72E4"/>
    <w:rsid w:val="00CC7BF9"/>
    <w:rsid w:val="00CD0382"/>
    <w:rsid w:val="00CD1A8E"/>
    <w:rsid w:val="00CD1E9A"/>
    <w:rsid w:val="00CD2E49"/>
    <w:rsid w:val="00CD368B"/>
    <w:rsid w:val="00CD3DCB"/>
    <w:rsid w:val="00CD4947"/>
    <w:rsid w:val="00CD4B8C"/>
    <w:rsid w:val="00CD5598"/>
    <w:rsid w:val="00CD75A0"/>
    <w:rsid w:val="00CD7797"/>
    <w:rsid w:val="00CE1586"/>
    <w:rsid w:val="00CE318E"/>
    <w:rsid w:val="00CE344D"/>
    <w:rsid w:val="00CE5494"/>
    <w:rsid w:val="00CE5BC2"/>
    <w:rsid w:val="00CE5FF0"/>
    <w:rsid w:val="00CE61F7"/>
    <w:rsid w:val="00CE62FD"/>
    <w:rsid w:val="00CF2418"/>
    <w:rsid w:val="00CF501B"/>
    <w:rsid w:val="00CF57CF"/>
    <w:rsid w:val="00CF7899"/>
    <w:rsid w:val="00D00C15"/>
    <w:rsid w:val="00D0114D"/>
    <w:rsid w:val="00D01D1A"/>
    <w:rsid w:val="00D02082"/>
    <w:rsid w:val="00D02606"/>
    <w:rsid w:val="00D03967"/>
    <w:rsid w:val="00D042F5"/>
    <w:rsid w:val="00D06384"/>
    <w:rsid w:val="00D06419"/>
    <w:rsid w:val="00D068CF"/>
    <w:rsid w:val="00D06A68"/>
    <w:rsid w:val="00D07459"/>
    <w:rsid w:val="00D12FC0"/>
    <w:rsid w:val="00D146A1"/>
    <w:rsid w:val="00D14B6A"/>
    <w:rsid w:val="00D15AB1"/>
    <w:rsid w:val="00D16345"/>
    <w:rsid w:val="00D16FE0"/>
    <w:rsid w:val="00D175EE"/>
    <w:rsid w:val="00D20DFB"/>
    <w:rsid w:val="00D22644"/>
    <w:rsid w:val="00D22B96"/>
    <w:rsid w:val="00D22D5C"/>
    <w:rsid w:val="00D22FC3"/>
    <w:rsid w:val="00D241DB"/>
    <w:rsid w:val="00D24A05"/>
    <w:rsid w:val="00D25828"/>
    <w:rsid w:val="00D25B0B"/>
    <w:rsid w:val="00D26335"/>
    <w:rsid w:val="00D266FF"/>
    <w:rsid w:val="00D274BE"/>
    <w:rsid w:val="00D27643"/>
    <w:rsid w:val="00D3012B"/>
    <w:rsid w:val="00D307A5"/>
    <w:rsid w:val="00D31605"/>
    <w:rsid w:val="00D325BC"/>
    <w:rsid w:val="00D3383B"/>
    <w:rsid w:val="00D35F2D"/>
    <w:rsid w:val="00D36D2C"/>
    <w:rsid w:val="00D400EB"/>
    <w:rsid w:val="00D4130B"/>
    <w:rsid w:val="00D42201"/>
    <w:rsid w:val="00D4220F"/>
    <w:rsid w:val="00D42EA6"/>
    <w:rsid w:val="00D42FAB"/>
    <w:rsid w:val="00D46051"/>
    <w:rsid w:val="00D47B70"/>
    <w:rsid w:val="00D47B89"/>
    <w:rsid w:val="00D502B5"/>
    <w:rsid w:val="00D502BC"/>
    <w:rsid w:val="00D503B5"/>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469"/>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652D"/>
    <w:rsid w:val="00D967E9"/>
    <w:rsid w:val="00D968CE"/>
    <w:rsid w:val="00D9741A"/>
    <w:rsid w:val="00DA0C9A"/>
    <w:rsid w:val="00DA1246"/>
    <w:rsid w:val="00DA2A71"/>
    <w:rsid w:val="00DA2F62"/>
    <w:rsid w:val="00DA31B1"/>
    <w:rsid w:val="00DA556E"/>
    <w:rsid w:val="00DA6F15"/>
    <w:rsid w:val="00DB1A6A"/>
    <w:rsid w:val="00DB2C18"/>
    <w:rsid w:val="00DB2FEE"/>
    <w:rsid w:val="00DB320C"/>
    <w:rsid w:val="00DB3CF7"/>
    <w:rsid w:val="00DB45CA"/>
    <w:rsid w:val="00DB53A8"/>
    <w:rsid w:val="00DB541C"/>
    <w:rsid w:val="00DB56D1"/>
    <w:rsid w:val="00DB5A64"/>
    <w:rsid w:val="00DB609E"/>
    <w:rsid w:val="00DB6268"/>
    <w:rsid w:val="00DB6F83"/>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3B46"/>
    <w:rsid w:val="00DD4C58"/>
    <w:rsid w:val="00DD5D92"/>
    <w:rsid w:val="00DD63B4"/>
    <w:rsid w:val="00DD67AA"/>
    <w:rsid w:val="00DD7E26"/>
    <w:rsid w:val="00DD7E8D"/>
    <w:rsid w:val="00DE0B6C"/>
    <w:rsid w:val="00DE1E6F"/>
    <w:rsid w:val="00DE2B34"/>
    <w:rsid w:val="00DE31EA"/>
    <w:rsid w:val="00DE358F"/>
    <w:rsid w:val="00DE36F5"/>
    <w:rsid w:val="00DE4BE5"/>
    <w:rsid w:val="00DE621A"/>
    <w:rsid w:val="00DF02E0"/>
    <w:rsid w:val="00DF06BF"/>
    <w:rsid w:val="00DF0F9E"/>
    <w:rsid w:val="00DF322F"/>
    <w:rsid w:val="00DF423B"/>
    <w:rsid w:val="00DF437F"/>
    <w:rsid w:val="00DF5591"/>
    <w:rsid w:val="00DF5ED5"/>
    <w:rsid w:val="00E006F2"/>
    <w:rsid w:val="00E02E83"/>
    <w:rsid w:val="00E03347"/>
    <w:rsid w:val="00E03CC3"/>
    <w:rsid w:val="00E053D1"/>
    <w:rsid w:val="00E058D6"/>
    <w:rsid w:val="00E06137"/>
    <w:rsid w:val="00E0697E"/>
    <w:rsid w:val="00E07990"/>
    <w:rsid w:val="00E1020F"/>
    <w:rsid w:val="00E11840"/>
    <w:rsid w:val="00E138C6"/>
    <w:rsid w:val="00E139BA"/>
    <w:rsid w:val="00E158E2"/>
    <w:rsid w:val="00E16233"/>
    <w:rsid w:val="00E17692"/>
    <w:rsid w:val="00E179F4"/>
    <w:rsid w:val="00E17DB2"/>
    <w:rsid w:val="00E234B0"/>
    <w:rsid w:val="00E23AB7"/>
    <w:rsid w:val="00E24642"/>
    <w:rsid w:val="00E25DE2"/>
    <w:rsid w:val="00E26E11"/>
    <w:rsid w:val="00E27553"/>
    <w:rsid w:val="00E31F38"/>
    <w:rsid w:val="00E322B0"/>
    <w:rsid w:val="00E327BB"/>
    <w:rsid w:val="00E33A3A"/>
    <w:rsid w:val="00E413CB"/>
    <w:rsid w:val="00E41446"/>
    <w:rsid w:val="00E4150E"/>
    <w:rsid w:val="00E42BA4"/>
    <w:rsid w:val="00E4687A"/>
    <w:rsid w:val="00E46A79"/>
    <w:rsid w:val="00E472F0"/>
    <w:rsid w:val="00E47C9F"/>
    <w:rsid w:val="00E531FD"/>
    <w:rsid w:val="00E5419F"/>
    <w:rsid w:val="00E56AF2"/>
    <w:rsid w:val="00E57A55"/>
    <w:rsid w:val="00E60747"/>
    <w:rsid w:val="00E6194B"/>
    <w:rsid w:val="00E61BBD"/>
    <w:rsid w:val="00E62195"/>
    <w:rsid w:val="00E6223F"/>
    <w:rsid w:val="00E63207"/>
    <w:rsid w:val="00E63476"/>
    <w:rsid w:val="00E639F1"/>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E26"/>
    <w:rsid w:val="00E92E58"/>
    <w:rsid w:val="00E934FD"/>
    <w:rsid w:val="00E942D2"/>
    <w:rsid w:val="00E95301"/>
    <w:rsid w:val="00E95E2E"/>
    <w:rsid w:val="00E9677C"/>
    <w:rsid w:val="00EA08EF"/>
    <w:rsid w:val="00EA35AE"/>
    <w:rsid w:val="00EA38DF"/>
    <w:rsid w:val="00EA423F"/>
    <w:rsid w:val="00EA4A18"/>
    <w:rsid w:val="00EA5247"/>
    <w:rsid w:val="00EA6406"/>
    <w:rsid w:val="00EA6C04"/>
    <w:rsid w:val="00EA714E"/>
    <w:rsid w:val="00EA7BC2"/>
    <w:rsid w:val="00EB0976"/>
    <w:rsid w:val="00EB2125"/>
    <w:rsid w:val="00EB3E9A"/>
    <w:rsid w:val="00EB47EF"/>
    <w:rsid w:val="00EB49E6"/>
    <w:rsid w:val="00EB4C13"/>
    <w:rsid w:val="00EB5370"/>
    <w:rsid w:val="00EB739C"/>
    <w:rsid w:val="00EB7709"/>
    <w:rsid w:val="00EC0C6F"/>
    <w:rsid w:val="00EC1A58"/>
    <w:rsid w:val="00EC2709"/>
    <w:rsid w:val="00EC433A"/>
    <w:rsid w:val="00EC4E9E"/>
    <w:rsid w:val="00EC73B2"/>
    <w:rsid w:val="00EC7A77"/>
    <w:rsid w:val="00EC7BC5"/>
    <w:rsid w:val="00ED1213"/>
    <w:rsid w:val="00ED1EA6"/>
    <w:rsid w:val="00ED296A"/>
    <w:rsid w:val="00ED454B"/>
    <w:rsid w:val="00ED4E9C"/>
    <w:rsid w:val="00ED539B"/>
    <w:rsid w:val="00ED5BC7"/>
    <w:rsid w:val="00ED7C59"/>
    <w:rsid w:val="00ED7DC7"/>
    <w:rsid w:val="00EE026D"/>
    <w:rsid w:val="00EE1467"/>
    <w:rsid w:val="00EE287E"/>
    <w:rsid w:val="00EE3F2F"/>
    <w:rsid w:val="00EE50A3"/>
    <w:rsid w:val="00EE6361"/>
    <w:rsid w:val="00EF053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20D8"/>
    <w:rsid w:val="00F03465"/>
    <w:rsid w:val="00F039F6"/>
    <w:rsid w:val="00F03A26"/>
    <w:rsid w:val="00F041CE"/>
    <w:rsid w:val="00F041E0"/>
    <w:rsid w:val="00F052F1"/>
    <w:rsid w:val="00F05345"/>
    <w:rsid w:val="00F05B41"/>
    <w:rsid w:val="00F0693E"/>
    <w:rsid w:val="00F07DEA"/>
    <w:rsid w:val="00F10D70"/>
    <w:rsid w:val="00F10E3C"/>
    <w:rsid w:val="00F11158"/>
    <w:rsid w:val="00F1478F"/>
    <w:rsid w:val="00F147B2"/>
    <w:rsid w:val="00F15066"/>
    <w:rsid w:val="00F157D2"/>
    <w:rsid w:val="00F17D4A"/>
    <w:rsid w:val="00F219A5"/>
    <w:rsid w:val="00F22C36"/>
    <w:rsid w:val="00F230F4"/>
    <w:rsid w:val="00F23433"/>
    <w:rsid w:val="00F23490"/>
    <w:rsid w:val="00F24DE8"/>
    <w:rsid w:val="00F2541C"/>
    <w:rsid w:val="00F25EC3"/>
    <w:rsid w:val="00F26C37"/>
    <w:rsid w:val="00F314FA"/>
    <w:rsid w:val="00F31ED1"/>
    <w:rsid w:val="00F32EB3"/>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3F29"/>
    <w:rsid w:val="00F54445"/>
    <w:rsid w:val="00F552A9"/>
    <w:rsid w:val="00F5628B"/>
    <w:rsid w:val="00F56688"/>
    <w:rsid w:val="00F572B1"/>
    <w:rsid w:val="00F60448"/>
    <w:rsid w:val="00F60B18"/>
    <w:rsid w:val="00F611B3"/>
    <w:rsid w:val="00F63AAF"/>
    <w:rsid w:val="00F63E0A"/>
    <w:rsid w:val="00F644DD"/>
    <w:rsid w:val="00F7096E"/>
    <w:rsid w:val="00F71D06"/>
    <w:rsid w:val="00F741E3"/>
    <w:rsid w:val="00F75C54"/>
    <w:rsid w:val="00F800B7"/>
    <w:rsid w:val="00F80AE7"/>
    <w:rsid w:val="00F81F82"/>
    <w:rsid w:val="00F82A7A"/>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50EB"/>
    <w:rsid w:val="00F95285"/>
    <w:rsid w:val="00F953AE"/>
    <w:rsid w:val="00F9545A"/>
    <w:rsid w:val="00F956C9"/>
    <w:rsid w:val="00F96B84"/>
    <w:rsid w:val="00F96F5A"/>
    <w:rsid w:val="00F977F1"/>
    <w:rsid w:val="00FA59DD"/>
    <w:rsid w:val="00FA6372"/>
    <w:rsid w:val="00FA669F"/>
    <w:rsid w:val="00FA7771"/>
    <w:rsid w:val="00FB167D"/>
    <w:rsid w:val="00FB1C2E"/>
    <w:rsid w:val="00FB3165"/>
    <w:rsid w:val="00FB457A"/>
    <w:rsid w:val="00FB673B"/>
    <w:rsid w:val="00FB6BCD"/>
    <w:rsid w:val="00FB74E8"/>
    <w:rsid w:val="00FC04DE"/>
    <w:rsid w:val="00FC22A4"/>
    <w:rsid w:val="00FC29BF"/>
    <w:rsid w:val="00FC41FF"/>
    <w:rsid w:val="00FC421C"/>
    <w:rsid w:val="00FC4791"/>
    <w:rsid w:val="00FC4BFE"/>
    <w:rsid w:val="00FC5E8A"/>
    <w:rsid w:val="00FC75C9"/>
    <w:rsid w:val="00FD0159"/>
    <w:rsid w:val="00FD0BBA"/>
    <w:rsid w:val="00FD20E1"/>
    <w:rsid w:val="00FD2818"/>
    <w:rsid w:val="00FD4A30"/>
    <w:rsid w:val="00FD5808"/>
    <w:rsid w:val="00FD5E9C"/>
    <w:rsid w:val="00FD625A"/>
    <w:rsid w:val="00FD6382"/>
    <w:rsid w:val="00FD74CE"/>
    <w:rsid w:val="00FE0E81"/>
    <w:rsid w:val="00FE3004"/>
    <w:rsid w:val="00FE32AF"/>
    <w:rsid w:val="00FE3CF4"/>
    <w:rsid w:val="00FE6A1E"/>
    <w:rsid w:val="00FE6B2A"/>
    <w:rsid w:val="00FE7F66"/>
    <w:rsid w:val="00FF0343"/>
    <w:rsid w:val="00FF0CF7"/>
    <w:rsid w:val="00FF1F8D"/>
    <w:rsid w:val="00FF3CB8"/>
    <w:rsid w:val="00FF40BB"/>
    <w:rsid w:val="00FF5CED"/>
    <w:rsid w:val="00FF7300"/>
    <w:rsid w:val="00FF735B"/>
    <w:rsid w:val="044B6CEC"/>
    <w:rsid w:val="050719EC"/>
    <w:rsid w:val="059F6C32"/>
    <w:rsid w:val="07BD6BBD"/>
    <w:rsid w:val="08F57ACE"/>
    <w:rsid w:val="0A82217F"/>
    <w:rsid w:val="0EE27BF1"/>
    <w:rsid w:val="0F816FC3"/>
    <w:rsid w:val="11D75DFD"/>
    <w:rsid w:val="13C955F1"/>
    <w:rsid w:val="13E00B11"/>
    <w:rsid w:val="1FE96C05"/>
    <w:rsid w:val="24813D24"/>
    <w:rsid w:val="26802BE9"/>
    <w:rsid w:val="26D079AB"/>
    <w:rsid w:val="29F75201"/>
    <w:rsid w:val="2CEF4508"/>
    <w:rsid w:val="2EED469D"/>
    <w:rsid w:val="2F2A4EDE"/>
    <w:rsid w:val="32F368DA"/>
    <w:rsid w:val="34F92CC6"/>
    <w:rsid w:val="36BC0B12"/>
    <w:rsid w:val="38E20575"/>
    <w:rsid w:val="3AE113B1"/>
    <w:rsid w:val="3DEB0EC4"/>
    <w:rsid w:val="40063D93"/>
    <w:rsid w:val="41007371"/>
    <w:rsid w:val="41382CD2"/>
    <w:rsid w:val="446E0159"/>
    <w:rsid w:val="44E72BBB"/>
    <w:rsid w:val="452007C2"/>
    <w:rsid w:val="46601D24"/>
    <w:rsid w:val="46696E2A"/>
    <w:rsid w:val="4E5D3917"/>
    <w:rsid w:val="52E31E5C"/>
    <w:rsid w:val="5385202A"/>
    <w:rsid w:val="550F5041"/>
    <w:rsid w:val="59887928"/>
    <w:rsid w:val="59AD11A6"/>
    <w:rsid w:val="5B745BFD"/>
    <w:rsid w:val="5B8E4476"/>
    <w:rsid w:val="5D5B1562"/>
    <w:rsid w:val="61E95C30"/>
    <w:rsid w:val="620942F4"/>
    <w:rsid w:val="629B42BC"/>
    <w:rsid w:val="66897503"/>
    <w:rsid w:val="6CED3A62"/>
    <w:rsid w:val="71BB5107"/>
    <w:rsid w:val="76FA1255"/>
    <w:rsid w:val="7BEB0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4">
    <w:name w:val="heading 3"/>
    <w:basedOn w:val="1"/>
    <w:next w:val="1"/>
    <w:qFormat/>
    <w:uiPriority w:val="0"/>
    <w:pPr>
      <w:keepNext/>
      <w:keepLines/>
      <w:spacing w:line="360" w:lineRule="auto"/>
      <w:outlineLvl w:val="2"/>
    </w:pPr>
    <w:rPr>
      <w:bCs/>
      <w:szCs w:val="32"/>
    </w:rPr>
  </w:style>
  <w:style w:type="paragraph" w:styleId="5">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0"/>
    <w:semiHidden/>
    <w:unhideWhenUsed/>
    <w:qFormat/>
    <w:uiPriority w:val="99"/>
    <w:pPr>
      <w:jc w:val="left"/>
    </w:p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6"/>
    <w:next w:val="6"/>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semiHidden/>
    <w:unhideWhenUsed/>
    <w:qFormat/>
    <w:uiPriority w:val="99"/>
    <w:rPr>
      <w:color w:val="0000FF"/>
      <w:u w:val="single"/>
    </w:rPr>
  </w:style>
  <w:style w:type="character" w:styleId="16">
    <w:name w:val="annotation reference"/>
    <w:basedOn w:val="14"/>
    <w:semiHidden/>
    <w:unhideWhenUsed/>
    <w:qFormat/>
    <w:uiPriority w:val="99"/>
    <w:rPr>
      <w:sz w:val="21"/>
      <w:szCs w:val="21"/>
    </w:rPr>
  </w:style>
  <w:style w:type="character" w:customStyle="1" w:styleId="17">
    <w:name w:val="标题 2 字符"/>
    <w:basedOn w:val="14"/>
    <w:link w:val="3"/>
    <w:qFormat/>
    <w:uiPriority w:val="99"/>
    <w:rPr>
      <w:rFonts w:ascii="Cambria" w:hAnsi="Cambria" w:eastAsia="宋体" w:cs="Times New Roman"/>
      <w:b/>
      <w:bCs/>
      <w:sz w:val="32"/>
      <w:szCs w:val="32"/>
    </w:rPr>
  </w:style>
  <w:style w:type="character" w:customStyle="1" w:styleId="18">
    <w:name w:val="标题 1 字符"/>
    <w:basedOn w:val="14"/>
    <w:link w:val="2"/>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字符"/>
    <w:basedOn w:val="14"/>
    <w:link w:val="6"/>
    <w:semiHidden/>
    <w:qFormat/>
    <w:uiPriority w:val="99"/>
    <w:rPr>
      <w:rFonts w:ascii="Times New Roman" w:hAnsi="Times New Roman" w:eastAsia="宋体" w:cs="Times New Roman"/>
      <w:szCs w:val="24"/>
    </w:rPr>
  </w:style>
  <w:style w:type="character" w:customStyle="1" w:styleId="21">
    <w:name w:val="批注主题 字符"/>
    <w:basedOn w:val="20"/>
    <w:link w:val="11"/>
    <w:semiHidden/>
    <w:qFormat/>
    <w:uiPriority w:val="99"/>
    <w:rPr>
      <w:rFonts w:ascii="Times New Roman" w:hAnsi="Times New Roman" w:eastAsia="宋体" w:cs="Times New Roman"/>
      <w:b/>
      <w:bCs/>
      <w:szCs w:val="24"/>
    </w:rPr>
  </w:style>
  <w:style w:type="character" w:customStyle="1" w:styleId="22">
    <w:name w:val="批注框文本 字符"/>
    <w:basedOn w:val="14"/>
    <w:link w:val="7"/>
    <w:semiHidden/>
    <w:qFormat/>
    <w:uiPriority w:val="99"/>
    <w:rPr>
      <w:rFonts w:ascii="Times New Roman" w:hAnsi="Times New Roman" w:eastAsia="宋体" w:cs="Times New Roman"/>
      <w:sz w:val="18"/>
      <w:szCs w:val="18"/>
    </w:rPr>
  </w:style>
  <w:style w:type="character" w:customStyle="1" w:styleId="23">
    <w:name w:val="页眉 字符"/>
    <w:basedOn w:val="14"/>
    <w:link w:val="9"/>
    <w:qFormat/>
    <w:uiPriority w:val="99"/>
    <w:rPr>
      <w:rFonts w:ascii="Times New Roman" w:hAnsi="Times New Roman" w:eastAsia="宋体" w:cs="Times New Roman"/>
      <w:sz w:val="18"/>
      <w:szCs w:val="18"/>
    </w:rPr>
  </w:style>
  <w:style w:type="character" w:customStyle="1" w:styleId="24">
    <w:name w:val="页脚 字符"/>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8">
    <w:name w:val="表内"/>
    <w:basedOn w:val="1"/>
    <w:autoRedefine/>
    <w:qFormat/>
    <w:uiPriority w:val="0"/>
    <w:pPr>
      <w:spacing w:line="300" w:lineRule="exact"/>
      <w:ind w:firstLine="0" w:firstLineChars="0"/>
      <w:jc w:val="center"/>
    </w:pPr>
    <w:rPr>
      <w:rFonts w:hint="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7D74244-F846-4B47-8BA4-CF263E98E99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7</Pages>
  <Words>4824</Words>
  <Characters>5298</Characters>
  <Lines>35</Lines>
  <Paragraphs>10</Paragraphs>
  <TotalTime>6</TotalTime>
  <ScaleCrop>false</ScaleCrop>
  <LinksUpToDate>false</LinksUpToDate>
  <CharactersWithSpaces>5300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2020-04-06T05:17:00Z</dcterms:created>
  <dc:creator>刘明旭</dc:creator>
  <cp:lastModifiedBy>送送</cp:lastModifiedBy>
  <cp:lastPrinted>2021-04-27T08:49:00Z</cp:lastPrinted>
  <dcterms:modified xsi:type="dcterms:W3CDTF">2025-07-11T10:28:36Z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17F72650BC814C16AADB004F68FCBC56</vt:lpwstr>
  </property>
  <property fmtid="{D5CDD505-2E9C-101B-9397-08002B2CF9AE}" pid="4" name="KSOTemplateDocerSaveRecord">
    <vt:lpwstr>eyJoZGlkIjoiNDVlZmQyZjg4MzI5NTBhYmIyZWMxYjk4MzMyMTIwYWMiLCJ1c2VySWQiOiI0MzA0MzQzNjkifQ==</vt:lpwstr>
  </property>
</Properties>
</file>