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824C5C">
      <w:pPr>
        <w:ind w:left="321" w:leftChars="153" w:right="227"/>
        <w:jc w:val="center"/>
        <w:rPr>
          <w:rFonts w:eastAsia="黑体"/>
          <w:b/>
          <w:bCs/>
          <w:sz w:val="36"/>
          <w:szCs w:val="36"/>
        </w:rPr>
      </w:pPr>
      <w:r>
        <w:rPr>
          <w:rFonts w:hint="eastAsia" w:eastAsia="黑体"/>
          <w:b/>
          <w:bCs/>
          <w:i w:val="0"/>
          <w:iCs/>
          <w:color w:val="auto"/>
          <w:sz w:val="36"/>
          <w:szCs w:val="36"/>
          <w:u w:val="single"/>
          <w:lang w:val="en-US" w:eastAsia="zh-CN"/>
        </w:rPr>
        <w:t>统计学</w:t>
      </w:r>
      <w:r>
        <w:rPr>
          <w:rFonts w:eastAsia="黑体"/>
          <w:b/>
          <w:bCs/>
          <w:sz w:val="36"/>
          <w:szCs w:val="36"/>
        </w:rPr>
        <w:t>专业学术学位硕士研究生培养方案</w:t>
      </w:r>
    </w:p>
    <w:p w14:paraId="70933690">
      <w:pPr>
        <w:ind w:left="321" w:leftChars="153" w:right="227"/>
        <w:jc w:val="center"/>
        <w:rPr>
          <w:rFonts w:eastAsia="黑体"/>
          <w:b/>
          <w:bCs/>
          <w:sz w:val="28"/>
          <w:szCs w:val="28"/>
        </w:rPr>
      </w:pPr>
      <w:r>
        <w:rPr>
          <w:rFonts w:eastAsia="黑体"/>
          <w:b/>
          <w:bCs/>
          <w:sz w:val="28"/>
          <w:szCs w:val="28"/>
        </w:rPr>
        <w:t>（</w:t>
      </w:r>
      <w:r>
        <w:rPr>
          <w:rFonts w:hint="eastAsia" w:eastAsia="黑体"/>
          <w:b/>
          <w:bCs/>
          <w:color w:val="auto"/>
          <w:sz w:val="28"/>
          <w:szCs w:val="28"/>
          <w:lang w:val="en-US" w:eastAsia="zh-CN"/>
        </w:rPr>
        <w:t>经济</w:t>
      </w:r>
      <w:r>
        <w:rPr>
          <w:rFonts w:eastAsia="黑体"/>
          <w:b/>
          <w:bCs/>
          <w:sz w:val="28"/>
          <w:szCs w:val="28"/>
        </w:rPr>
        <w:t>学院)</w:t>
      </w:r>
    </w:p>
    <w:p w14:paraId="1E4E8EC2">
      <w:pPr>
        <w:spacing w:line="440" w:lineRule="exact"/>
        <w:ind w:firstLine="560"/>
        <w:rPr>
          <w:rFonts w:eastAsia="黑体"/>
          <w:bCs/>
          <w:sz w:val="28"/>
          <w:szCs w:val="28"/>
        </w:rPr>
      </w:pPr>
      <w:r>
        <w:rPr>
          <w:rFonts w:eastAsia="黑体"/>
          <w:bCs/>
          <w:sz w:val="28"/>
          <w:szCs w:val="28"/>
        </w:rPr>
        <w:t>一、专业名称、代码</w:t>
      </w:r>
    </w:p>
    <w:p w14:paraId="2BEB7E98">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val="en-US" w:eastAsia="zh-CN"/>
        </w:rPr>
        <w:t>统计学</w:t>
      </w:r>
    </w:p>
    <w:p w14:paraId="186E6B04">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lang w:val="en-US" w:eastAsia="zh-CN"/>
        </w:rPr>
        <w:t>027000</w:t>
      </w:r>
    </w:p>
    <w:p w14:paraId="75D89EAA">
      <w:pPr>
        <w:spacing w:line="440" w:lineRule="exact"/>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7E19D813">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color w:val="222222"/>
          <w:kern w:val="0"/>
          <w:sz w:val="24"/>
        </w:rPr>
      </w:pPr>
      <w:r>
        <w:rPr>
          <w:rFonts w:hint="eastAsia"/>
          <w:color w:val="222222"/>
          <w:kern w:val="0"/>
          <w:sz w:val="24"/>
        </w:rPr>
        <w:t>统计学是关于收集、整理、分析以及解释数据的科学</w:t>
      </w:r>
      <w:r>
        <w:rPr>
          <w:rFonts w:hint="eastAsia"/>
          <w:color w:val="222222"/>
          <w:kern w:val="0"/>
          <w:sz w:val="24"/>
          <w:lang w:eastAsia="zh-CN"/>
        </w:rPr>
        <w:t>，</w:t>
      </w:r>
      <w:r>
        <w:rPr>
          <w:rFonts w:hint="eastAsia"/>
          <w:color w:val="222222"/>
          <w:kern w:val="0"/>
          <w:sz w:val="24"/>
          <w:lang w:val="en-US" w:eastAsia="zh-CN"/>
        </w:rPr>
        <w:t>它</w:t>
      </w:r>
      <w:r>
        <w:rPr>
          <w:rFonts w:hint="eastAsia"/>
          <w:color w:val="222222"/>
          <w:kern w:val="0"/>
          <w:sz w:val="24"/>
        </w:rPr>
        <w:t>在自然科学、人文与社会科学、计算机科学、工程技术、军事、航空航天、人工智能、工业制造、农业生产、生物医药、教育、心理和管理等许多领域都有着广泛的应用，并且推动着这些领域中科学研究的发展。本专业立足经济建设和社会发展的需要，开展</w:t>
      </w:r>
      <w:r>
        <w:rPr>
          <w:rFonts w:hint="eastAsia"/>
          <w:color w:val="222222"/>
          <w:kern w:val="0"/>
          <w:sz w:val="24"/>
          <w:lang w:val="en-US" w:eastAsia="zh-CN"/>
        </w:rPr>
        <w:t>数理统计、经济与社会统计、卫生统计、投入产出分析、数据科学与统计应用</w:t>
      </w:r>
      <w:r>
        <w:rPr>
          <w:rFonts w:hint="eastAsia"/>
          <w:color w:val="222222"/>
          <w:kern w:val="0"/>
          <w:sz w:val="24"/>
        </w:rPr>
        <w:t>等领域的研究，注重培养学生系统掌握数据采集、处理、分析和挖掘的能力，旨在培养政治信念坚定、具有优良的道德品质</w:t>
      </w:r>
      <w:r>
        <w:rPr>
          <w:rFonts w:hint="eastAsia"/>
          <w:color w:val="222222"/>
          <w:kern w:val="0"/>
          <w:sz w:val="24"/>
          <w:lang w:val="en-US" w:eastAsia="zh-CN"/>
        </w:rPr>
        <w:t>和</w:t>
      </w:r>
      <w:r>
        <w:rPr>
          <w:rFonts w:hint="eastAsia"/>
          <w:color w:val="222222"/>
          <w:kern w:val="0"/>
          <w:sz w:val="24"/>
        </w:rPr>
        <w:t>科学探索精神，有志于服务经济发展</w:t>
      </w:r>
      <w:r>
        <w:rPr>
          <w:rFonts w:hint="eastAsia"/>
          <w:color w:val="222222"/>
          <w:kern w:val="0"/>
          <w:sz w:val="24"/>
          <w:lang w:val="en-US" w:eastAsia="zh-CN"/>
        </w:rPr>
        <w:t>和社会公共利益</w:t>
      </w:r>
      <w:r>
        <w:rPr>
          <w:rFonts w:hint="eastAsia"/>
          <w:color w:val="222222"/>
          <w:kern w:val="0"/>
          <w:sz w:val="24"/>
          <w:lang w:eastAsia="zh-CN"/>
        </w:rPr>
        <w:t>，</w:t>
      </w:r>
      <w:r>
        <w:rPr>
          <w:rFonts w:hint="eastAsia"/>
          <w:color w:val="222222"/>
          <w:kern w:val="0"/>
          <w:sz w:val="24"/>
        </w:rPr>
        <w:t>具有扎实的统计学和经济学基础，熟练应用现代统计分析方法和软件工具，掌握现代数据科学与大数据分析方法、具备数据挖掘技术，能够从事统计调查咨询、数据分析、决策支持和信息管理的高层次、复合型统计专门人才。</w:t>
      </w:r>
    </w:p>
    <w:p w14:paraId="6FBB36B8">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color w:val="222222"/>
          <w:kern w:val="0"/>
          <w:sz w:val="24"/>
        </w:rPr>
      </w:pPr>
      <w:r>
        <w:rPr>
          <w:rFonts w:hint="eastAsia"/>
          <w:color w:val="222222"/>
          <w:kern w:val="0"/>
          <w:sz w:val="24"/>
        </w:rPr>
        <w:t>本硕士点依托的河北大学统计学科始建于1972年，由原国家统计局、国家计委、中国人民大学等单位的老一辈专家加盟组建，1986年被评为校级重点学科，1996年建设成为河北大学重点学科，2005年被评为省级重点学科，2019年经济统计学本科专业入选国家级一流本科专业建设点。本硕士点各培养方向师资队伍知识和年龄结构合理，人员配备齐全</w:t>
      </w:r>
      <w:r>
        <w:rPr>
          <w:rFonts w:hint="eastAsia"/>
          <w:color w:val="222222"/>
          <w:kern w:val="0"/>
          <w:sz w:val="24"/>
          <w:lang w:eastAsia="zh-CN"/>
        </w:rPr>
        <w:t>，</w:t>
      </w:r>
      <w:r>
        <w:rPr>
          <w:rFonts w:hint="eastAsia"/>
          <w:color w:val="222222"/>
          <w:kern w:val="0"/>
          <w:sz w:val="24"/>
          <w:lang w:val="en-US" w:eastAsia="zh-CN"/>
        </w:rPr>
        <w:t>指导教师均承担过多项省级及以上科研项目的研究工作</w:t>
      </w:r>
      <w:r>
        <w:rPr>
          <w:rFonts w:hint="eastAsia"/>
          <w:color w:val="222222"/>
          <w:kern w:val="0"/>
          <w:sz w:val="24"/>
          <w:lang w:eastAsia="zh-CN"/>
        </w:rPr>
        <w:t>，秉承“实事求是”的河北大学校训，坚持国际发展眼光，</w:t>
      </w:r>
      <w:r>
        <w:rPr>
          <w:rFonts w:hint="eastAsia"/>
          <w:color w:val="222222"/>
          <w:kern w:val="0"/>
          <w:sz w:val="24"/>
        </w:rPr>
        <w:t>注重培养人才的创新性和实践能力。</w:t>
      </w:r>
    </w:p>
    <w:p w14:paraId="40C0D7D0">
      <w:pPr>
        <w:spacing w:line="440" w:lineRule="exact"/>
        <w:ind w:firstLine="560" w:firstLineChars="200"/>
        <w:rPr>
          <w:rFonts w:eastAsia="黑体"/>
          <w:bCs/>
          <w:sz w:val="28"/>
          <w:szCs w:val="28"/>
        </w:rPr>
      </w:pPr>
      <w:r>
        <w:rPr>
          <w:rFonts w:eastAsia="黑体"/>
          <w:bCs/>
          <w:sz w:val="28"/>
          <w:szCs w:val="28"/>
        </w:rPr>
        <w:t>三、研究方向</w:t>
      </w:r>
    </w:p>
    <w:p w14:paraId="6367071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color w:val="222222"/>
          <w:kern w:val="0"/>
          <w:sz w:val="24"/>
          <w:lang w:val="en-US" w:eastAsia="zh-CN"/>
        </w:rPr>
      </w:pPr>
      <w:r>
        <w:rPr>
          <w:rFonts w:hint="eastAsia"/>
          <w:color w:val="222222"/>
          <w:kern w:val="0"/>
          <w:sz w:val="24"/>
          <w:lang w:val="en-US" w:eastAsia="zh-CN"/>
        </w:rPr>
        <w:t>1.数理统计学。数理统计学方向为统计学科提供基础理论与方法，包括：观察和试验数据的收集，以及数据分析的理论；统计推断和统计决策的相关思想、理论模型；以统计推断、统计建模、数据分析方法、统计计算、统计因果推断等为核心的理论和方法等。本研究方向主要从事数理统计领域的创新性基础研究工作，研究数据分析的基础理论和方法，包括数据收集、分析有关的理论和方法，统计推断、统计决策的原理和方法，不断推进模糊统计和数据集、小域估计、贝叶斯估计、机器学习等方法和模型领域的相关研究。</w:t>
      </w:r>
    </w:p>
    <w:p w14:paraId="31C92814">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color w:val="222222"/>
          <w:kern w:val="0"/>
          <w:sz w:val="24"/>
        </w:rPr>
      </w:pPr>
      <w:r>
        <w:rPr>
          <w:rFonts w:hint="eastAsia"/>
          <w:color w:val="222222"/>
          <w:kern w:val="0"/>
          <w:sz w:val="24"/>
          <w:lang w:val="en-US" w:eastAsia="zh-CN"/>
        </w:rPr>
        <w:t>2.经济与社会统计。</w:t>
      </w:r>
      <w:r>
        <w:rPr>
          <w:rFonts w:hint="eastAsia"/>
          <w:color w:val="222222"/>
          <w:kern w:val="0"/>
          <w:sz w:val="24"/>
        </w:rPr>
        <w:t>经济</w:t>
      </w:r>
      <w:r>
        <w:rPr>
          <w:rFonts w:hint="eastAsia"/>
          <w:color w:val="222222"/>
          <w:kern w:val="0"/>
          <w:sz w:val="24"/>
          <w:lang w:val="en-US" w:eastAsia="zh-CN"/>
        </w:rPr>
        <w:t>与社会</w:t>
      </w:r>
      <w:r>
        <w:rPr>
          <w:rFonts w:hint="eastAsia"/>
          <w:color w:val="222222"/>
          <w:kern w:val="0"/>
          <w:sz w:val="24"/>
        </w:rPr>
        <w:t>统计是</w:t>
      </w:r>
      <w:r>
        <w:rPr>
          <w:rFonts w:hint="eastAsia"/>
          <w:color w:val="222222"/>
          <w:kern w:val="0"/>
          <w:sz w:val="24"/>
          <w:lang w:val="en-US" w:eastAsia="zh-CN"/>
        </w:rPr>
        <w:t>统计学</w:t>
      </w:r>
      <w:r>
        <w:rPr>
          <w:rFonts w:hint="eastAsia"/>
          <w:color w:val="222222"/>
          <w:kern w:val="0"/>
          <w:sz w:val="24"/>
        </w:rPr>
        <w:t>与经济学相互交叉</w:t>
      </w:r>
      <w:r>
        <w:rPr>
          <w:rFonts w:hint="eastAsia"/>
          <w:color w:val="222222"/>
          <w:kern w:val="0"/>
          <w:sz w:val="24"/>
          <w:lang w:val="en-US" w:eastAsia="zh-CN"/>
        </w:rPr>
        <w:t>基础上</w:t>
      </w:r>
      <w:r>
        <w:rPr>
          <w:rFonts w:hint="eastAsia"/>
          <w:color w:val="222222"/>
          <w:kern w:val="0"/>
          <w:sz w:val="24"/>
        </w:rPr>
        <w:t>提出的统计理论与方法，包括国民经济统计与国民经济核算、统计调查、综合评价、经济建模与预测</w:t>
      </w:r>
      <w:r>
        <w:rPr>
          <w:rFonts w:hint="eastAsia"/>
          <w:color w:val="222222"/>
          <w:kern w:val="0"/>
          <w:sz w:val="24"/>
          <w:lang w:eastAsia="zh-CN"/>
        </w:rPr>
        <w:t>、</w:t>
      </w:r>
      <w:r>
        <w:rPr>
          <w:rFonts w:hint="eastAsia"/>
          <w:color w:val="222222"/>
          <w:kern w:val="0"/>
          <w:sz w:val="24"/>
        </w:rPr>
        <w:t>金融计量模型、经济计量模型、时间序列分析、量化投资方法、</w:t>
      </w:r>
      <w:r>
        <w:rPr>
          <w:rFonts w:hint="eastAsia"/>
          <w:color w:val="222222"/>
          <w:kern w:val="0"/>
          <w:sz w:val="24"/>
          <w:lang w:val="en-US" w:eastAsia="zh-CN"/>
        </w:rPr>
        <w:t>风险测度与评估、</w:t>
      </w:r>
      <w:r>
        <w:rPr>
          <w:rFonts w:hint="eastAsia"/>
          <w:color w:val="222222"/>
          <w:kern w:val="0"/>
          <w:sz w:val="24"/>
        </w:rPr>
        <w:t>社会经济政策评价等。</w:t>
      </w:r>
      <w:r>
        <w:rPr>
          <w:rFonts w:hint="eastAsia"/>
          <w:color w:val="222222"/>
          <w:kern w:val="0"/>
          <w:sz w:val="24"/>
          <w:lang w:val="en-US" w:eastAsia="zh-CN"/>
        </w:rPr>
        <w:t>本研究方向</w:t>
      </w:r>
      <w:r>
        <w:rPr>
          <w:rFonts w:hint="eastAsia"/>
          <w:color w:val="222222"/>
          <w:kern w:val="0"/>
          <w:sz w:val="24"/>
        </w:rPr>
        <w:t>以经济</w:t>
      </w:r>
      <w:r>
        <w:rPr>
          <w:rFonts w:hint="eastAsia"/>
          <w:color w:val="222222"/>
          <w:kern w:val="0"/>
          <w:sz w:val="24"/>
          <w:lang w:val="en-US" w:eastAsia="zh-CN"/>
        </w:rPr>
        <w:t>与</w:t>
      </w:r>
      <w:r>
        <w:rPr>
          <w:rFonts w:hint="eastAsia"/>
          <w:color w:val="222222"/>
          <w:kern w:val="0"/>
          <w:sz w:val="24"/>
        </w:rPr>
        <w:t>社会现象的数据测度与分析为研究对象，通过构建社会与经济现象的测度指标及其体系，基于测度数据分析复杂社会经济现象的数量规律性。通过国民经济核算、综合评价、经济计量、统计调查、统计建模与分析、数据挖掘和机器学习等开展数据研究，以统计测度与</w:t>
      </w:r>
      <w:r>
        <w:rPr>
          <w:rFonts w:hint="eastAsia"/>
          <w:color w:val="222222"/>
          <w:kern w:val="0"/>
          <w:sz w:val="24"/>
          <w:lang w:val="en-US" w:eastAsia="zh-CN"/>
        </w:rPr>
        <w:t>社会</w:t>
      </w:r>
      <w:r>
        <w:rPr>
          <w:rFonts w:hint="eastAsia"/>
          <w:color w:val="222222"/>
          <w:kern w:val="0"/>
          <w:sz w:val="24"/>
        </w:rPr>
        <w:t>评价方法的创新设计和应用、弱势群体统计测度为优势特色，为经济</w:t>
      </w:r>
      <w:r>
        <w:rPr>
          <w:rFonts w:hint="eastAsia"/>
          <w:color w:val="222222"/>
          <w:kern w:val="0"/>
          <w:sz w:val="24"/>
          <w:lang w:val="en-US" w:eastAsia="zh-CN"/>
        </w:rPr>
        <w:t>与</w:t>
      </w:r>
      <w:r>
        <w:rPr>
          <w:rFonts w:hint="eastAsia"/>
          <w:color w:val="222222"/>
          <w:kern w:val="0"/>
          <w:sz w:val="24"/>
        </w:rPr>
        <w:t>社会领域的理论研究及政府、企业管理决策研究提供依据。</w:t>
      </w:r>
    </w:p>
    <w:p w14:paraId="40A13DD0">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color w:val="222222"/>
          <w:kern w:val="0"/>
          <w:sz w:val="24"/>
        </w:rPr>
      </w:pPr>
      <w:r>
        <w:rPr>
          <w:rFonts w:hint="eastAsia"/>
          <w:color w:val="222222"/>
          <w:kern w:val="0"/>
          <w:sz w:val="24"/>
          <w:lang w:val="en-US" w:eastAsia="zh-CN"/>
        </w:rPr>
        <w:t>3.卫生统计。</w:t>
      </w:r>
      <w:r>
        <w:rPr>
          <w:rFonts w:hint="eastAsia"/>
          <w:color w:val="222222"/>
          <w:kern w:val="0"/>
          <w:sz w:val="24"/>
        </w:rPr>
        <w:t>卫生统计是应用统计方法解决包括生态学、流行病学、医学、遗传学、公共卫生等领域中的统计问题，包括统计推断、回归分析、属性数据分析、纵向数据分析、生存分析、试验设计、流行病学、统计遗传学、因果推断等。</w:t>
      </w:r>
      <w:r>
        <w:rPr>
          <w:rFonts w:hint="eastAsia"/>
          <w:color w:val="222222"/>
          <w:kern w:val="0"/>
          <w:sz w:val="24"/>
          <w:lang w:val="en-US" w:eastAsia="zh-CN"/>
        </w:rPr>
        <w:t>本研究方向</w:t>
      </w:r>
      <w:r>
        <w:rPr>
          <w:rFonts w:hint="eastAsia"/>
          <w:color w:val="222222"/>
          <w:kern w:val="0"/>
          <w:sz w:val="24"/>
        </w:rPr>
        <w:t>主要</w:t>
      </w:r>
      <w:r>
        <w:rPr>
          <w:rFonts w:hint="eastAsia"/>
          <w:color w:val="222222"/>
          <w:kern w:val="0"/>
          <w:sz w:val="24"/>
          <w:lang w:val="en-US" w:eastAsia="zh-CN"/>
        </w:rPr>
        <w:t>研究</w:t>
      </w:r>
      <w:r>
        <w:rPr>
          <w:rFonts w:hint="eastAsia"/>
          <w:color w:val="222222"/>
          <w:kern w:val="0"/>
          <w:sz w:val="24"/>
        </w:rPr>
        <w:t>大数据背景下居民医疗健康数据的处理、分析与挖掘，医疗健康监测数据分析等</w:t>
      </w:r>
      <w:r>
        <w:rPr>
          <w:rFonts w:hint="eastAsia"/>
          <w:color w:val="222222"/>
          <w:kern w:val="0"/>
          <w:sz w:val="24"/>
          <w:lang w:eastAsia="zh-CN"/>
        </w:rPr>
        <w:t>，</w:t>
      </w:r>
      <w:r>
        <w:rPr>
          <w:rFonts w:hint="eastAsia"/>
          <w:color w:val="222222"/>
          <w:kern w:val="0"/>
          <w:sz w:val="24"/>
        </w:rPr>
        <w:t>以大数据与智能医学分析紧密结合为特色，侧重大数据背景下医疗卫生、居民健康等领域的智能分析与数据挖掘，为医疗卫生管理系统、综合信息平台等建设提供技术支持，向管理者提供管理辅助决策、行业监管、绩效考核支持，为居民提供健康监测支持，为药品研发提供统计学分析、就诊行为分析支持。</w:t>
      </w:r>
    </w:p>
    <w:p w14:paraId="376C5327">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eastAsia="宋体"/>
          <w:color w:val="222222"/>
          <w:kern w:val="0"/>
          <w:sz w:val="24"/>
          <w:lang w:eastAsia="zh-CN"/>
        </w:rPr>
      </w:pPr>
      <w:r>
        <w:rPr>
          <w:rFonts w:hint="eastAsia"/>
          <w:color w:val="222222"/>
          <w:kern w:val="0"/>
          <w:sz w:val="24"/>
          <w:lang w:val="en-US" w:eastAsia="zh-CN"/>
        </w:rPr>
        <w:t>4.</w:t>
      </w:r>
      <w:r>
        <w:rPr>
          <w:rFonts w:hint="eastAsia"/>
          <w:color w:val="222222"/>
          <w:kern w:val="0"/>
          <w:sz w:val="24"/>
        </w:rPr>
        <w:t>投入产出分析。</w:t>
      </w:r>
      <w:r>
        <w:rPr>
          <w:rFonts w:hint="eastAsia"/>
          <w:color w:val="222222"/>
          <w:kern w:val="0"/>
          <w:sz w:val="24"/>
          <w:lang w:val="en-US" w:eastAsia="zh-CN"/>
        </w:rPr>
        <w:t>投入产出分析是统计学学科领域的重要研究领域之一，主要借助投入产出分析工具，</w:t>
      </w:r>
      <w:r>
        <w:rPr>
          <w:rFonts w:hint="eastAsia"/>
          <w:color w:val="222222"/>
          <w:kern w:val="0"/>
          <w:sz w:val="24"/>
        </w:rPr>
        <w:t>研究经济体系（国民经济、地区经济、部门经济、公司或企业经济单位）中各个部分之间投入与产出的相互依存关系</w:t>
      </w:r>
      <w:r>
        <w:rPr>
          <w:rFonts w:hint="eastAsia"/>
          <w:color w:val="222222"/>
          <w:kern w:val="0"/>
          <w:sz w:val="24"/>
          <w:lang w:eastAsia="zh-CN"/>
        </w:rPr>
        <w:t>。</w:t>
      </w:r>
      <w:r>
        <w:rPr>
          <w:rFonts w:hint="eastAsia"/>
          <w:color w:val="222222"/>
          <w:kern w:val="0"/>
          <w:sz w:val="24"/>
        </w:rPr>
        <w:t>本研究方向主要</w:t>
      </w:r>
      <w:r>
        <w:rPr>
          <w:rFonts w:hint="eastAsia"/>
          <w:color w:val="222222"/>
          <w:kern w:val="0"/>
          <w:sz w:val="24"/>
          <w:lang w:val="en-US" w:eastAsia="zh-CN"/>
        </w:rPr>
        <w:t>侧重投入产出理论与方法研究、</w:t>
      </w:r>
      <w:r>
        <w:rPr>
          <w:rFonts w:hint="eastAsia"/>
          <w:color w:val="222222"/>
          <w:kern w:val="0"/>
          <w:sz w:val="24"/>
        </w:rPr>
        <w:t>投入产出技术</w:t>
      </w:r>
      <w:r>
        <w:rPr>
          <w:rFonts w:hint="eastAsia"/>
          <w:color w:val="222222"/>
          <w:kern w:val="0"/>
          <w:sz w:val="24"/>
          <w:lang w:val="en-US" w:eastAsia="zh-CN"/>
        </w:rPr>
        <w:t>创新研究</w:t>
      </w:r>
      <w:r>
        <w:rPr>
          <w:rFonts w:hint="eastAsia"/>
          <w:color w:val="222222"/>
          <w:kern w:val="0"/>
          <w:sz w:val="24"/>
        </w:rPr>
        <w:t>及其在经济分析中的应用</w:t>
      </w:r>
      <w:r>
        <w:rPr>
          <w:rFonts w:hint="eastAsia"/>
          <w:color w:val="222222"/>
          <w:kern w:val="0"/>
          <w:sz w:val="24"/>
          <w:lang w:eastAsia="zh-CN"/>
        </w:rPr>
        <w:t>，</w:t>
      </w:r>
      <w:r>
        <w:rPr>
          <w:rFonts w:hint="eastAsia"/>
          <w:color w:val="222222"/>
          <w:kern w:val="0"/>
          <w:sz w:val="24"/>
          <w:lang w:val="en-US" w:eastAsia="zh-CN"/>
        </w:rPr>
        <w:t>如</w:t>
      </w:r>
      <w:r>
        <w:rPr>
          <w:rFonts w:hint="eastAsia"/>
          <w:color w:val="222222"/>
          <w:kern w:val="0"/>
          <w:sz w:val="24"/>
          <w:lang w:eastAsia="zh-CN"/>
        </w:rPr>
        <w:t>因果分析与预测、投入产出分析及复杂系统分析与建模、政策仿真等。</w:t>
      </w:r>
    </w:p>
    <w:p w14:paraId="43F7788C">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default" w:eastAsia="宋体"/>
          <w:color w:val="222222"/>
          <w:kern w:val="0"/>
          <w:sz w:val="24"/>
          <w:lang w:val="en-US" w:eastAsia="zh-CN"/>
        </w:rPr>
      </w:pPr>
      <w:r>
        <w:rPr>
          <w:rFonts w:hint="eastAsia"/>
          <w:color w:val="222222"/>
          <w:kern w:val="0"/>
          <w:sz w:val="24"/>
          <w:lang w:val="en-US" w:eastAsia="zh-CN"/>
        </w:rPr>
        <w:t>5.数据科学与统计应用。</w:t>
      </w:r>
      <w:r>
        <w:rPr>
          <w:rFonts w:hint="eastAsia"/>
          <w:color w:val="222222"/>
          <w:kern w:val="0"/>
          <w:sz w:val="24"/>
        </w:rPr>
        <w:t>数据科学与统计应用是指统计及数据科学与除以上各研究方向以外的自然科学和人文社会科学领域广泛交叉而产生的分支。数据科学与统计应用分支的方法和理论基础包括数据科学中的统计理论与方法，以及前述几个分支所提供的理论与方法，强调统计学在数据科学中的拓展、延伸和融合，强调统计学理论方法与研究对象所在学科领域的结合。</w:t>
      </w:r>
      <w:r>
        <w:rPr>
          <w:rFonts w:hint="eastAsia"/>
          <w:color w:val="222222"/>
          <w:kern w:val="0"/>
          <w:sz w:val="24"/>
          <w:lang w:val="en-US" w:eastAsia="zh-CN"/>
        </w:rPr>
        <w:t>本研究方向将统计与数据科学的基本理论与方法应用于自然科学与人文社会科学的各个领域，强调与相关学科的交叉融合与创新研究。</w:t>
      </w:r>
    </w:p>
    <w:p w14:paraId="7981EEAC">
      <w:pPr>
        <w:spacing w:line="440" w:lineRule="exact"/>
        <w:ind w:firstLine="560" w:firstLineChars="200"/>
        <w:rPr>
          <w:rFonts w:eastAsia="黑体"/>
          <w:bCs/>
          <w:sz w:val="28"/>
          <w:szCs w:val="28"/>
        </w:rPr>
      </w:pPr>
      <w:r>
        <w:rPr>
          <w:rFonts w:eastAsia="黑体"/>
          <w:bCs/>
          <w:sz w:val="28"/>
          <w:szCs w:val="28"/>
        </w:rPr>
        <w:t>四、学制及学习年限</w:t>
      </w:r>
    </w:p>
    <w:p w14:paraId="2CBCADA6">
      <w:pPr>
        <w:spacing w:line="440" w:lineRule="exact"/>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74A367C0">
      <w:pPr>
        <w:spacing w:line="440" w:lineRule="exact"/>
        <w:ind w:firstLine="560" w:firstLineChars="200"/>
        <w:rPr>
          <w:rFonts w:eastAsia="黑体"/>
          <w:bCs/>
          <w:sz w:val="28"/>
          <w:szCs w:val="28"/>
        </w:rPr>
      </w:pPr>
      <w:r>
        <w:rPr>
          <w:rFonts w:eastAsia="黑体"/>
          <w:bCs/>
          <w:sz w:val="28"/>
          <w:szCs w:val="28"/>
        </w:rPr>
        <w:t>五、培养目标</w:t>
      </w:r>
    </w:p>
    <w:p w14:paraId="221BCD6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具有良好的政治思想素质和道德修养，具有严谨的学风和开拓进取及创新精神，掌握统计学基本理论和方法，能够熟练运用统计理论和统计计算工具研究解决统计相关问题，重点为政府部门、企事业单位和相关教育与研究机构培养高层次统计专门人才。具体要求包括：</w:t>
      </w:r>
    </w:p>
    <w:p w14:paraId="38999EE9">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（1）应具备良好的概率论与数理统计基础、经济学基础和数据分析基础；能够熟练运用统计方法和统计软件分析数据，具备学术研究的基本能力。</w:t>
      </w:r>
    </w:p>
    <w:p w14:paraId="0FE16CBD">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（2）掌握一定的交叉学科知识，具备开展跨学科特别是新兴交叉学科研究的能力。</w:t>
      </w:r>
    </w:p>
    <w:p w14:paraId="4D305FA6">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（3）学位论文应在某个统计专业方向上具有一定的理论创新或实际应用价值。</w:t>
      </w:r>
    </w:p>
    <w:p w14:paraId="3944523E">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（4）较为熟练地掌握一门外国语，能阅读本专业的外文资料。</w:t>
      </w:r>
    </w:p>
    <w:p w14:paraId="2A68E569">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（5）恪守学术规范和道德。</w:t>
      </w:r>
    </w:p>
    <w:p w14:paraId="2EA32651">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Times New Roman" w:hAnsi="Times New Roman" w:cs="Times New Roman"/>
          <w:color w:val="222222"/>
          <w:kern w:val="0"/>
          <w:sz w:val="24"/>
          <w:lang w:val="en-US" w:eastAsia="zh-CN"/>
        </w:rPr>
      </w:pPr>
      <w:r>
        <w:rPr>
          <w:rFonts w:hint="eastAsia" w:ascii="Times New Roman" w:hAnsi="Times New Roman" w:cs="Times New Roman"/>
          <w:color w:val="222222"/>
          <w:kern w:val="0"/>
          <w:sz w:val="24"/>
          <w:lang w:val="en-US" w:eastAsia="zh-CN"/>
        </w:rPr>
        <w:t>（6）具有发现问题、提出问题和解决问题的基本能力，能在政府、企业、事业单位，在科学研究、经济、管理等部门 ，在自然科学、人文社会科学、工程技术等领域从事统计应用研究和数据分析工作。</w:t>
      </w:r>
    </w:p>
    <w:p w14:paraId="546D6B25">
      <w:pPr>
        <w:spacing w:line="440" w:lineRule="exact"/>
        <w:ind w:firstLine="560" w:firstLineChars="200"/>
        <w:rPr>
          <w:rFonts w:eastAsia="黑体"/>
          <w:bCs/>
          <w:sz w:val="28"/>
          <w:szCs w:val="28"/>
        </w:rPr>
      </w:pPr>
      <w:r>
        <w:rPr>
          <w:rFonts w:eastAsia="黑体"/>
          <w:bCs/>
          <w:sz w:val="28"/>
          <w:szCs w:val="28"/>
        </w:rPr>
        <w:t>六、培养方式</w:t>
      </w:r>
    </w:p>
    <w:p w14:paraId="6564829E">
      <w:pPr>
        <w:spacing w:before="156" w:beforeLines="50" w:line="360" w:lineRule="auto"/>
        <w:ind w:firstLine="480" w:firstLineChars="200"/>
        <w:rPr>
          <w:rFonts w:hint="eastAsia" w:eastAsiaTheme="minorEastAsia"/>
          <w:bCs/>
          <w:sz w:val="24"/>
        </w:rPr>
      </w:pPr>
      <w:r>
        <w:rPr>
          <w:rFonts w:hint="eastAsia" w:eastAsiaTheme="minorEastAsia"/>
          <w:bCs/>
          <w:sz w:val="24"/>
        </w:rPr>
        <w:t>实行导师负责下的硕士生指导小组制，导师指导与集体培养相结合</w:t>
      </w:r>
      <w:r>
        <w:rPr>
          <w:rFonts w:hint="eastAsia" w:eastAsiaTheme="minorEastAsia"/>
          <w:bCs/>
          <w:sz w:val="24"/>
          <w:lang w:eastAsia="zh-CN"/>
        </w:rPr>
        <w:t>，</w:t>
      </w:r>
      <w:r>
        <w:rPr>
          <w:rFonts w:hint="eastAsia" w:eastAsiaTheme="minorEastAsia"/>
          <w:bCs/>
          <w:sz w:val="24"/>
        </w:rPr>
        <w:t>有效整合和利用研究生导师资源，充分发挥学术群体的作用，促进学科融合，提高研究生教育整体水平。</w:t>
      </w:r>
    </w:p>
    <w:p w14:paraId="0DC1BE07">
      <w:pPr>
        <w:spacing w:before="156" w:beforeLines="50" w:line="360" w:lineRule="auto"/>
        <w:ind w:firstLine="480" w:firstLineChars="200"/>
        <w:rPr>
          <w:rFonts w:hint="eastAsia" w:eastAsiaTheme="minorEastAsia"/>
          <w:bCs/>
          <w:sz w:val="24"/>
          <w:lang w:val="en-US" w:eastAsia="zh-CN"/>
        </w:rPr>
      </w:pPr>
      <w:r>
        <w:rPr>
          <w:rFonts w:hint="eastAsia" w:eastAsiaTheme="minorEastAsia"/>
          <w:bCs/>
          <w:sz w:val="24"/>
          <w:lang w:val="en-US" w:eastAsia="zh-CN"/>
        </w:rPr>
        <w:t>1.根据导师的研究方向，学位点导师形成多个各具特色、相互交叉的研究生导师组，全程参与研究生培养的指导工作，包括学位论文开题、中期检查、撰写、预答辩、答辩等。</w:t>
      </w:r>
    </w:p>
    <w:p w14:paraId="06CA2369">
      <w:pPr>
        <w:spacing w:before="156" w:beforeLines="50" w:line="360" w:lineRule="auto"/>
        <w:ind w:firstLine="480" w:firstLineChars="200"/>
        <w:rPr>
          <w:rFonts w:hint="eastAsia" w:eastAsiaTheme="minorEastAsia"/>
          <w:bCs/>
          <w:sz w:val="24"/>
          <w:lang w:val="en-US" w:eastAsia="zh-CN"/>
        </w:rPr>
      </w:pPr>
      <w:r>
        <w:rPr>
          <w:rFonts w:hint="eastAsia" w:eastAsiaTheme="minorEastAsia"/>
          <w:bCs/>
          <w:sz w:val="24"/>
          <w:lang w:val="en-US" w:eastAsia="zh-CN"/>
        </w:rPr>
        <w:t>2.</w:t>
      </w:r>
      <w:r>
        <w:rPr>
          <w:rFonts w:hint="eastAsia" w:eastAsiaTheme="minorEastAsia"/>
          <w:bCs/>
          <w:sz w:val="24"/>
        </w:rPr>
        <w:t>实行导师和学生双向选择制为研究生初选指导教师</w:t>
      </w:r>
      <w:r>
        <w:rPr>
          <w:rFonts w:hint="eastAsia" w:eastAsiaTheme="minorEastAsia"/>
          <w:bCs/>
          <w:sz w:val="24"/>
          <w:lang w:eastAsia="zh-CN"/>
        </w:rPr>
        <w:t>。</w:t>
      </w:r>
      <w:r>
        <w:rPr>
          <w:rFonts w:hint="eastAsia" w:eastAsiaTheme="minorEastAsia"/>
          <w:bCs/>
          <w:sz w:val="24"/>
          <w:lang w:val="en-US" w:eastAsia="zh-CN"/>
        </w:rPr>
        <w:t>每个研究生的指导教师为其指导教师组的组长，是指导研究生的第一责任人。</w:t>
      </w:r>
    </w:p>
    <w:p w14:paraId="27B67959">
      <w:pPr>
        <w:spacing w:before="156" w:beforeLines="50" w:line="360" w:lineRule="auto"/>
        <w:ind w:firstLine="480" w:firstLineChars="200"/>
        <w:rPr>
          <w:rFonts w:hint="default" w:eastAsiaTheme="minorEastAsia"/>
          <w:bCs/>
          <w:sz w:val="24"/>
          <w:lang w:val="en-US" w:eastAsia="zh-CN"/>
        </w:rPr>
      </w:pPr>
      <w:r>
        <w:rPr>
          <w:rFonts w:hint="eastAsia" w:eastAsiaTheme="minorEastAsia"/>
          <w:bCs/>
          <w:sz w:val="24"/>
          <w:lang w:val="en-US" w:eastAsia="zh-CN"/>
        </w:rPr>
        <w:t>3.各导师组可依托科技合作项目或平台，吸纳国内外高水平大学、科研机构的相关研究领域专家参与研究生指导。</w:t>
      </w:r>
    </w:p>
    <w:p w14:paraId="4578B2F7">
      <w:pPr>
        <w:spacing w:line="440" w:lineRule="exact"/>
        <w:ind w:firstLine="560" w:firstLineChars="200"/>
        <w:rPr>
          <w:rFonts w:eastAsia="黑体"/>
          <w:bCs/>
          <w:sz w:val="28"/>
          <w:szCs w:val="28"/>
        </w:rPr>
      </w:pPr>
      <w:r>
        <w:rPr>
          <w:rFonts w:eastAsia="黑体"/>
          <w:bCs/>
          <w:sz w:val="28"/>
          <w:szCs w:val="28"/>
        </w:rPr>
        <w:t>七、中期筛选</w:t>
      </w:r>
    </w:p>
    <w:p w14:paraId="09F76189">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17949250">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52635685">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1.总体要求：按照《河北大学关于开展2025版研究生培养方案修订工作的指导意见》（校政字〔2025〕</w:t>
      </w:r>
      <w:r>
        <w:rPr>
          <w:rFonts w:hint="eastAsia" w:cs="Times New Roman" w:eastAsiaTheme="minorEastAsia"/>
          <w:bCs/>
          <w:sz w:val="24"/>
          <w:lang w:val="en-US" w:eastAsia="zh-CN"/>
        </w:rPr>
        <w:t>9</w:t>
      </w:r>
      <w:r>
        <w:rPr>
          <w:rFonts w:hint="eastAsia" w:ascii="Times New Roman" w:hAnsi="Times New Roman" w:cs="Times New Roman" w:eastAsiaTheme="minorEastAsia"/>
          <w:bCs/>
          <w:sz w:val="24"/>
          <w:lang w:eastAsia="zh-CN"/>
        </w:rPr>
        <w:t>号）规定，硕士研究生论文开题与答辩时间间隔原则上不少于12个月。硕士生在导师指导下应通过科研全过程训练，学位论文选题应有意义且内涵较丰富，较好地掌握该选题研究的基本理论与方法，对该选题的主要文献与最新进展应有较好的了解。硕士学位论文应系统完整，其中必须包含综述部分和创新部分，创新结果的论证或实现应有一定难度。</w:t>
      </w:r>
    </w:p>
    <w:p w14:paraId="1313DB31">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w:t>
      </w:r>
      <w:r>
        <w:rPr>
          <w:rFonts w:hint="eastAsia" w:ascii="Times New Roman" w:hAnsi="Times New Roman" w:cs="Times New Roman" w:eastAsiaTheme="minorEastAsia"/>
          <w:bCs/>
          <w:sz w:val="24"/>
          <w:lang w:val="en-US" w:eastAsia="zh-CN"/>
        </w:rPr>
        <w:t>1）</w:t>
      </w:r>
      <w:r>
        <w:rPr>
          <w:rFonts w:hint="eastAsia" w:ascii="Times New Roman" w:hAnsi="Times New Roman" w:cs="Times New Roman" w:eastAsiaTheme="minorEastAsia"/>
          <w:bCs/>
          <w:sz w:val="24"/>
          <w:lang w:eastAsia="zh-CN"/>
        </w:rPr>
        <w:t>规范性要求</w:t>
      </w:r>
    </w:p>
    <w:p w14:paraId="03E6718A">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硕士学位论文必须是一篇系统完整的学术论文，应是硕士生在导师指导下独立完成的研究成果，不得抄袭和剽窃他人成果。学位论文的学术观点必须明确、逻辑严谨、文字通畅，且要规范引用他人的数据和成果。</w:t>
      </w:r>
    </w:p>
    <w:p w14:paraId="3E063C88">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w:t>
      </w:r>
      <w:r>
        <w:rPr>
          <w:rFonts w:hint="eastAsia" w:ascii="Times New Roman" w:hAnsi="Times New Roman" w:cs="Times New Roman" w:eastAsiaTheme="minorEastAsia"/>
          <w:bCs/>
          <w:sz w:val="24"/>
          <w:lang w:val="en-US" w:eastAsia="zh-CN"/>
        </w:rPr>
        <w:t>2）</w:t>
      </w:r>
      <w:r>
        <w:rPr>
          <w:rFonts w:hint="eastAsia" w:ascii="Times New Roman" w:hAnsi="Times New Roman" w:cs="Times New Roman" w:eastAsiaTheme="minorEastAsia"/>
          <w:bCs/>
          <w:sz w:val="24"/>
          <w:lang w:eastAsia="zh-CN"/>
        </w:rPr>
        <w:t>质量要求</w:t>
      </w:r>
    </w:p>
    <w:p w14:paraId="5A7FCD5D">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硕士学位论文应属于国内学科前沿课题，或者对其他学科领域的实际问题、国家经济建设或社会发展有意义的课题，能够表明作者掌握了统计学科的基础理论和专业知识，能够体现作者</w:t>
      </w:r>
      <w:r>
        <w:rPr>
          <w:rFonts w:hint="eastAsia" w:ascii="Times New Roman" w:hAnsi="Times New Roman" w:cs="Times New Roman" w:eastAsiaTheme="minorEastAsia"/>
          <w:bCs/>
          <w:sz w:val="24"/>
          <w:lang w:val="en-US" w:eastAsia="zh-CN"/>
        </w:rPr>
        <w:t>具有独立</w:t>
      </w:r>
      <w:r>
        <w:rPr>
          <w:rFonts w:hint="eastAsia" w:ascii="Times New Roman" w:hAnsi="Times New Roman" w:cs="Times New Roman" w:eastAsiaTheme="minorEastAsia"/>
          <w:bCs/>
          <w:sz w:val="24"/>
          <w:lang w:eastAsia="zh-CN"/>
        </w:rPr>
        <w:t>从事应用研究或理论研究工作的能力。鼓励硕士研究生参与科学研究，取得创新性成果。</w:t>
      </w:r>
    </w:p>
    <w:p w14:paraId="6D168F50">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7C82EB95">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val="en-US" w:eastAsia="zh-CN"/>
        </w:rPr>
        <w:t>硕士研究生应</w:t>
      </w:r>
      <w:r>
        <w:rPr>
          <w:rFonts w:hint="eastAsia" w:ascii="Times New Roman" w:hAnsi="Times New Roman" w:cs="Times New Roman" w:eastAsiaTheme="minorEastAsia"/>
          <w:bCs/>
          <w:sz w:val="24"/>
          <w:lang w:eastAsia="zh-CN"/>
        </w:rPr>
        <w:t>在入学后第3学期完成开题。开题由3-5名具有高级专业技术职务人员参加，以学术报告的方式进行。</w:t>
      </w:r>
    </w:p>
    <w:p w14:paraId="69DB33C6">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47CD5D60">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4.学位申请：达到学位授予条件的申请人，经导师同意后，应于答辩前三个月，向所属学位评定分委员会提出学位申请，提交学位申请材料。</w:t>
      </w:r>
    </w:p>
    <w:p w14:paraId="69AC2943">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5.预答辩：学位申请人须进行学位论文预答辩。预答辩通过者，方可进入学位论文评阅、学位论文答辩等环节。学位（毕业）论文预答辩在正式答辩前3个月进行。</w:t>
      </w:r>
    </w:p>
    <w:p w14:paraId="32EEDFBA">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6.论文评阅：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0E152772">
      <w:pPr>
        <w:spacing w:before="156" w:beforeLines="50" w:line="360" w:lineRule="auto"/>
        <w:ind w:firstLine="480" w:firstLineChars="200"/>
        <w:rPr>
          <w:rFonts w:hint="eastAsia" w:ascii="Times New Roman" w:hAnsi="Times New Roman" w:cs="Times New Roman" w:eastAsiaTheme="minorEastAsia"/>
          <w:bCs/>
          <w:sz w:val="24"/>
          <w:lang w:eastAsia="zh-CN"/>
        </w:rPr>
      </w:pPr>
      <w:r>
        <w:rPr>
          <w:rFonts w:hint="eastAsia" w:ascii="Times New Roman" w:hAnsi="Times New Roman" w:cs="Times New Roman" w:eastAsiaTheme="minorEastAsia"/>
          <w:bCs/>
          <w:sz w:val="24"/>
          <w:lang w:eastAsia="zh-CN"/>
        </w:rPr>
        <w:t>7.答辩：学位（毕业）论文答辩按照《河北大学博士、硕士学位授予工作实施细则》（校政字〔2025〕7号）执行。</w:t>
      </w:r>
    </w:p>
    <w:p w14:paraId="6F7C2D0D">
      <w:pPr>
        <w:spacing w:line="440" w:lineRule="exact"/>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3D3CAC18">
      <w:pPr>
        <w:spacing w:line="440" w:lineRule="exact"/>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2193959C">
      <w:pPr>
        <w:spacing w:line="440" w:lineRule="exact"/>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w:t>
      </w:r>
      <w:r>
        <w:rPr>
          <w:rFonts w:eastAsiaTheme="minorEastAsia"/>
          <w:b w:val="0"/>
          <w:bCs w:val="0"/>
          <w:color w:val="auto"/>
          <w:sz w:val="24"/>
        </w:rPr>
        <w:t>于</w:t>
      </w:r>
      <w:r>
        <w:rPr>
          <w:rFonts w:eastAsiaTheme="minorEastAsia"/>
          <w:b w:val="0"/>
          <w:bCs w:val="0"/>
          <w:i w:val="0"/>
          <w:iCs/>
          <w:color w:val="auto"/>
          <w:sz w:val="24"/>
        </w:rPr>
        <w:t>10</w:t>
      </w:r>
      <w:r>
        <w:rPr>
          <w:rFonts w:eastAsiaTheme="minorEastAsia"/>
          <w:b w:val="0"/>
          <w:bCs w:val="0"/>
          <w:color w:val="auto"/>
          <w:sz w:val="24"/>
        </w:rPr>
        <w:t>次</w:t>
      </w:r>
      <w:r>
        <w:rPr>
          <w:rFonts w:eastAsiaTheme="minorEastAsia"/>
          <w:color w:val="000000"/>
          <w:sz w:val="24"/>
        </w:rPr>
        <w:t>学术活动，并撰写学术报告小结；以主讲人或宣讲人身份，参加在校内外举行的学术报告或学术讲座不少于</w:t>
      </w:r>
      <w:r>
        <w:rPr>
          <w:rFonts w:eastAsiaTheme="minorEastAsia"/>
          <w:i w:val="0"/>
          <w:iCs/>
          <w:color w:val="auto"/>
          <w:sz w:val="24"/>
        </w:rPr>
        <w:t>1</w:t>
      </w:r>
      <w:r>
        <w:rPr>
          <w:rFonts w:eastAsiaTheme="minorEastAsia"/>
          <w:color w:val="000000"/>
          <w:sz w:val="24"/>
        </w:rPr>
        <w:t>次。</w:t>
      </w:r>
    </w:p>
    <w:p w14:paraId="59A7B87D">
      <w:pPr>
        <w:spacing w:line="440" w:lineRule="exact"/>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57356523">
      <w:pPr>
        <w:spacing w:line="440" w:lineRule="exact"/>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029EC271">
      <w:pPr>
        <w:spacing w:line="440" w:lineRule="exact"/>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5BE05296">
      <w:pPr>
        <w:spacing w:line="440" w:lineRule="exact"/>
        <w:ind w:firstLine="480" w:firstLineChars="200"/>
        <w:rPr>
          <w:rFonts w:eastAsiaTheme="minorEastAsia"/>
          <w:bCs/>
          <w:sz w:val="24"/>
        </w:rPr>
      </w:pPr>
      <w:r>
        <w:rPr>
          <w:rFonts w:hint="eastAsia" w:eastAsiaTheme="minorEastAsia"/>
          <w:bCs/>
          <w:sz w:val="24"/>
        </w:rPr>
        <w:t>详见</w:t>
      </w:r>
      <w:r>
        <w:rPr>
          <w:rFonts w:hint="eastAsia" w:eastAsiaTheme="minorEastAsia"/>
          <w:bCs/>
          <w:sz w:val="24"/>
          <w:lang w:val="en-US" w:eastAsia="zh-CN"/>
        </w:rPr>
        <w:t>河北大学</w:t>
      </w:r>
      <w:r>
        <w:rPr>
          <w:rFonts w:hint="eastAsia" w:eastAsiaTheme="minorEastAsia"/>
          <w:bCs/>
          <w:sz w:val="24"/>
        </w:rPr>
        <w:t>经济学院关于研究生申请学位取得创新性成果的规定。</w:t>
      </w:r>
    </w:p>
    <w:p w14:paraId="53819043">
      <w:pPr>
        <w:spacing w:line="440" w:lineRule="exact"/>
        <w:ind w:firstLine="560" w:firstLineChars="200"/>
        <w:rPr>
          <w:rFonts w:eastAsia="黑体"/>
          <w:bCs/>
          <w:sz w:val="28"/>
          <w:szCs w:val="28"/>
        </w:rPr>
      </w:pPr>
      <w:r>
        <w:rPr>
          <w:rFonts w:eastAsia="黑体"/>
          <w:bCs/>
          <w:sz w:val="28"/>
          <w:szCs w:val="28"/>
        </w:rPr>
        <w:t>十一、学位授予</w:t>
      </w:r>
    </w:p>
    <w:p w14:paraId="74A44A7E">
      <w:pPr>
        <w:spacing w:line="440" w:lineRule="exact"/>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hint="eastAsia"/>
          <w:color w:val="222222"/>
          <w:kern w:val="0"/>
          <w:sz w:val="24"/>
          <w:lang w:val="en-US" w:eastAsia="zh-CN"/>
        </w:rPr>
        <w:t>经济学院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0D108D78">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82B10FA">
      <w:pPr>
        <w:spacing w:line="420" w:lineRule="exact"/>
        <w:ind w:firstLine="480"/>
        <w:rPr>
          <w:rFonts w:hint="eastAsia"/>
          <w:color w:val="000000"/>
          <w:sz w:val="24"/>
        </w:rPr>
      </w:pPr>
      <w:r>
        <w:rPr>
          <w:rFonts w:hint="eastAsia"/>
          <w:color w:val="000000"/>
          <w:sz w:val="24"/>
        </w:rPr>
        <w:t>本专业</w:t>
      </w:r>
      <w:r>
        <w:rPr>
          <w:rFonts w:hint="eastAsia"/>
          <w:color w:val="000000"/>
          <w:sz w:val="24"/>
          <w:lang w:val="en-US" w:eastAsia="zh-CN"/>
        </w:rPr>
        <w:t>最低</w:t>
      </w:r>
      <w:r>
        <w:rPr>
          <w:rFonts w:hint="eastAsia"/>
          <w:color w:val="000000"/>
          <w:sz w:val="24"/>
        </w:rPr>
        <w:t>毕业学分为</w:t>
      </w:r>
      <w:r>
        <w:rPr>
          <w:rFonts w:hint="eastAsia"/>
          <w:color w:val="000000"/>
          <w:sz w:val="24"/>
          <w:lang w:val="en-US" w:eastAsia="zh-CN"/>
        </w:rPr>
        <w:t>30</w:t>
      </w:r>
      <w:r>
        <w:rPr>
          <w:rFonts w:hint="eastAsia"/>
          <w:color w:val="000000"/>
          <w:sz w:val="24"/>
        </w:rPr>
        <w:t>学分，其中学位课1</w:t>
      </w:r>
      <w:r>
        <w:rPr>
          <w:rFonts w:hint="eastAsia"/>
          <w:color w:val="000000"/>
          <w:sz w:val="24"/>
          <w:lang w:val="en-US" w:eastAsia="zh-CN"/>
        </w:rPr>
        <w:t>4</w:t>
      </w:r>
      <w:r>
        <w:rPr>
          <w:rFonts w:hint="eastAsia"/>
          <w:color w:val="000000"/>
          <w:sz w:val="24"/>
        </w:rPr>
        <w:t>学分，非学位课</w:t>
      </w:r>
      <w:r>
        <w:rPr>
          <w:rFonts w:hint="eastAsia"/>
          <w:color w:val="000000"/>
          <w:sz w:val="24"/>
          <w:lang w:val="en-US" w:eastAsia="zh-CN"/>
        </w:rPr>
        <w:t>不少于8</w:t>
      </w:r>
      <w:r>
        <w:rPr>
          <w:rFonts w:hint="eastAsia"/>
          <w:color w:val="000000"/>
          <w:sz w:val="24"/>
        </w:rPr>
        <w:t>学分，</w:t>
      </w:r>
      <w:r>
        <w:rPr>
          <w:rFonts w:hint="eastAsia"/>
          <w:color w:val="000000"/>
          <w:sz w:val="24"/>
          <w:lang w:val="en-US" w:eastAsia="zh-CN"/>
        </w:rPr>
        <w:t>素质拓展</w:t>
      </w:r>
      <w:r>
        <w:rPr>
          <w:rFonts w:hint="eastAsia"/>
          <w:color w:val="000000"/>
          <w:sz w:val="24"/>
        </w:rPr>
        <w:t>环节</w:t>
      </w:r>
      <w:r>
        <w:rPr>
          <w:rFonts w:hint="eastAsia"/>
          <w:color w:val="000000"/>
          <w:sz w:val="24"/>
          <w:lang w:val="en-US" w:eastAsia="zh-CN"/>
        </w:rPr>
        <w:t>2</w:t>
      </w:r>
      <w:r>
        <w:rPr>
          <w:rFonts w:hint="eastAsia"/>
          <w:color w:val="000000"/>
          <w:sz w:val="24"/>
        </w:rPr>
        <w:t>学分</w:t>
      </w:r>
      <w:r>
        <w:rPr>
          <w:rFonts w:hint="eastAsia"/>
          <w:color w:val="000000"/>
          <w:sz w:val="24"/>
          <w:lang w:val="en-US" w:eastAsia="zh-CN"/>
        </w:rPr>
        <w:t>；</w:t>
      </w:r>
      <w:r>
        <w:rPr>
          <w:rFonts w:hint="eastAsia"/>
          <w:color w:val="000000"/>
          <w:sz w:val="24"/>
        </w:rPr>
        <w:t>各方向研究生至少修读本方向课程</w:t>
      </w:r>
      <w:r>
        <w:rPr>
          <w:rFonts w:hint="eastAsia"/>
          <w:color w:val="000000"/>
          <w:sz w:val="24"/>
          <w:lang w:val="en-US" w:eastAsia="zh-CN"/>
        </w:rPr>
        <w:t>4</w:t>
      </w:r>
      <w:r>
        <w:rPr>
          <w:rFonts w:hint="eastAsia"/>
          <w:color w:val="000000"/>
          <w:sz w:val="24"/>
        </w:rPr>
        <w:t>学分</w:t>
      </w:r>
      <w:r>
        <w:rPr>
          <w:rFonts w:hint="eastAsia"/>
          <w:color w:val="000000"/>
          <w:sz w:val="24"/>
          <w:lang w:eastAsia="zh-CN"/>
        </w:rPr>
        <w:t>、</w:t>
      </w:r>
      <w:r>
        <w:rPr>
          <w:rFonts w:hint="eastAsia"/>
          <w:color w:val="000000"/>
          <w:sz w:val="24"/>
          <w:lang w:val="en-US" w:eastAsia="zh-CN"/>
        </w:rPr>
        <w:t>其他方向课程2学分</w:t>
      </w:r>
      <w:r>
        <w:rPr>
          <w:rFonts w:hint="eastAsia"/>
          <w:color w:val="000000"/>
          <w:sz w:val="24"/>
        </w:rPr>
        <w:t>。本科非经济类学生</w:t>
      </w:r>
      <w:r>
        <w:rPr>
          <w:rFonts w:hint="eastAsia"/>
          <w:color w:val="000000"/>
          <w:sz w:val="24"/>
          <w:lang w:val="en-US" w:eastAsia="zh-CN"/>
        </w:rPr>
        <w:t>可</w:t>
      </w:r>
      <w:r>
        <w:rPr>
          <w:rFonts w:hint="eastAsia"/>
          <w:color w:val="000000"/>
          <w:sz w:val="24"/>
        </w:rPr>
        <w:t>跟读补修统计学、微观经济学、宏观经济学等课程。</w:t>
      </w:r>
    </w:p>
    <w:p w14:paraId="4626AA08">
      <w:pPr>
        <w:spacing w:line="420" w:lineRule="exact"/>
        <w:ind w:firstLine="480"/>
        <w:rPr>
          <w:rFonts w:hint="eastAsia"/>
          <w:color w:val="000000"/>
          <w:sz w:val="24"/>
        </w:rPr>
      </w:pPr>
      <w:r>
        <w:rPr>
          <w:rFonts w:hint="eastAsia"/>
          <w:color w:val="000000"/>
          <w:sz w:val="24"/>
        </w:rPr>
        <w:t>课程考试不设补考环节，考试成绩低于60分的需重修。</w:t>
      </w:r>
    </w:p>
    <w:p w14:paraId="53298AED">
      <w:pPr>
        <w:spacing w:line="420" w:lineRule="exact"/>
        <w:ind w:firstLine="480"/>
        <w:rPr>
          <w:rFonts w:hint="eastAsia"/>
          <w:color w:val="000000"/>
          <w:sz w:val="24"/>
        </w:rPr>
      </w:pPr>
      <w:r>
        <w:rPr>
          <w:rFonts w:hint="eastAsia"/>
          <w:color w:val="000000"/>
          <w:sz w:val="24"/>
        </w:rPr>
        <w:t>注重理论联系实际，强调培养学生分析和解决实际问题的能力。</w:t>
      </w:r>
    </w:p>
    <w:p w14:paraId="4D203017">
      <w:pPr>
        <w:spacing w:line="420" w:lineRule="exact"/>
        <w:ind w:firstLine="480"/>
        <w:rPr>
          <w:color w:val="000000"/>
          <w:sz w:val="24"/>
        </w:rPr>
      </w:pPr>
      <w:r>
        <w:rPr>
          <w:rFonts w:hint="eastAsia"/>
          <w:color w:val="000000"/>
          <w:sz w:val="24"/>
        </w:rPr>
        <w:t>课程考核方式包括考试和考查，可以采用口试、笔试或写读书报告、论文的形式，但应有—定数量的笔试。无论采取何种考核方式，均应能真实反映学生对所学课程掌握的程度及运用知识的能力。</w:t>
      </w:r>
    </w:p>
    <w:p w14:paraId="364B6584">
      <w:pPr>
        <w:spacing w:line="420" w:lineRule="exact"/>
        <w:rPr>
          <w:rFonts w:eastAsiaTheme="minorEastAsia"/>
          <w:color w:val="FF0000"/>
          <w:sz w:val="24"/>
        </w:rPr>
      </w:pPr>
      <w:r>
        <w:rPr>
          <w:i/>
          <w:color w:val="000000"/>
          <w:sz w:val="24"/>
        </w:rPr>
        <w:t xml:space="preserve">    </w:t>
      </w:r>
    </w:p>
    <w:p w14:paraId="2BB8A551">
      <w:pPr>
        <w:spacing w:after="156" w:afterLines="50" w:line="440" w:lineRule="exact"/>
        <w:ind w:firstLine="482" w:firstLineChars="200"/>
        <w:jc w:val="center"/>
        <w:rPr>
          <w:rFonts w:eastAsiaTheme="minorEastAsia"/>
          <w:b/>
          <w:bCs/>
          <w:sz w:val="24"/>
        </w:rPr>
      </w:pPr>
      <w:r>
        <w:rPr>
          <w:rFonts w:hint="eastAsia" w:eastAsiaTheme="minorEastAsia"/>
          <w:b/>
          <w:bCs/>
          <w:sz w:val="24"/>
          <w:lang w:val="en-US" w:eastAsia="zh-CN"/>
        </w:rPr>
        <w:t>统计学</w:t>
      </w:r>
      <w:r>
        <w:rPr>
          <w:rFonts w:eastAsiaTheme="minorEastAsia"/>
          <w:b/>
          <w:bCs/>
          <w:sz w:val="24"/>
        </w:rPr>
        <w:t>专业学术学位硕士研究生课程及培养环节设置一览表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7938B3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105B0B54">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AC1F0B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3C0FD6BF">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57997E8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3DCC86E1">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3233578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FB5E5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5182300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0BE644D7">
            <w:pPr>
              <w:jc w:val="center"/>
              <w:rPr>
                <w:b/>
                <w:color w:val="auto"/>
                <w:sz w:val="18"/>
                <w:szCs w:val="18"/>
              </w:rPr>
            </w:pPr>
            <w:r>
              <w:rPr>
                <w:b/>
                <w:color w:val="auto"/>
                <w:sz w:val="18"/>
                <w:szCs w:val="18"/>
              </w:rPr>
              <w:t>公共必修课</w:t>
            </w:r>
          </w:p>
          <w:p w14:paraId="5C5429CA">
            <w:pPr>
              <w:jc w:val="center"/>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0AD0D602">
            <w:pPr>
              <w:rPr>
                <w:color w:val="auto"/>
                <w:sz w:val="18"/>
                <w:szCs w:val="18"/>
              </w:rPr>
            </w:pPr>
            <w:r>
              <w:rPr>
                <w:color w:val="auto"/>
                <w:sz w:val="18"/>
                <w:szCs w:val="18"/>
              </w:rPr>
              <w:t>新时代中国特色社会主义理论与实践</w:t>
            </w:r>
          </w:p>
        </w:tc>
        <w:tc>
          <w:tcPr>
            <w:tcW w:w="1081" w:type="dxa"/>
            <w:vAlign w:val="center"/>
          </w:tcPr>
          <w:p w14:paraId="387A5B74">
            <w:pPr>
              <w:jc w:val="center"/>
              <w:rPr>
                <w:color w:val="auto"/>
                <w:sz w:val="18"/>
                <w:szCs w:val="18"/>
              </w:rPr>
            </w:pPr>
            <w:r>
              <w:rPr>
                <w:color w:val="auto"/>
                <w:sz w:val="18"/>
                <w:szCs w:val="18"/>
              </w:rPr>
              <w:t>TS0000001</w:t>
            </w:r>
          </w:p>
        </w:tc>
        <w:tc>
          <w:tcPr>
            <w:tcW w:w="709" w:type="dxa"/>
            <w:vAlign w:val="center"/>
          </w:tcPr>
          <w:p w14:paraId="2C5C31B8">
            <w:pPr>
              <w:jc w:val="center"/>
              <w:rPr>
                <w:color w:val="auto"/>
                <w:sz w:val="18"/>
                <w:szCs w:val="18"/>
              </w:rPr>
            </w:pPr>
            <w:r>
              <w:rPr>
                <w:color w:val="auto"/>
                <w:sz w:val="18"/>
                <w:szCs w:val="18"/>
              </w:rPr>
              <w:t>2</w:t>
            </w:r>
          </w:p>
        </w:tc>
        <w:tc>
          <w:tcPr>
            <w:tcW w:w="709" w:type="dxa"/>
            <w:vAlign w:val="center"/>
          </w:tcPr>
          <w:p w14:paraId="6488AB8D">
            <w:pPr>
              <w:jc w:val="center"/>
              <w:rPr>
                <w:color w:val="auto"/>
                <w:sz w:val="18"/>
                <w:szCs w:val="18"/>
              </w:rPr>
            </w:pPr>
            <w:r>
              <w:rPr>
                <w:color w:val="auto"/>
                <w:sz w:val="18"/>
                <w:szCs w:val="18"/>
              </w:rPr>
              <w:t>1</w:t>
            </w:r>
          </w:p>
        </w:tc>
        <w:tc>
          <w:tcPr>
            <w:tcW w:w="1045" w:type="dxa"/>
            <w:vAlign w:val="center"/>
          </w:tcPr>
          <w:p w14:paraId="639B544F">
            <w:pPr>
              <w:jc w:val="center"/>
              <w:rPr>
                <w:color w:val="auto"/>
                <w:sz w:val="18"/>
                <w:szCs w:val="18"/>
              </w:rPr>
            </w:pPr>
            <w:r>
              <w:rPr>
                <w:rFonts w:hint="eastAsia"/>
                <w:color w:val="auto"/>
                <w:sz w:val="18"/>
                <w:szCs w:val="18"/>
              </w:rPr>
              <w:t>考查</w:t>
            </w:r>
          </w:p>
        </w:tc>
      </w:tr>
      <w:tr w14:paraId="58E4EC8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2E4E52D">
            <w:pPr>
              <w:jc w:val="center"/>
              <w:rPr>
                <w:b/>
                <w:color w:val="000000" w:themeColor="text1"/>
                <w:sz w:val="18"/>
                <w:szCs w:val="18"/>
                <w14:textFill>
                  <w14:solidFill>
                    <w14:schemeClr w14:val="tx1"/>
                  </w14:solidFill>
                </w14:textFill>
              </w:rPr>
            </w:pPr>
          </w:p>
        </w:tc>
        <w:tc>
          <w:tcPr>
            <w:tcW w:w="1226" w:type="dxa"/>
            <w:vMerge w:val="continue"/>
            <w:vAlign w:val="center"/>
          </w:tcPr>
          <w:p w14:paraId="065E0C43">
            <w:pPr>
              <w:jc w:val="center"/>
              <w:rPr>
                <w:b/>
                <w:color w:val="auto"/>
                <w:sz w:val="18"/>
                <w:szCs w:val="18"/>
              </w:rPr>
            </w:pPr>
          </w:p>
        </w:tc>
        <w:tc>
          <w:tcPr>
            <w:tcW w:w="3516" w:type="dxa"/>
            <w:vAlign w:val="center"/>
          </w:tcPr>
          <w:p w14:paraId="45CCD91E">
            <w:pPr>
              <w:rPr>
                <w:color w:val="auto"/>
                <w:sz w:val="18"/>
                <w:szCs w:val="18"/>
              </w:rPr>
            </w:pPr>
            <w:r>
              <w:rPr>
                <w:color w:val="auto"/>
                <w:sz w:val="18"/>
                <w:szCs w:val="18"/>
              </w:rPr>
              <w:t>通用学术英语</w:t>
            </w:r>
          </w:p>
        </w:tc>
        <w:tc>
          <w:tcPr>
            <w:tcW w:w="1081" w:type="dxa"/>
            <w:vAlign w:val="center"/>
          </w:tcPr>
          <w:p w14:paraId="7884186F">
            <w:pPr>
              <w:jc w:val="center"/>
              <w:rPr>
                <w:color w:val="auto"/>
                <w:sz w:val="18"/>
                <w:szCs w:val="18"/>
              </w:rPr>
            </w:pPr>
            <w:r>
              <w:rPr>
                <w:color w:val="auto"/>
                <w:sz w:val="18"/>
                <w:szCs w:val="18"/>
              </w:rPr>
              <w:t>TS0000002</w:t>
            </w:r>
          </w:p>
        </w:tc>
        <w:tc>
          <w:tcPr>
            <w:tcW w:w="709" w:type="dxa"/>
            <w:vAlign w:val="center"/>
          </w:tcPr>
          <w:p w14:paraId="605EA67A">
            <w:pPr>
              <w:jc w:val="center"/>
              <w:rPr>
                <w:color w:val="auto"/>
                <w:sz w:val="18"/>
                <w:szCs w:val="18"/>
              </w:rPr>
            </w:pPr>
            <w:r>
              <w:rPr>
                <w:color w:val="auto"/>
                <w:sz w:val="18"/>
                <w:szCs w:val="18"/>
              </w:rPr>
              <w:t>2</w:t>
            </w:r>
          </w:p>
        </w:tc>
        <w:tc>
          <w:tcPr>
            <w:tcW w:w="709" w:type="dxa"/>
            <w:vAlign w:val="center"/>
          </w:tcPr>
          <w:p w14:paraId="42EF12B3">
            <w:pPr>
              <w:jc w:val="center"/>
              <w:rPr>
                <w:color w:val="auto"/>
                <w:sz w:val="18"/>
                <w:szCs w:val="18"/>
              </w:rPr>
            </w:pPr>
            <w:r>
              <w:rPr>
                <w:color w:val="auto"/>
                <w:sz w:val="18"/>
                <w:szCs w:val="18"/>
              </w:rPr>
              <w:t>1</w:t>
            </w:r>
          </w:p>
        </w:tc>
        <w:tc>
          <w:tcPr>
            <w:tcW w:w="1045" w:type="dxa"/>
            <w:vAlign w:val="center"/>
          </w:tcPr>
          <w:p w14:paraId="1B2403E7">
            <w:pPr>
              <w:jc w:val="center"/>
              <w:rPr>
                <w:color w:val="auto"/>
                <w:sz w:val="18"/>
                <w:szCs w:val="18"/>
              </w:rPr>
            </w:pPr>
            <w:r>
              <w:rPr>
                <w:rFonts w:hint="eastAsia"/>
                <w:color w:val="auto"/>
                <w:sz w:val="18"/>
                <w:szCs w:val="18"/>
              </w:rPr>
              <w:t>考查</w:t>
            </w:r>
          </w:p>
        </w:tc>
      </w:tr>
      <w:tr w14:paraId="370016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872499C">
            <w:pPr>
              <w:jc w:val="center"/>
              <w:rPr>
                <w:b/>
                <w:color w:val="000000" w:themeColor="text1"/>
                <w:sz w:val="18"/>
                <w:szCs w:val="18"/>
                <w14:textFill>
                  <w14:solidFill>
                    <w14:schemeClr w14:val="tx1"/>
                  </w14:solidFill>
                </w14:textFill>
              </w:rPr>
            </w:pPr>
          </w:p>
        </w:tc>
        <w:tc>
          <w:tcPr>
            <w:tcW w:w="1226" w:type="dxa"/>
            <w:vMerge w:val="restart"/>
            <w:vAlign w:val="center"/>
          </w:tcPr>
          <w:p w14:paraId="290482AF">
            <w:pPr>
              <w:jc w:val="center"/>
              <w:rPr>
                <w:rFonts w:ascii="Times New Roman" w:hAnsi="Times New Roman" w:cs="Times New Roman"/>
                <w:b/>
                <w:color w:val="auto"/>
                <w:sz w:val="18"/>
                <w:szCs w:val="18"/>
              </w:rPr>
            </w:pPr>
            <w:r>
              <w:rPr>
                <w:rFonts w:ascii="Times New Roman" w:hAnsi="Times New Roman" w:cs="Times New Roman"/>
                <w:b/>
                <w:color w:val="auto"/>
                <w:sz w:val="18"/>
                <w:szCs w:val="18"/>
              </w:rPr>
              <w:t>学科基础课</w:t>
            </w:r>
          </w:p>
          <w:p w14:paraId="182CE2AF">
            <w:pPr>
              <w:jc w:val="center"/>
              <w:rPr>
                <w:rFonts w:ascii="Times New Roman" w:hAnsi="Times New Roman" w:cs="Times New Roman"/>
                <w:b/>
                <w:color w:val="auto"/>
                <w:sz w:val="18"/>
                <w:szCs w:val="18"/>
              </w:rPr>
            </w:pPr>
            <w:r>
              <w:rPr>
                <w:rFonts w:ascii="Times New Roman" w:hAnsi="Times New Roman" w:cs="Times New Roman"/>
                <w:b/>
                <w:color w:val="auto"/>
                <w:sz w:val="18"/>
                <w:szCs w:val="18"/>
              </w:rPr>
              <w:t>（</w:t>
            </w:r>
            <w:r>
              <w:rPr>
                <w:rFonts w:hint="eastAsia" w:cs="Times New Roman"/>
                <w:b/>
                <w:color w:val="auto"/>
                <w:sz w:val="18"/>
                <w:szCs w:val="18"/>
                <w:lang w:val="en-US" w:eastAsia="zh-CN"/>
              </w:rPr>
              <w:t>5</w:t>
            </w:r>
            <w:r>
              <w:rPr>
                <w:rFonts w:ascii="Times New Roman" w:hAnsi="Times New Roman" w:cs="Times New Roman"/>
                <w:b/>
                <w:color w:val="auto"/>
                <w:sz w:val="18"/>
                <w:szCs w:val="18"/>
              </w:rPr>
              <w:t>学分）</w:t>
            </w:r>
          </w:p>
        </w:tc>
        <w:tc>
          <w:tcPr>
            <w:tcW w:w="3516" w:type="dxa"/>
            <w:vAlign w:val="center"/>
          </w:tcPr>
          <w:p w14:paraId="1A7D194B">
            <w:pPr>
              <w:rPr>
                <w:color w:val="auto"/>
                <w:sz w:val="18"/>
                <w:szCs w:val="18"/>
              </w:rPr>
            </w:pPr>
            <w:r>
              <w:rPr>
                <w:sz w:val="18"/>
                <w:szCs w:val="18"/>
              </w:rPr>
              <w:t>学术道德</w:t>
            </w:r>
            <w:r>
              <w:rPr>
                <w:color w:val="auto"/>
                <w:sz w:val="18"/>
                <w:szCs w:val="18"/>
              </w:rPr>
              <w:t>与论文写作</w:t>
            </w:r>
          </w:p>
        </w:tc>
        <w:tc>
          <w:tcPr>
            <w:tcW w:w="1081" w:type="dxa"/>
            <w:shd w:val="clear" w:color="auto" w:fill="auto"/>
            <w:vAlign w:val="center"/>
          </w:tcPr>
          <w:p w14:paraId="24CF070E">
            <w:pPr>
              <w:jc w:val="center"/>
              <w:rPr>
                <w:rFonts w:ascii="Times New Roman" w:hAnsi="Times New Roman" w:eastAsia="宋体" w:cs="Times New Roman"/>
                <w:i/>
                <w:color w:val="auto"/>
                <w:kern w:val="2"/>
                <w:sz w:val="18"/>
                <w:szCs w:val="18"/>
                <w:lang w:val="en-US" w:eastAsia="zh-CN" w:bidi="ar-SA"/>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001</w:t>
            </w:r>
          </w:p>
        </w:tc>
        <w:tc>
          <w:tcPr>
            <w:tcW w:w="709" w:type="dxa"/>
            <w:vAlign w:val="center"/>
          </w:tcPr>
          <w:p w14:paraId="78E38D4F">
            <w:pPr>
              <w:jc w:val="center"/>
              <w:rPr>
                <w:rFonts w:hint="eastAsia" w:ascii="Times New Roman" w:hAnsi="Times New Roman" w:cs="Times New Roman"/>
                <w:color w:val="auto"/>
                <w:sz w:val="18"/>
                <w:szCs w:val="18"/>
                <w:lang w:eastAsia="zh-CN"/>
              </w:rPr>
            </w:pPr>
            <w:r>
              <w:rPr>
                <w:rFonts w:hint="eastAsia" w:ascii="Times New Roman" w:hAnsi="Times New Roman" w:cs="Times New Roman"/>
                <w:color w:val="auto"/>
                <w:sz w:val="18"/>
                <w:szCs w:val="18"/>
                <w:lang w:val="en-US" w:eastAsia="zh-CN"/>
              </w:rPr>
              <w:t>1</w:t>
            </w:r>
          </w:p>
        </w:tc>
        <w:tc>
          <w:tcPr>
            <w:tcW w:w="709" w:type="dxa"/>
            <w:vAlign w:val="center"/>
          </w:tcPr>
          <w:p w14:paraId="67999AEC">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1045" w:type="dxa"/>
            <w:vAlign w:val="center"/>
          </w:tcPr>
          <w:p w14:paraId="7E461BCB">
            <w:pPr>
              <w:jc w:val="center"/>
              <w:rPr>
                <w:i/>
                <w:color w:val="auto"/>
                <w:sz w:val="18"/>
                <w:szCs w:val="18"/>
              </w:rPr>
            </w:pPr>
            <w:r>
              <w:rPr>
                <w:rFonts w:hint="eastAsia"/>
                <w:color w:val="auto"/>
                <w:sz w:val="18"/>
                <w:szCs w:val="18"/>
              </w:rPr>
              <w:t>考查</w:t>
            </w:r>
          </w:p>
        </w:tc>
      </w:tr>
      <w:tr w14:paraId="7664F9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0AAA90E">
            <w:pPr>
              <w:jc w:val="center"/>
              <w:rPr>
                <w:b/>
                <w:color w:val="000000" w:themeColor="text1"/>
                <w:sz w:val="18"/>
                <w:szCs w:val="18"/>
                <w14:textFill>
                  <w14:solidFill>
                    <w14:schemeClr w14:val="tx1"/>
                  </w14:solidFill>
                </w14:textFill>
              </w:rPr>
            </w:pPr>
          </w:p>
        </w:tc>
        <w:tc>
          <w:tcPr>
            <w:tcW w:w="1226" w:type="dxa"/>
            <w:vMerge w:val="continue"/>
            <w:vAlign w:val="center"/>
          </w:tcPr>
          <w:p w14:paraId="12AF921B">
            <w:pPr>
              <w:jc w:val="center"/>
              <w:rPr>
                <w:rFonts w:ascii="Times New Roman" w:hAnsi="Times New Roman" w:cs="Times New Roman"/>
                <w:b/>
                <w:color w:val="auto"/>
                <w:sz w:val="18"/>
                <w:szCs w:val="18"/>
              </w:rPr>
            </w:pPr>
          </w:p>
        </w:tc>
        <w:tc>
          <w:tcPr>
            <w:tcW w:w="3516" w:type="dxa"/>
            <w:vAlign w:val="center"/>
          </w:tcPr>
          <w:p w14:paraId="159063E8">
            <w:pPr>
              <w:rPr>
                <w:rFonts w:hint="default" w:eastAsia="宋体"/>
                <w:color w:val="auto"/>
                <w:sz w:val="18"/>
                <w:szCs w:val="18"/>
                <w:lang w:val="en-US" w:eastAsia="zh-CN"/>
              </w:rPr>
            </w:pPr>
            <w:r>
              <w:rPr>
                <w:rFonts w:hint="eastAsia"/>
                <w:color w:val="auto"/>
                <w:sz w:val="18"/>
                <w:szCs w:val="18"/>
                <w:lang w:val="en-US" w:eastAsia="zh-CN"/>
              </w:rPr>
              <w:t>高等统计学</w:t>
            </w:r>
          </w:p>
        </w:tc>
        <w:tc>
          <w:tcPr>
            <w:tcW w:w="1081" w:type="dxa"/>
            <w:shd w:val="clear" w:color="auto" w:fill="auto"/>
            <w:vAlign w:val="center"/>
          </w:tcPr>
          <w:p w14:paraId="40710A7F">
            <w:pPr>
              <w:jc w:val="center"/>
              <w:rPr>
                <w:rFonts w:ascii="Times New Roman" w:hAnsi="Times New Roman" w:eastAsia="宋体" w:cs="Times New Roman"/>
                <w:i/>
                <w:color w:val="auto"/>
                <w:kern w:val="2"/>
                <w:sz w:val="18"/>
                <w:szCs w:val="18"/>
                <w:lang w:val="en-US" w:eastAsia="zh-CN" w:bidi="ar-SA"/>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002</w:t>
            </w:r>
          </w:p>
        </w:tc>
        <w:tc>
          <w:tcPr>
            <w:tcW w:w="709" w:type="dxa"/>
            <w:vAlign w:val="center"/>
          </w:tcPr>
          <w:p w14:paraId="3AF6D304">
            <w:pPr>
              <w:jc w:val="center"/>
              <w:rPr>
                <w:rFonts w:hint="eastAsia" w:ascii="Times New Roman" w:hAnsi="Times New Roman" w:cs="Times New Roman"/>
                <w:color w:val="auto"/>
                <w:sz w:val="18"/>
                <w:szCs w:val="18"/>
                <w:lang w:val="en-US" w:eastAsia="zh-CN"/>
              </w:rPr>
            </w:pPr>
            <w:r>
              <w:rPr>
                <w:rFonts w:hint="eastAsia" w:cs="Times New Roman"/>
                <w:color w:val="auto"/>
                <w:sz w:val="18"/>
                <w:szCs w:val="18"/>
                <w:lang w:val="en-US" w:eastAsia="zh-CN"/>
              </w:rPr>
              <w:t>2</w:t>
            </w:r>
          </w:p>
        </w:tc>
        <w:tc>
          <w:tcPr>
            <w:tcW w:w="709" w:type="dxa"/>
            <w:vAlign w:val="center"/>
          </w:tcPr>
          <w:p w14:paraId="78ED09EA">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1</w:t>
            </w:r>
          </w:p>
        </w:tc>
        <w:tc>
          <w:tcPr>
            <w:tcW w:w="1045" w:type="dxa"/>
            <w:vAlign w:val="center"/>
          </w:tcPr>
          <w:p w14:paraId="117E2FF5">
            <w:pPr>
              <w:jc w:val="center"/>
              <w:rPr>
                <w:i/>
                <w:color w:val="auto"/>
                <w:sz w:val="18"/>
                <w:szCs w:val="18"/>
              </w:rPr>
            </w:pPr>
            <w:r>
              <w:rPr>
                <w:rFonts w:hint="eastAsia" w:ascii="Times New Roman" w:hAnsi="Times New Roman" w:cs="Times New Roman"/>
                <w:color w:val="auto"/>
                <w:sz w:val="18"/>
                <w:szCs w:val="18"/>
                <w:highlight w:val="none"/>
              </w:rPr>
              <w:t>考试</w:t>
            </w:r>
          </w:p>
        </w:tc>
      </w:tr>
      <w:tr w14:paraId="64A9AB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4726895">
            <w:pPr>
              <w:jc w:val="center"/>
              <w:rPr>
                <w:b/>
                <w:color w:val="000000" w:themeColor="text1"/>
                <w:sz w:val="18"/>
                <w:szCs w:val="18"/>
                <w14:textFill>
                  <w14:solidFill>
                    <w14:schemeClr w14:val="tx1"/>
                  </w14:solidFill>
                </w14:textFill>
              </w:rPr>
            </w:pPr>
          </w:p>
        </w:tc>
        <w:tc>
          <w:tcPr>
            <w:tcW w:w="1226" w:type="dxa"/>
            <w:vMerge w:val="continue"/>
            <w:vAlign w:val="center"/>
          </w:tcPr>
          <w:p w14:paraId="0FE8F12C">
            <w:pPr>
              <w:jc w:val="center"/>
              <w:rPr>
                <w:rFonts w:ascii="Times New Roman" w:hAnsi="Times New Roman" w:cs="Times New Roman"/>
                <w:b/>
                <w:color w:val="auto"/>
                <w:sz w:val="18"/>
                <w:szCs w:val="18"/>
              </w:rPr>
            </w:pPr>
          </w:p>
        </w:tc>
        <w:tc>
          <w:tcPr>
            <w:tcW w:w="3516" w:type="dxa"/>
            <w:vAlign w:val="center"/>
          </w:tcPr>
          <w:p w14:paraId="6A0F78F6">
            <w:pPr>
              <w:rPr>
                <w:rFonts w:hint="default"/>
                <w:color w:val="auto"/>
                <w:sz w:val="18"/>
                <w:szCs w:val="18"/>
                <w:lang w:val="en-US" w:eastAsia="zh-CN"/>
              </w:rPr>
            </w:pPr>
            <w:r>
              <w:rPr>
                <w:rFonts w:hint="eastAsia"/>
                <w:color w:val="auto"/>
                <w:sz w:val="18"/>
                <w:szCs w:val="18"/>
                <w:lang w:val="en-US" w:eastAsia="zh-CN"/>
              </w:rPr>
              <w:t>高等概率论</w:t>
            </w:r>
          </w:p>
        </w:tc>
        <w:tc>
          <w:tcPr>
            <w:tcW w:w="1081" w:type="dxa"/>
            <w:vAlign w:val="center"/>
          </w:tcPr>
          <w:p w14:paraId="73316E80">
            <w:pPr>
              <w:jc w:val="center"/>
              <w:rPr>
                <w:rFonts w:hint="default" w:eastAsia="宋体"/>
                <w:i/>
                <w:color w:val="auto"/>
                <w:sz w:val="18"/>
                <w:szCs w:val="18"/>
                <w:lang w:val="en-US" w:eastAsia="zh-CN"/>
              </w:rPr>
            </w:pPr>
            <w:r>
              <w:rPr>
                <w:rFonts w:hint="eastAsia"/>
                <w:i w:val="0"/>
                <w:iCs/>
                <w:color w:val="auto"/>
                <w:sz w:val="18"/>
                <w:szCs w:val="18"/>
                <w:lang w:val="en-US" w:eastAsia="zh-CN"/>
              </w:rPr>
              <w:t>XS0318003</w:t>
            </w:r>
          </w:p>
        </w:tc>
        <w:tc>
          <w:tcPr>
            <w:tcW w:w="709" w:type="dxa"/>
            <w:vAlign w:val="center"/>
          </w:tcPr>
          <w:p w14:paraId="1EA280AF">
            <w:pPr>
              <w:jc w:val="center"/>
              <w:rPr>
                <w:rFonts w:hint="eastAsia" w:ascii="Times New Roman" w:hAnsi="Times New Roman" w:cs="Times New Roman"/>
                <w:color w:val="auto"/>
                <w:sz w:val="18"/>
                <w:szCs w:val="18"/>
                <w:lang w:val="en-US" w:eastAsia="zh-CN"/>
              </w:rPr>
            </w:pPr>
            <w:r>
              <w:rPr>
                <w:rFonts w:hint="eastAsia" w:cs="Times New Roman"/>
                <w:color w:val="auto"/>
                <w:sz w:val="18"/>
                <w:szCs w:val="18"/>
                <w:lang w:val="en-US" w:eastAsia="zh-CN"/>
              </w:rPr>
              <w:t>2</w:t>
            </w:r>
          </w:p>
        </w:tc>
        <w:tc>
          <w:tcPr>
            <w:tcW w:w="709" w:type="dxa"/>
            <w:vAlign w:val="center"/>
          </w:tcPr>
          <w:p w14:paraId="62EE74EE">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1045" w:type="dxa"/>
            <w:vAlign w:val="center"/>
          </w:tcPr>
          <w:p w14:paraId="3F1DC834">
            <w:pPr>
              <w:jc w:val="center"/>
              <w:rPr>
                <w:i/>
                <w:color w:val="auto"/>
                <w:sz w:val="18"/>
                <w:szCs w:val="18"/>
              </w:rPr>
            </w:pPr>
            <w:r>
              <w:rPr>
                <w:rFonts w:hint="eastAsia" w:ascii="Times New Roman" w:hAnsi="Times New Roman" w:cs="Times New Roman"/>
                <w:color w:val="auto"/>
                <w:sz w:val="18"/>
                <w:szCs w:val="18"/>
                <w:highlight w:val="none"/>
              </w:rPr>
              <w:t>考试</w:t>
            </w:r>
          </w:p>
        </w:tc>
      </w:tr>
      <w:tr w14:paraId="6E15D80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BA34298">
            <w:pPr>
              <w:jc w:val="center"/>
              <w:rPr>
                <w:b/>
                <w:color w:val="000000" w:themeColor="text1"/>
                <w:sz w:val="18"/>
                <w:szCs w:val="18"/>
                <w14:textFill>
                  <w14:solidFill>
                    <w14:schemeClr w14:val="tx1"/>
                  </w14:solidFill>
                </w14:textFill>
              </w:rPr>
            </w:pPr>
          </w:p>
        </w:tc>
        <w:tc>
          <w:tcPr>
            <w:tcW w:w="1226" w:type="dxa"/>
            <w:vMerge w:val="restart"/>
            <w:vAlign w:val="center"/>
          </w:tcPr>
          <w:p w14:paraId="501335E1">
            <w:pPr>
              <w:jc w:val="center"/>
              <w:rPr>
                <w:rFonts w:ascii="Times New Roman" w:hAnsi="Times New Roman" w:cs="Times New Roman"/>
                <w:b/>
                <w:color w:val="auto"/>
                <w:sz w:val="18"/>
                <w:szCs w:val="18"/>
              </w:rPr>
            </w:pPr>
            <w:r>
              <w:rPr>
                <w:rFonts w:ascii="Times New Roman" w:hAnsi="Times New Roman" w:cs="Times New Roman"/>
                <w:b/>
                <w:color w:val="auto"/>
                <w:sz w:val="18"/>
                <w:szCs w:val="18"/>
              </w:rPr>
              <w:t>专业必修课</w:t>
            </w:r>
          </w:p>
          <w:p w14:paraId="3AB29BC6">
            <w:pPr>
              <w:jc w:val="center"/>
              <w:rPr>
                <w:rFonts w:ascii="Times New Roman" w:hAnsi="Times New Roman" w:cs="Times New Roman"/>
                <w:b/>
                <w:color w:val="auto"/>
                <w:sz w:val="18"/>
                <w:szCs w:val="18"/>
              </w:rPr>
            </w:pPr>
            <w:r>
              <w:rPr>
                <w:rFonts w:ascii="Times New Roman" w:hAnsi="Times New Roman" w:cs="Times New Roman"/>
                <w:b/>
                <w:color w:val="auto"/>
                <w:sz w:val="18"/>
                <w:szCs w:val="18"/>
              </w:rPr>
              <w:t>（</w:t>
            </w:r>
            <w:r>
              <w:rPr>
                <w:rFonts w:hint="eastAsia" w:cs="Times New Roman"/>
                <w:b/>
                <w:color w:val="auto"/>
                <w:sz w:val="18"/>
                <w:szCs w:val="18"/>
                <w:lang w:val="en-US" w:eastAsia="zh-CN"/>
              </w:rPr>
              <w:t>5</w:t>
            </w:r>
            <w:r>
              <w:rPr>
                <w:rFonts w:ascii="Times New Roman" w:hAnsi="Times New Roman" w:cs="Times New Roman"/>
                <w:b/>
                <w:color w:val="auto"/>
                <w:sz w:val="18"/>
                <w:szCs w:val="18"/>
              </w:rPr>
              <w:t>学分）</w:t>
            </w:r>
          </w:p>
        </w:tc>
        <w:tc>
          <w:tcPr>
            <w:tcW w:w="3516" w:type="dxa"/>
          </w:tcPr>
          <w:p w14:paraId="6B0AAE5A">
            <w:pPr>
              <w:rPr>
                <w:rFonts w:hint="default" w:eastAsia="宋体"/>
                <w:color w:val="auto"/>
                <w:lang w:val="en-US" w:eastAsia="zh-CN"/>
              </w:rPr>
            </w:pPr>
            <w:r>
              <w:rPr>
                <w:rFonts w:hint="eastAsia" w:ascii="Times New Roman" w:hAnsi="Times New Roman" w:cs="Times New Roman"/>
                <w:color w:val="auto"/>
                <w:sz w:val="18"/>
                <w:szCs w:val="18"/>
                <w:lang w:val="en-US" w:eastAsia="zh-CN"/>
              </w:rPr>
              <w:t>高级计量经济学</w:t>
            </w:r>
          </w:p>
        </w:tc>
        <w:tc>
          <w:tcPr>
            <w:tcW w:w="1081" w:type="dxa"/>
            <w:vAlign w:val="center"/>
          </w:tcPr>
          <w:p w14:paraId="2AD13FA0">
            <w:pPr>
              <w:jc w:val="center"/>
              <w:rPr>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00</w:t>
            </w:r>
            <w:r>
              <w:rPr>
                <w:rFonts w:hint="eastAsia" w:cs="Times New Roman"/>
                <w:color w:val="auto"/>
                <w:sz w:val="18"/>
                <w:szCs w:val="18"/>
                <w:lang w:val="en-US" w:eastAsia="zh-CN"/>
              </w:rPr>
              <w:t>4</w:t>
            </w:r>
          </w:p>
        </w:tc>
        <w:tc>
          <w:tcPr>
            <w:tcW w:w="709" w:type="dxa"/>
            <w:vAlign w:val="center"/>
          </w:tcPr>
          <w:p w14:paraId="51DCA384">
            <w:pPr>
              <w:jc w:val="center"/>
              <w:rPr>
                <w:rFonts w:hint="eastAsia" w:ascii="Times New Roman" w:hAnsi="Times New Roman" w:cs="Times New Roman"/>
                <w:color w:val="auto"/>
                <w:sz w:val="18"/>
                <w:szCs w:val="18"/>
                <w:lang w:val="en-US" w:eastAsia="zh-CN"/>
              </w:rPr>
            </w:pPr>
            <w:r>
              <w:rPr>
                <w:rFonts w:hint="eastAsia" w:cs="Times New Roman"/>
                <w:color w:val="auto"/>
                <w:sz w:val="18"/>
                <w:szCs w:val="18"/>
                <w:lang w:val="en-US" w:eastAsia="zh-CN"/>
              </w:rPr>
              <w:t>2</w:t>
            </w:r>
          </w:p>
        </w:tc>
        <w:tc>
          <w:tcPr>
            <w:tcW w:w="709" w:type="dxa"/>
            <w:vAlign w:val="center"/>
          </w:tcPr>
          <w:p w14:paraId="389D96D4">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1</w:t>
            </w:r>
          </w:p>
        </w:tc>
        <w:tc>
          <w:tcPr>
            <w:tcW w:w="1045" w:type="dxa"/>
            <w:vAlign w:val="center"/>
          </w:tcPr>
          <w:p w14:paraId="355AD14B">
            <w:pPr>
              <w:jc w:val="center"/>
              <w:rPr>
                <w:color w:val="auto"/>
                <w:sz w:val="18"/>
                <w:szCs w:val="18"/>
              </w:rPr>
            </w:pPr>
            <w:r>
              <w:rPr>
                <w:rFonts w:hint="eastAsia" w:ascii="Times New Roman" w:hAnsi="Times New Roman" w:cs="Times New Roman"/>
                <w:color w:val="auto"/>
                <w:sz w:val="18"/>
                <w:szCs w:val="18"/>
                <w:highlight w:val="none"/>
              </w:rPr>
              <w:t>考试</w:t>
            </w:r>
          </w:p>
        </w:tc>
      </w:tr>
      <w:tr w14:paraId="64DEEB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2822108">
            <w:pPr>
              <w:jc w:val="center"/>
              <w:rPr>
                <w:b/>
                <w:color w:val="000000" w:themeColor="text1"/>
                <w:sz w:val="18"/>
                <w:szCs w:val="18"/>
                <w14:textFill>
                  <w14:solidFill>
                    <w14:schemeClr w14:val="tx1"/>
                  </w14:solidFill>
                </w14:textFill>
              </w:rPr>
            </w:pPr>
          </w:p>
        </w:tc>
        <w:tc>
          <w:tcPr>
            <w:tcW w:w="1226" w:type="dxa"/>
            <w:vMerge w:val="continue"/>
            <w:vAlign w:val="center"/>
          </w:tcPr>
          <w:p w14:paraId="3AF5FEBA">
            <w:pPr>
              <w:jc w:val="center"/>
              <w:rPr>
                <w:rFonts w:ascii="Times New Roman" w:hAnsi="Times New Roman" w:cs="Times New Roman"/>
                <w:b/>
                <w:color w:val="auto"/>
                <w:sz w:val="18"/>
                <w:szCs w:val="18"/>
              </w:rPr>
            </w:pPr>
          </w:p>
        </w:tc>
        <w:tc>
          <w:tcPr>
            <w:tcW w:w="3516" w:type="dxa"/>
            <w:shd w:val="clear" w:color="auto" w:fill="auto"/>
            <w:vAlign w:val="top"/>
          </w:tcPr>
          <w:p w14:paraId="0D297979">
            <w:pPr>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多元统计分析</w:t>
            </w:r>
          </w:p>
        </w:tc>
        <w:tc>
          <w:tcPr>
            <w:tcW w:w="1081" w:type="dxa"/>
            <w:shd w:val="clear" w:color="auto" w:fill="auto"/>
            <w:vAlign w:val="center"/>
          </w:tcPr>
          <w:p w14:paraId="6CD03192">
            <w:pPr>
              <w:jc w:val="center"/>
              <w:rPr>
                <w:rFonts w:hint="eastAsia" w:ascii="Times New Roman" w:hAnsi="Times New Roman" w:eastAsia="宋体" w:cs="Times New Roman"/>
                <w:i/>
                <w:color w:val="auto"/>
                <w:kern w:val="2"/>
                <w:sz w:val="18"/>
                <w:szCs w:val="18"/>
                <w:lang w:val="en-US" w:eastAsia="zh-CN" w:bidi="ar-SA"/>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00</w:t>
            </w:r>
            <w:r>
              <w:rPr>
                <w:rFonts w:hint="eastAsia" w:cs="Times New Roman"/>
                <w:color w:val="auto"/>
                <w:sz w:val="18"/>
                <w:szCs w:val="18"/>
                <w:lang w:val="en-US" w:eastAsia="zh-CN"/>
              </w:rPr>
              <w:t>5</w:t>
            </w:r>
          </w:p>
        </w:tc>
        <w:tc>
          <w:tcPr>
            <w:tcW w:w="709" w:type="dxa"/>
            <w:shd w:val="clear" w:color="auto" w:fill="auto"/>
            <w:vAlign w:val="center"/>
          </w:tcPr>
          <w:p w14:paraId="704F45B8">
            <w:pPr>
              <w:jc w:val="center"/>
              <w:rPr>
                <w:rFonts w:hint="eastAsia"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2</w:t>
            </w:r>
          </w:p>
        </w:tc>
        <w:tc>
          <w:tcPr>
            <w:tcW w:w="709" w:type="dxa"/>
            <w:shd w:val="clear" w:color="auto" w:fill="auto"/>
            <w:vAlign w:val="center"/>
          </w:tcPr>
          <w:p w14:paraId="01F25657">
            <w:pPr>
              <w:jc w:val="center"/>
              <w:rPr>
                <w:rFonts w:hint="eastAsia" w:ascii="Times New Roman" w:hAnsi="Times New Roman" w:eastAsia="宋体" w:cs="Times New Roman"/>
                <w:color w:val="auto"/>
                <w:kern w:val="2"/>
                <w:sz w:val="18"/>
                <w:szCs w:val="18"/>
                <w:lang w:val="en-US" w:eastAsia="zh-CN" w:bidi="ar-SA"/>
              </w:rPr>
            </w:pPr>
            <w:r>
              <w:rPr>
                <w:rFonts w:hint="eastAsia" w:cs="Times New Roman"/>
                <w:color w:val="auto"/>
                <w:sz w:val="18"/>
                <w:szCs w:val="18"/>
                <w:lang w:val="en-US" w:eastAsia="zh-CN"/>
              </w:rPr>
              <w:t>2</w:t>
            </w:r>
          </w:p>
        </w:tc>
        <w:tc>
          <w:tcPr>
            <w:tcW w:w="1045" w:type="dxa"/>
            <w:shd w:val="clear" w:color="auto" w:fill="auto"/>
            <w:vAlign w:val="center"/>
          </w:tcPr>
          <w:p w14:paraId="2B420234">
            <w:pPr>
              <w:jc w:val="center"/>
              <w:rPr>
                <w:rFonts w:hint="eastAsia" w:ascii="Times New Roman" w:hAnsi="Times New Roman" w:eastAsia="宋体" w:cs="Times New Roman"/>
                <w:i/>
                <w:color w:val="auto"/>
                <w:kern w:val="2"/>
                <w:sz w:val="18"/>
                <w:szCs w:val="18"/>
                <w:lang w:val="en-US" w:eastAsia="zh-CN" w:bidi="ar-SA"/>
              </w:rPr>
            </w:pPr>
            <w:r>
              <w:rPr>
                <w:rFonts w:hint="eastAsia" w:ascii="Times New Roman" w:hAnsi="Times New Roman" w:cs="Times New Roman"/>
                <w:color w:val="auto"/>
                <w:sz w:val="18"/>
                <w:szCs w:val="18"/>
                <w:highlight w:val="none"/>
              </w:rPr>
              <w:t>考试</w:t>
            </w:r>
          </w:p>
        </w:tc>
      </w:tr>
      <w:tr w14:paraId="60632A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1B8EC71">
            <w:pPr>
              <w:jc w:val="center"/>
              <w:rPr>
                <w:b/>
                <w:color w:val="000000" w:themeColor="text1"/>
                <w:sz w:val="18"/>
                <w:szCs w:val="18"/>
                <w14:textFill>
                  <w14:solidFill>
                    <w14:schemeClr w14:val="tx1"/>
                  </w14:solidFill>
                </w14:textFill>
              </w:rPr>
            </w:pPr>
          </w:p>
        </w:tc>
        <w:tc>
          <w:tcPr>
            <w:tcW w:w="1226" w:type="dxa"/>
            <w:vMerge w:val="continue"/>
            <w:vAlign w:val="center"/>
          </w:tcPr>
          <w:p w14:paraId="5407C180">
            <w:pPr>
              <w:jc w:val="center"/>
              <w:rPr>
                <w:b/>
                <w:color w:val="auto"/>
                <w:sz w:val="18"/>
                <w:szCs w:val="18"/>
                <w:highlight w:val="yellow"/>
              </w:rPr>
            </w:pPr>
          </w:p>
        </w:tc>
        <w:tc>
          <w:tcPr>
            <w:tcW w:w="3516" w:type="dxa"/>
          </w:tcPr>
          <w:p w14:paraId="755C8B62">
            <w:pPr>
              <w:rPr>
                <w:rFonts w:hint="default"/>
                <w:i/>
                <w:color w:val="auto"/>
                <w:sz w:val="18"/>
                <w:szCs w:val="18"/>
                <w:lang w:val="en-US" w:eastAsia="zh-CN"/>
              </w:rPr>
            </w:pPr>
            <w:r>
              <w:rPr>
                <w:rFonts w:hint="eastAsia"/>
                <w:i w:val="0"/>
                <w:iCs/>
                <w:color w:val="auto"/>
                <w:sz w:val="18"/>
                <w:szCs w:val="18"/>
                <w:lang w:val="en-US" w:eastAsia="zh-CN"/>
              </w:rPr>
              <w:t>统计学前沿问题</w:t>
            </w:r>
          </w:p>
        </w:tc>
        <w:tc>
          <w:tcPr>
            <w:tcW w:w="1081" w:type="dxa"/>
            <w:vAlign w:val="center"/>
          </w:tcPr>
          <w:p w14:paraId="15626CA3">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00</w:t>
            </w:r>
            <w:r>
              <w:rPr>
                <w:rFonts w:hint="eastAsia" w:cs="Times New Roman"/>
                <w:color w:val="auto"/>
                <w:sz w:val="18"/>
                <w:szCs w:val="18"/>
                <w:lang w:val="en-US" w:eastAsia="zh-CN"/>
              </w:rPr>
              <w:t>6</w:t>
            </w:r>
            <w:bookmarkStart w:id="1" w:name="_GoBack"/>
            <w:bookmarkEnd w:id="1"/>
          </w:p>
        </w:tc>
        <w:tc>
          <w:tcPr>
            <w:tcW w:w="709" w:type="dxa"/>
            <w:vAlign w:val="center"/>
          </w:tcPr>
          <w:p w14:paraId="0D9F2E84">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1</w:t>
            </w:r>
          </w:p>
        </w:tc>
        <w:tc>
          <w:tcPr>
            <w:tcW w:w="709" w:type="dxa"/>
            <w:vAlign w:val="center"/>
          </w:tcPr>
          <w:p w14:paraId="68065B9E">
            <w:pPr>
              <w:jc w:val="center"/>
              <w:rPr>
                <w:rFonts w:hint="default" w:ascii="Times New Roman" w:hAnsi="Times New Roman" w:cs="Times New Roman"/>
                <w:color w:val="auto"/>
                <w:sz w:val="18"/>
                <w:szCs w:val="18"/>
                <w:lang w:val="en-US" w:eastAsia="zh-CN"/>
              </w:rPr>
            </w:pPr>
            <w:r>
              <w:rPr>
                <w:rFonts w:hint="eastAsia" w:cs="Times New Roman"/>
                <w:color w:val="auto"/>
                <w:sz w:val="18"/>
                <w:szCs w:val="18"/>
                <w:lang w:val="en-US" w:eastAsia="zh-CN"/>
              </w:rPr>
              <w:t>3</w:t>
            </w:r>
          </w:p>
        </w:tc>
        <w:tc>
          <w:tcPr>
            <w:tcW w:w="1045" w:type="dxa"/>
            <w:vAlign w:val="center"/>
          </w:tcPr>
          <w:p w14:paraId="045A45B3">
            <w:pPr>
              <w:jc w:val="center"/>
              <w:rPr>
                <w:rFonts w:hint="eastAsia" w:eastAsia="宋体"/>
                <w:i/>
                <w:color w:val="auto"/>
                <w:sz w:val="18"/>
                <w:szCs w:val="18"/>
                <w:lang w:val="en-US" w:eastAsia="zh-CN"/>
              </w:rPr>
            </w:pPr>
            <w:r>
              <w:rPr>
                <w:rFonts w:hint="eastAsia" w:cs="Times New Roman"/>
                <w:color w:val="auto"/>
                <w:sz w:val="18"/>
                <w:szCs w:val="18"/>
                <w:highlight w:val="none"/>
                <w:lang w:val="en-US" w:eastAsia="zh-CN"/>
              </w:rPr>
              <w:t>考查</w:t>
            </w:r>
          </w:p>
        </w:tc>
      </w:tr>
      <w:tr w14:paraId="302C43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5CD1C98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42C5B4CA">
            <w:pPr>
              <w:jc w:val="center"/>
              <w:rPr>
                <w:b/>
                <w:color w:val="auto"/>
                <w:sz w:val="18"/>
                <w:szCs w:val="18"/>
              </w:rPr>
            </w:pPr>
            <w:r>
              <w:rPr>
                <w:b/>
                <w:color w:val="auto"/>
                <w:sz w:val="18"/>
                <w:szCs w:val="18"/>
              </w:rPr>
              <w:t>公共通识课</w:t>
            </w:r>
          </w:p>
          <w:p w14:paraId="02E0A15E">
            <w:pPr>
              <w:jc w:val="center"/>
              <w:rPr>
                <w:b/>
                <w:color w:val="auto"/>
                <w:sz w:val="18"/>
                <w:szCs w:val="18"/>
              </w:rPr>
            </w:pPr>
            <w:r>
              <w:rPr>
                <w:b/>
                <w:color w:val="auto"/>
                <w:sz w:val="18"/>
                <w:szCs w:val="18"/>
              </w:rPr>
              <w:t>（2学分）</w:t>
            </w:r>
          </w:p>
        </w:tc>
        <w:tc>
          <w:tcPr>
            <w:tcW w:w="3516" w:type="dxa"/>
            <w:vAlign w:val="center"/>
          </w:tcPr>
          <w:p w14:paraId="37B3E7E9">
            <w:pPr>
              <w:rPr>
                <w:color w:val="auto"/>
                <w:sz w:val="18"/>
                <w:szCs w:val="18"/>
              </w:rPr>
            </w:pPr>
            <w:r>
              <w:rPr>
                <w:color w:val="auto"/>
                <w:sz w:val="18"/>
                <w:szCs w:val="18"/>
              </w:rPr>
              <w:t>《习近平谈治国理政》研读</w:t>
            </w:r>
          </w:p>
        </w:tc>
        <w:tc>
          <w:tcPr>
            <w:tcW w:w="1081" w:type="dxa"/>
            <w:vAlign w:val="center"/>
          </w:tcPr>
          <w:p w14:paraId="17152C76">
            <w:pPr>
              <w:jc w:val="center"/>
              <w:rPr>
                <w:color w:val="auto"/>
                <w:sz w:val="18"/>
                <w:szCs w:val="18"/>
              </w:rPr>
            </w:pPr>
            <w:r>
              <w:rPr>
                <w:color w:val="auto"/>
                <w:sz w:val="18"/>
                <w:szCs w:val="18"/>
              </w:rPr>
              <w:t>TT0000101</w:t>
            </w:r>
          </w:p>
        </w:tc>
        <w:tc>
          <w:tcPr>
            <w:tcW w:w="709" w:type="dxa"/>
            <w:vAlign w:val="center"/>
          </w:tcPr>
          <w:p w14:paraId="0AE575DC">
            <w:pPr>
              <w:jc w:val="center"/>
              <w:rPr>
                <w:color w:val="auto"/>
                <w:sz w:val="18"/>
                <w:szCs w:val="18"/>
              </w:rPr>
            </w:pPr>
            <w:r>
              <w:rPr>
                <w:color w:val="auto"/>
                <w:sz w:val="18"/>
                <w:szCs w:val="18"/>
              </w:rPr>
              <w:t>1</w:t>
            </w:r>
          </w:p>
        </w:tc>
        <w:tc>
          <w:tcPr>
            <w:tcW w:w="709" w:type="dxa"/>
            <w:vAlign w:val="center"/>
          </w:tcPr>
          <w:p w14:paraId="3CA32E22">
            <w:pPr>
              <w:jc w:val="center"/>
              <w:rPr>
                <w:color w:val="auto"/>
                <w:sz w:val="18"/>
                <w:szCs w:val="18"/>
              </w:rPr>
            </w:pPr>
            <w:r>
              <w:rPr>
                <w:color w:val="auto"/>
                <w:sz w:val="18"/>
                <w:szCs w:val="18"/>
              </w:rPr>
              <w:t>2</w:t>
            </w:r>
          </w:p>
        </w:tc>
        <w:tc>
          <w:tcPr>
            <w:tcW w:w="1045" w:type="dxa"/>
            <w:vAlign w:val="center"/>
          </w:tcPr>
          <w:p w14:paraId="43852544">
            <w:pPr>
              <w:jc w:val="center"/>
              <w:rPr>
                <w:color w:val="auto"/>
                <w:sz w:val="18"/>
                <w:szCs w:val="18"/>
              </w:rPr>
            </w:pPr>
            <w:r>
              <w:rPr>
                <w:color w:val="auto"/>
                <w:sz w:val="18"/>
                <w:szCs w:val="18"/>
              </w:rPr>
              <w:t>考查</w:t>
            </w:r>
          </w:p>
        </w:tc>
      </w:tr>
      <w:tr w14:paraId="3D7351F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EC07992">
            <w:pPr>
              <w:jc w:val="center"/>
              <w:rPr>
                <w:b/>
                <w:color w:val="000000" w:themeColor="text1"/>
                <w:sz w:val="18"/>
                <w:szCs w:val="18"/>
                <w14:textFill>
                  <w14:solidFill>
                    <w14:schemeClr w14:val="tx1"/>
                  </w14:solidFill>
                </w14:textFill>
              </w:rPr>
            </w:pPr>
          </w:p>
        </w:tc>
        <w:tc>
          <w:tcPr>
            <w:tcW w:w="1226" w:type="dxa"/>
            <w:vMerge w:val="continue"/>
            <w:vAlign w:val="center"/>
          </w:tcPr>
          <w:p w14:paraId="1F5CFF1F">
            <w:pPr>
              <w:jc w:val="center"/>
              <w:rPr>
                <w:b/>
                <w:color w:val="auto"/>
                <w:sz w:val="18"/>
                <w:szCs w:val="18"/>
              </w:rPr>
            </w:pPr>
          </w:p>
        </w:tc>
        <w:tc>
          <w:tcPr>
            <w:tcW w:w="3516" w:type="dxa"/>
            <w:vAlign w:val="center"/>
          </w:tcPr>
          <w:p w14:paraId="1F45FC07">
            <w:pPr>
              <w:rPr>
                <w:color w:val="auto"/>
                <w:sz w:val="18"/>
                <w:szCs w:val="18"/>
              </w:rPr>
            </w:pPr>
            <w:r>
              <w:rPr>
                <w:color w:val="auto"/>
                <w:sz w:val="18"/>
                <w:szCs w:val="18"/>
              </w:rPr>
              <w:t>马克思主义与社会科学方法论</w:t>
            </w:r>
          </w:p>
        </w:tc>
        <w:tc>
          <w:tcPr>
            <w:tcW w:w="1081" w:type="dxa"/>
            <w:vAlign w:val="center"/>
          </w:tcPr>
          <w:p w14:paraId="2EAB81DC">
            <w:pPr>
              <w:jc w:val="center"/>
              <w:rPr>
                <w:color w:val="auto"/>
                <w:sz w:val="18"/>
                <w:szCs w:val="18"/>
              </w:rPr>
            </w:pPr>
            <w:r>
              <w:rPr>
                <w:color w:val="auto"/>
                <w:sz w:val="18"/>
                <w:szCs w:val="18"/>
              </w:rPr>
              <w:t>TS0000101</w:t>
            </w:r>
          </w:p>
        </w:tc>
        <w:tc>
          <w:tcPr>
            <w:tcW w:w="709" w:type="dxa"/>
            <w:vAlign w:val="center"/>
          </w:tcPr>
          <w:p w14:paraId="5B1BAA69">
            <w:pPr>
              <w:jc w:val="center"/>
              <w:rPr>
                <w:color w:val="auto"/>
                <w:sz w:val="18"/>
                <w:szCs w:val="18"/>
              </w:rPr>
            </w:pPr>
            <w:r>
              <w:rPr>
                <w:color w:val="auto"/>
                <w:sz w:val="18"/>
                <w:szCs w:val="18"/>
              </w:rPr>
              <w:t>1</w:t>
            </w:r>
          </w:p>
        </w:tc>
        <w:tc>
          <w:tcPr>
            <w:tcW w:w="709" w:type="dxa"/>
            <w:vAlign w:val="center"/>
          </w:tcPr>
          <w:p w14:paraId="6880F7CB">
            <w:pPr>
              <w:jc w:val="center"/>
              <w:rPr>
                <w:color w:val="auto"/>
                <w:sz w:val="18"/>
                <w:szCs w:val="18"/>
              </w:rPr>
            </w:pPr>
            <w:r>
              <w:rPr>
                <w:color w:val="auto"/>
                <w:sz w:val="18"/>
                <w:szCs w:val="18"/>
              </w:rPr>
              <w:t>2</w:t>
            </w:r>
          </w:p>
        </w:tc>
        <w:tc>
          <w:tcPr>
            <w:tcW w:w="1045" w:type="dxa"/>
            <w:vAlign w:val="center"/>
          </w:tcPr>
          <w:p w14:paraId="6441A9CA">
            <w:pPr>
              <w:jc w:val="center"/>
              <w:rPr>
                <w:color w:val="auto"/>
                <w:sz w:val="18"/>
                <w:szCs w:val="18"/>
              </w:rPr>
            </w:pPr>
            <w:r>
              <w:rPr>
                <w:color w:val="auto"/>
                <w:sz w:val="18"/>
                <w:szCs w:val="18"/>
              </w:rPr>
              <w:t>考查</w:t>
            </w:r>
          </w:p>
        </w:tc>
      </w:tr>
      <w:tr w14:paraId="17D6120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A96BE2">
            <w:pPr>
              <w:rPr>
                <w:b/>
                <w:color w:val="000000" w:themeColor="text1"/>
                <w:sz w:val="18"/>
                <w:szCs w:val="18"/>
                <w14:textFill>
                  <w14:solidFill>
                    <w14:schemeClr w14:val="tx1"/>
                  </w14:solidFill>
                </w14:textFill>
              </w:rPr>
            </w:pPr>
          </w:p>
        </w:tc>
        <w:tc>
          <w:tcPr>
            <w:tcW w:w="1226" w:type="dxa"/>
            <w:vMerge w:val="restart"/>
            <w:vAlign w:val="center"/>
          </w:tcPr>
          <w:p w14:paraId="3440CFC1">
            <w:pPr>
              <w:jc w:val="center"/>
              <w:rPr>
                <w:b/>
                <w:color w:val="auto"/>
                <w:sz w:val="18"/>
                <w:szCs w:val="18"/>
              </w:rPr>
            </w:pPr>
            <w:r>
              <w:rPr>
                <w:rFonts w:hint="eastAsia"/>
                <w:b/>
                <w:color w:val="auto"/>
                <w:sz w:val="18"/>
                <w:szCs w:val="18"/>
                <w:lang w:val="en-US" w:eastAsia="zh-CN"/>
              </w:rPr>
              <w:t>数理统计学</w:t>
            </w:r>
            <w:r>
              <w:rPr>
                <w:b/>
                <w:color w:val="auto"/>
                <w:sz w:val="18"/>
                <w:szCs w:val="18"/>
              </w:rPr>
              <w:t>方向选修课</w:t>
            </w:r>
          </w:p>
        </w:tc>
        <w:tc>
          <w:tcPr>
            <w:tcW w:w="3516" w:type="dxa"/>
            <w:vAlign w:val="center"/>
          </w:tcPr>
          <w:p w14:paraId="15D84F0D">
            <w:pPr>
              <w:rPr>
                <w:rFonts w:hint="default" w:eastAsia="宋体"/>
                <w:i w:val="0"/>
                <w:iCs/>
                <w:color w:val="auto"/>
                <w:sz w:val="18"/>
                <w:szCs w:val="18"/>
                <w:lang w:val="en-US" w:eastAsia="zh-CN"/>
              </w:rPr>
            </w:pPr>
            <w:r>
              <w:rPr>
                <w:rFonts w:hint="eastAsia"/>
                <w:i w:val="0"/>
                <w:iCs/>
                <w:color w:val="auto"/>
                <w:sz w:val="18"/>
                <w:szCs w:val="18"/>
                <w:lang w:val="en-US" w:eastAsia="zh-CN"/>
              </w:rPr>
              <w:t>数理经济学</w:t>
            </w:r>
          </w:p>
        </w:tc>
        <w:tc>
          <w:tcPr>
            <w:tcW w:w="1081" w:type="dxa"/>
            <w:vAlign w:val="center"/>
          </w:tcPr>
          <w:p w14:paraId="2C1725BC">
            <w:pPr>
              <w:jc w:val="center"/>
              <w:rPr>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101</w:t>
            </w:r>
          </w:p>
        </w:tc>
        <w:tc>
          <w:tcPr>
            <w:tcW w:w="709" w:type="dxa"/>
            <w:vAlign w:val="center"/>
          </w:tcPr>
          <w:p w14:paraId="41D63202">
            <w:pPr>
              <w:jc w:val="center"/>
              <w:rPr>
                <w:rFonts w:hint="eastAsia" w:eastAsia="宋体"/>
                <w:color w:val="auto"/>
                <w:lang w:eastAsia="zh-CN"/>
              </w:rPr>
            </w:pPr>
            <w:r>
              <w:rPr>
                <w:rFonts w:hint="eastAsia" w:ascii="Times New Roman" w:hAnsi="Times New Roman" w:cs="Times New Roman"/>
                <w:color w:val="auto"/>
                <w:sz w:val="18"/>
                <w:szCs w:val="18"/>
                <w:lang w:val="en-US" w:eastAsia="zh-CN"/>
              </w:rPr>
              <w:t>2</w:t>
            </w:r>
          </w:p>
        </w:tc>
        <w:tc>
          <w:tcPr>
            <w:tcW w:w="709" w:type="dxa"/>
            <w:vAlign w:val="center"/>
          </w:tcPr>
          <w:p w14:paraId="7FAB3B97">
            <w:pPr>
              <w:jc w:val="center"/>
              <w:rPr>
                <w:rFonts w:hint="eastAsia" w:ascii="Times New Roman" w:hAnsi="Times New Roman" w:cs="Times New Roman"/>
                <w:color w:val="auto"/>
                <w:sz w:val="18"/>
                <w:szCs w:val="18"/>
                <w:lang w:eastAsia="zh-CN"/>
              </w:rPr>
            </w:pPr>
            <w:r>
              <w:rPr>
                <w:rFonts w:hint="eastAsia" w:ascii="Times New Roman" w:hAnsi="Times New Roman" w:cs="Times New Roman"/>
                <w:color w:val="auto"/>
                <w:sz w:val="18"/>
                <w:szCs w:val="18"/>
                <w:lang w:val="en-US" w:eastAsia="zh-CN"/>
              </w:rPr>
              <w:t>1</w:t>
            </w:r>
          </w:p>
        </w:tc>
        <w:tc>
          <w:tcPr>
            <w:tcW w:w="1045" w:type="dxa"/>
            <w:vMerge w:val="restart"/>
            <w:vAlign w:val="center"/>
          </w:tcPr>
          <w:p w14:paraId="7752C4A2">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本方向研究生至少选修</w:t>
            </w:r>
          </w:p>
          <w:p w14:paraId="73DEFB23">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lang w:val="en-US" w:eastAsia="zh-CN"/>
              </w:rPr>
              <w:t>4</w:t>
            </w:r>
            <w:r>
              <w:rPr>
                <w:rFonts w:hint="eastAsia" w:ascii="Times New Roman" w:hAnsi="Times New Roman" w:cs="Times New Roman"/>
                <w:color w:val="auto"/>
                <w:sz w:val="18"/>
                <w:szCs w:val="18"/>
                <w:highlight w:val="none"/>
              </w:rPr>
              <w:t>学分</w:t>
            </w:r>
          </w:p>
        </w:tc>
      </w:tr>
      <w:tr w14:paraId="60842F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9C5426">
            <w:pPr>
              <w:rPr>
                <w:b/>
                <w:color w:val="000000" w:themeColor="text1"/>
                <w:sz w:val="18"/>
                <w:szCs w:val="18"/>
                <w14:textFill>
                  <w14:solidFill>
                    <w14:schemeClr w14:val="tx1"/>
                  </w14:solidFill>
                </w14:textFill>
              </w:rPr>
            </w:pPr>
          </w:p>
        </w:tc>
        <w:tc>
          <w:tcPr>
            <w:tcW w:w="1226" w:type="dxa"/>
            <w:vMerge w:val="continue"/>
            <w:vAlign w:val="center"/>
          </w:tcPr>
          <w:p w14:paraId="0D995A82">
            <w:pPr>
              <w:adjustRightInd w:val="0"/>
              <w:snapToGrid w:val="0"/>
              <w:jc w:val="center"/>
              <w:rPr>
                <w:b/>
                <w:color w:val="auto"/>
                <w:sz w:val="18"/>
                <w:szCs w:val="18"/>
              </w:rPr>
            </w:pPr>
          </w:p>
        </w:tc>
        <w:tc>
          <w:tcPr>
            <w:tcW w:w="3516" w:type="dxa"/>
            <w:vAlign w:val="center"/>
          </w:tcPr>
          <w:p w14:paraId="092ABA44">
            <w:pPr>
              <w:rPr>
                <w:rFonts w:hint="default" w:eastAsia="宋体"/>
                <w:i w:val="0"/>
                <w:iCs/>
                <w:color w:val="auto"/>
                <w:sz w:val="18"/>
                <w:szCs w:val="18"/>
                <w:lang w:val="en-US" w:eastAsia="zh-CN"/>
              </w:rPr>
            </w:pPr>
            <w:r>
              <w:rPr>
                <w:rFonts w:hint="eastAsia" w:ascii="Times New Roman" w:hAnsi="Times New Roman" w:cs="Times New Roman"/>
                <w:i w:val="0"/>
                <w:iCs/>
                <w:color w:val="auto"/>
                <w:sz w:val="18"/>
                <w:szCs w:val="18"/>
                <w:lang w:val="en-US" w:eastAsia="zh-CN"/>
              </w:rPr>
              <w:t>非参数与半参数计量建模</w:t>
            </w:r>
          </w:p>
        </w:tc>
        <w:tc>
          <w:tcPr>
            <w:tcW w:w="1081" w:type="dxa"/>
            <w:vAlign w:val="center"/>
          </w:tcPr>
          <w:p w14:paraId="2643834B">
            <w:pPr>
              <w:jc w:val="center"/>
              <w:rPr>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102</w:t>
            </w:r>
          </w:p>
        </w:tc>
        <w:tc>
          <w:tcPr>
            <w:tcW w:w="709" w:type="dxa"/>
            <w:vAlign w:val="center"/>
          </w:tcPr>
          <w:p w14:paraId="01FDD8EC">
            <w:pPr>
              <w:jc w:val="center"/>
              <w:rPr>
                <w:color w:val="auto"/>
              </w:rPr>
            </w:pPr>
            <w:r>
              <w:rPr>
                <w:rFonts w:hint="eastAsia" w:ascii="Times New Roman" w:hAnsi="Times New Roman" w:cs="Times New Roman"/>
                <w:color w:val="auto"/>
                <w:sz w:val="18"/>
                <w:szCs w:val="18"/>
                <w:lang w:val="en-US" w:eastAsia="zh-CN"/>
              </w:rPr>
              <w:t>2</w:t>
            </w:r>
          </w:p>
        </w:tc>
        <w:tc>
          <w:tcPr>
            <w:tcW w:w="709" w:type="dxa"/>
            <w:vAlign w:val="center"/>
          </w:tcPr>
          <w:p w14:paraId="4FBBDBAB">
            <w:pPr>
              <w:jc w:val="center"/>
              <w:rPr>
                <w:rFonts w:hint="eastAsia" w:ascii="Times New Roman" w:hAnsi="Times New Roman" w:cs="Times New Roman"/>
                <w:color w:val="auto"/>
                <w:sz w:val="18"/>
                <w:szCs w:val="18"/>
                <w:lang w:eastAsia="zh-CN"/>
              </w:rPr>
            </w:pPr>
            <w:r>
              <w:rPr>
                <w:rFonts w:hint="eastAsia" w:ascii="Times New Roman" w:hAnsi="Times New Roman" w:cs="Times New Roman"/>
                <w:color w:val="auto"/>
                <w:sz w:val="18"/>
                <w:szCs w:val="18"/>
                <w:lang w:val="en-US" w:eastAsia="zh-CN"/>
              </w:rPr>
              <w:t>2</w:t>
            </w:r>
          </w:p>
        </w:tc>
        <w:tc>
          <w:tcPr>
            <w:tcW w:w="1045" w:type="dxa"/>
            <w:vMerge w:val="continue"/>
            <w:vAlign w:val="center"/>
          </w:tcPr>
          <w:p w14:paraId="7EB3FE82">
            <w:pPr>
              <w:jc w:val="center"/>
              <w:rPr>
                <w:rFonts w:hint="eastAsia" w:ascii="Times New Roman" w:hAnsi="Times New Roman" w:cs="Times New Roman"/>
                <w:color w:val="auto"/>
                <w:sz w:val="18"/>
                <w:szCs w:val="18"/>
                <w:highlight w:val="none"/>
              </w:rPr>
            </w:pPr>
          </w:p>
        </w:tc>
      </w:tr>
      <w:tr w14:paraId="67417A0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74" w:hRule="atLeast"/>
          <w:jc w:val="center"/>
        </w:trPr>
        <w:tc>
          <w:tcPr>
            <w:tcW w:w="571" w:type="dxa"/>
            <w:vMerge w:val="continue"/>
          </w:tcPr>
          <w:p w14:paraId="137B79E9">
            <w:pPr>
              <w:rPr>
                <w:b/>
                <w:color w:val="000000" w:themeColor="text1"/>
                <w:sz w:val="18"/>
                <w:szCs w:val="18"/>
                <w14:textFill>
                  <w14:solidFill>
                    <w14:schemeClr w14:val="tx1"/>
                  </w14:solidFill>
                </w14:textFill>
              </w:rPr>
            </w:pPr>
          </w:p>
        </w:tc>
        <w:tc>
          <w:tcPr>
            <w:tcW w:w="1226" w:type="dxa"/>
            <w:vMerge w:val="continue"/>
            <w:vAlign w:val="center"/>
          </w:tcPr>
          <w:p w14:paraId="235FF057">
            <w:pPr>
              <w:jc w:val="center"/>
              <w:rPr>
                <w:b/>
                <w:color w:val="auto"/>
                <w:sz w:val="18"/>
                <w:szCs w:val="18"/>
              </w:rPr>
            </w:pPr>
          </w:p>
        </w:tc>
        <w:tc>
          <w:tcPr>
            <w:tcW w:w="3516" w:type="dxa"/>
            <w:vAlign w:val="center"/>
          </w:tcPr>
          <w:p w14:paraId="0126448E">
            <w:pPr>
              <w:rPr>
                <w:rFonts w:hint="default" w:ascii="Times New Roman" w:hAnsi="Times New Roman" w:cs="Times New Roman"/>
                <w:i w:val="0"/>
                <w:iCs/>
                <w:color w:val="auto"/>
                <w:sz w:val="18"/>
                <w:szCs w:val="18"/>
                <w:lang w:val="en-US" w:eastAsia="zh-CN"/>
              </w:rPr>
            </w:pPr>
            <w:r>
              <w:rPr>
                <w:rFonts w:hint="eastAsia" w:ascii="Times New Roman" w:hAnsi="Times New Roman" w:cs="Times New Roman"/>
                <w:i w:val="0"/>
                <w:iCs/>
                <w:color w:val="auto"/>
                <w:sz w:val="18"/>
                <w:szCs w:val="18"/>
                <w:lang w:val="en-US" w:eastAsia="zh-CN"/>
              </w:rPr>
              <w:t>贝叶斯统计</w:t>
            </w:r>
          </w:p>
        </w:tc>
        <w:tc>
          <w:tcPr>
            <w:tcW w:w="1081" w:type="dxa"/>
            <w:shd w:val="clear" w:color="auto" w:fill="auto"/>
            <w:vAlign w:val="center"/>
          </w:tcPr>
          <w:p w14:paraId="39ACF750">
            <w:pPr>
              <w:jc w:val="center"/>
              <w:rPr>
                <w:rFonts w:hint="default" w:ascii="Times New Roman" w:hAnsi="Times New Roman" w:eastAsia="宋体" w:cs="Times New Roman"/>
                <w:color w:val="auto"/>
                <w:kern w:val="2"/>
                <w:sz w:val="18"/>
                <w:szCs w:val="18"/>
                <w:lang w:val="en-US" w:eastAsia="zh-CN" w:bidi="ar-SA"/>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201</w:t>
            </w:r>
          </w:p>
        </w:tc>
        <w:tc>
          <w:tcPr>
            <w:tcW w:w="709" w:type="dxa"/>
            <w:vAlign w:val="center"/>
          </w:tcPr>
          <w:p w14:paraId="26533FBE">
            <w:pPr>
              <w:jc w:val="center"/>
              <w:rPr>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476AF6E1">
            <w:pPr>
              <w:jc w:val="center"/>
              <w:rPr>
                <w:rFonts w:hint="eastAsia" w:ascii="Times New Roman" w:hAnsi="Times New Roman" w:cs="Times New Roman"/>
                <w:color w:val="auto"/>
                <w:sz w:val="18"/>
                <w:szCs w:val="18"/>
                <w:lang w:eastAsia="zh-CN"/>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544F7ED9">
            <w:pPr>
              <w:jc w:val="center"/>
              <w:rPr>
                <w:rFonts w:hint="eastAsia" w:ascii="Times New Roman" w:hAnsi="Times New Roman" w:cs="Times New Roman"/>
                <w:color w:val="auto"/>
                <w:sz w:val="18"/>
                <w:szCs w:val="18"/>
                <w:highlight w:val="none"/>
              </w:rPr>
            </w:pPr>
          </w:p>
        </w:tc>
      </w:tr>
      <w:tr w14:paraId="6A60C60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F29ACF">
            <w:pPr>
              <w:rPr>
                <w:b/>
                <w:color w:val="000000" w:themeColor="text1"/>
                <w:sz w:val="18"/>
                <w:szCs w:val="18"/>
                <w14:textFill>
                  <w14:solidFill>
                    <w14:schemeClr w14:val="tx1"/>
                  </w14:solidFill>
                </w14:textFill>
              </w:rPr>
            </w:pPr>
          </w:p>
        </w:tc>
        <w:tc>
          <w:tcPr>
            <w:tcW w:w="1226" w:type="dxa"/>
            <w:vMerge w:val="continue"/>
            <w:vAlign w:val="center"/>
          </w:tcPr>
          <w:p w14:paraId="0A11DDF8">
            <w:pPr>
              <w:jc w:val="center"/>
              <w:rPr>
                <w:b/>
                <w:color w:val="auto"/>
                <w:sz w:val="18"/>
                <w:szCs w:val="18"/>
              </w:rPr>
            </w:pPr>
          </w:p>
        </w:tc>
        <w:tc>
          <w:tcPr>
            <w:tcW w:w="3516" w:type="dxa"/>
            <w:vAlign w:val="center"/>
          </w:tcPr>
          <w:p w14:paraId="4E8B8060">
            <w:pPr>
              <w:rPr>
                <w:rFonts w:hint="default" w:ascii="Times New Roman" w:hAnsi="Times New Roman" w:cs="Times New Roman"/>
                <w:i w:val="0"/>
                <w:iCs/>
                <w:color w:val="auto"/>
                <w:sz w:val="18"/>
                <w:szCs w:val="18"/>
                <w:lang w:val="en-US" w:eastAsia="zh-CN"/>
              </w:rPr>
            </w:pPr>
            <w:r>
              <w:rPr>
                <w:rFonts w:hint="eastAsia" w:ascii="Times New Roman" w:hAnsi="Times New Roman" w:cs="Times New Roman"/>
                <w:i w:val="0"/>
                <w:iCs/>
                <w:color w:val="auto"/>
                <w:sz w:val="18"/>
                <w:szCs w:val="18"/>
                <w:lang w:val="en-US" w:eastAsia="zh-CN"/>
              </w:rPr>
              <w:t>小域估计</w:t>
            </w:r>
          </w:p>
        </w:tc>
        <w:tc>
          <w:tcPr>
            <w:tcW w:w="1081" w:type="dxa"/>
            <w:vAlign w:val="center"/>
          </w:tcPr>
          <w:p w14:paraId="4105CED3">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202</w:t>
            </w:r>
          </w:p>
        </w:tc>
        <w:tc>
          <w:tcPr>
            <w:tcW w:w="709" w:type="dxa"/>
            <w:vAlign w:val="center"/>
          </w:tcPr>
          <w:p w14:paraId="6B8091E6">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4105FEA3">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47A99D58">
            <w:pPr>
              <w:jc w:val="center"/>
              <w:rPr>
                <w:rFonts w:hint="eastAsia" w:ascii="Times New Roman" w:hAnsi="Times New Roman" w:cs="Times New Roman"/>
                <w:color w:val="auto"/>
                <w:sz w:val="18"/>
                <w:szCs w:val="18"/>
                <w:highlight w:val="none"/>
              </w:rPr>
            </w:pPr>
          </w:p>
        </w:tc>
      </w:tr>
      <w:tr w14:paraId="353E54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5EF0CC">
            <w:pPr>
              <w:rPr>
                <w:b/>
                <w:color w:val="000000" w:themeColor="text1"/>
                <w:sz w:val="18"/>
                <w:szCs w:val="18"/>
                <w14:textFill>
                  <w14:solidFill>
                    <w14:schemeClr w14:val="tx1"/>
                  </w14:solidFill>
                </w14:textFill>
              </w:rPr>
            </w:pPr>
          </w:p>
        </w:tc>
        <w:tc>
          <w:tcPr>
            <w:tcW w:w="1226" w:type="dxa"/>
            <w:vMerge w:val="continue"/>
            <w:vAlign w:val="center"/>
          </w:tcPr>
          <w:p w14:paraId="32780086">
            <w:pPr>
              <w:jc w:val="center"/>
              <w:rPr>
                <w:b/>
                <w:color w:val="auto"/>
                <w:sz w:val="18"/>
                <w:szCs w:val="18"/>
              </w:rPr>
            </w:pPr>
          </w:p>
        </w:tc>
        <w:tc>
          <w:tcPr>
            <w:tcW w:w="3516" w:type="dxa"/>
            <w:vAlign w:val="center"/>
          </w:tcPr>
          <w:p w14:paraId="1D89E323">
            <w:pPr>
              <w:rPr>
                <w:rFonts w:hint="default" w:ascii="Times New Roman" w:hAnsi="Times New Roman" w:cs="Times New Roman"/>
                <w:i w:val="0"/>
                <w:iCs/>
                <w:color w:val="auto"/>
                <w:sz w:val="18"/>
                <w:szCs w:val="18"/>
                <w:lang w:val="en-US" w:eastAsia="zh-CN"/>
              </w:rPr>
            </w:pPr>
            <w:r>
              <w:rPr>
                <w:rFonts w:hint="eastAsia" w:ascii="Times New Roman" w:hAnsi="Times New Roman" w:cs="Times New Roman"/>
                <w:i w:val="0"/>
                <w:iCs/>
                <w:color w:val="auto"/>
                <w:sz w:val="18"/>
                <w:szCs w:val="18"/>
                <w:lang w:val="en-US" w:eastAsia="zh-CN"/>
              </w:rPr>
              <w:t>面板数据分析</w:t>
            </w:r>
          </w:p>
        </w:tc>
        <w:tc>
          <w:tcPr>
            <w:tcW w:w="1081" w:type="dxa"/>
            <w:vAlign w:val="center"/>
          </w:tcPr>
          <w:p w14:paraId="4CA388A0">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203</w:t>
            </w:r>
          </w:p>
        </w:tc>
        <w:tc>
          <w:tcPr>
            <w:tcW w:w="709" w:type="dxa"/>
            <w:vAlign w:val="center"/>
          </w:tcPr>
          <w:p w14:paraId="189844A1">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52DF1DF6">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549E3759">
            <w:pPr>
              <w:jc w:val="center"/>
              <w:rPr>
                <w:rFonts w:hint="eastAsia" w:ascii="Times New Roman" w:hAnsi="Times New Roman" w:cs="Times New Roman"/>
                <w:color w:val="auto"/>
                <w:sz w:val="18"/>
                <w:szCs w:val="18"/>
                <w:highlight w:val="none"/>
              </w:rPr>
            </w:pPr>
          </w:p>
        </w:tc>
      </w:tr>
      <w:tr w14:paraId="091BD6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EDFB04">
            <w:pPr>
              <w:rPr>
                <w:b/>
                <w:color w:val="000000" w:themeColor="text1"/>
                <w:sz w:val="18"/>
                <w:szCs w:val="18"/>
                <w14:textFill>
                  <w14:solidFill>
                    <w14:schemeClr w14:val="tx1"/>
                  </w14:solidFill>
                </w14:textFill>
              </w:rPr>
            </w:pPr>
          </w:p>
        </w:tc>
        <w:tc>
          <w:tcPr>
            <w:tcW w:w="1226" w:type="dxa"/>
            <w:vMerge w:val="restart"/>
            <w:vAlign w:val="center"/>
          </w:tcPr>
          <w:p w14:paraId="0A974E8C">
            <w:pPr>
              <w:jc w:val="center"/>
              <w:rPr>
                <w:b/>
                <w:color w:val="auto"/>
                <w:sz w:val="18"/>
                <w:szCs w:val="18"/>
              </w:rPr>
            </w:pPr>
            <w:r>
              <w:rPr>
                <w:rFonts w:hint="eastAsia"/>
                <w:b/>
                <w:color w:val="auto"/>
                <w:sz w:val="18"/>
                <w:szCs w:val="18"/>
                <w:lang w:val="en-US" w:eastAsia="zh-CN"/>
              </w:rPr>
              <w:t>经济与社会统计方向选修课</w:t>
            </w:r>
          </w:p>
        </w:tc>
        <w:tc>
          <w:tcPr>
            <w:tcW w:w="3516" w:type="dxa"/>
            <w:shd w:val="clear" w:color="auto" w:fill="auto"/>
            <w:vAlign w:val="center"/>
          </w:tcPr>
          <w:p w14:paraId="634EBDC7">
            <w:pPr>
              <w:rPr>
                <w:rFonts w:hint="eastAsia" w:ascii="Times New Roman" w:hAnsi="Times New Roman" w:eastAsia="宋体" w:cs="Times New Roman"/>
                <w:i/>
                <w:color w:val="auto"/>
                <w:kern w:val="2"/>
                <w:sz w:val="18"/>
                <w:szCs w:val="18"/>
                <w:lang w:val="en-US" w:eastAsia="zh-CN" w:bidi="ar-SA"/>
              </w:rPr>
            </w:pPr>
            <w:r>
              <w:rPr>
                <w:rFonts w:hint="eastAsia"/>
                <w:i w:val="0"/>
                <w:iCs/>
                <w:color w:val="auto"/>
                <w:sz w:val="18"/>
                <w:szCs w:val="18"/>
                <w:highlight w:val="none"/>
                <w:u w:val="none"/>
                <w:lang w:eastAsia="zh-CN"/>
              </w:rPr>
              <w:t>空间数据分析</w:t>
            </w:r>
          </w:p>
        </w:tc>
        <w:tc>
          <w:tcPr>
            <w:tcW w:w="1081" w:type="dxa"/>
            <w:vAlign w:val="center"/>
          </w:tcPr>
          <w:p w14:paraId="2BB95ADD">
            <w:pPr>
              <w:jc w:val="center"/>
              <w:rPr>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103</w:t>
            </w:r>
          </w:p>
        </w:tc>
        <w:tc>
          <w:tcPr>
            <w:tcW w:w="709" w:type="dxa"/>
            <w:vAlign w:val="center"/>
          </w:tcPr>
          <w:p w14:paraId="0145E640">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66713E18">
            <w:pPr>
              <w:jc w:val="center"/>
              <w:rPr>
                <w:color w:val="auto"/>
              </w:rPr>
            </w:pPr>
            <w:r>
              <w:rPr>
                <w:rFonts w:hint="eastAsia" w:ascii="Times New Roman" w:hAnsi="Times New Roman" w:cs="Times New Roman"/>
                <w:color w:val="auto"/>
                <w:sz w:val="18"/>
                <w:szCs w:val="18"/>
                <w:lang w:val="en-US" w:eastAsia="zh-CN"/>
              </w:rPr>
              <w:t>1</w:t>
            </w:r>
          </w:p>
        </w:tc>
        <w:tc>
          <w:tcPr>
            <w:tcW w:w="1045" w:type="dxa"/>
            <w:vMerge w:val="restart"/>
            <w:vAlign w:val="center"/>
          </w:tcPr>
          <w:p w14:paraId="3D172851">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本方向研究生至少选修</w:t>
            </w:r>
          </w:p>
          <w:p w14:paraId="08880BA6">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lang w:val="en-US" w:eastAsia="zh-CN"/>
              </w:rPr>
              <w:t>4</w:t>
            </w:r>
            <w:r>
              <w:rPr>
                <w:rFonts w:hint="eastAsia" w:ascii="Times New Roman" w:hAnsi="Times New Roman" w:cs="Times New Roman"/>
                <w:color w:val="auto"/>
                <w:sz w:val="18"/>
                <w:szCs w:val="18"/>
                <w:highlight w:val="none"/>
              </w:rPr>
              <w:t>学分</w:t>
            </w:r>
          </w:p>
        </w:tc>
      </w:tr>
      <w:tr w14:paraId="60F4F6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A57F9C1">
            <w:pPr>
              <w:rPr>
                <w:b/>
                <w:color w:val="000000" w:themeColor="text1"/>
                <w:sz w:val="18"/>
                <w:szCs w:val="18"/>
                <w14:textFill>
                  <w14:solidFill>
                    <w14:schemeClr w14:val="tx1"/>
                  </w14:solidFill>
                </w14:textFill>
              </w:rPr>
            </w:pPr>
          </w:p>
        </w:tc>
        <w:tc>
          <w:tcPr>
            <w:tcW w:w="1226" w:type="dxa"/>
            <w:vMerge w:val="continue"/>
            <w:vAlign w:val="center"/>
          </w:tcPr>
          <w:p w14:paraId="666D2E66">
            <w:pPr>
              <w:adjustRightInd w:val="0"/>
              <w:snapToGrid w:val="0"/>
              <w:jc w:val="center"/>
              <w:rPr>
                <w:b/>
                <w:color w:val="auto"/>
                <w:sz w:val="18"/>
                <w:szCs w:val="18"/>
              </w:rPr>
            </w:pPr>
          </w:p>
        </w:tc>
        <w:tc>
          <w:tcPr>
            <w:tcW w:w="3516" w:type="dxa"/>
            <w:shd w:val="clear" w:color="auto" w:fill="auto"/>
            <w:vAlign w:val="center"/>
          </w:tcPr>
          <w:p w14:paraId="1A2B72AE">
            <w:pPr>
              <w:rPr>
                <w:rFonts w:ascii="Times New Roman" w:hAnsi="Times New Roman" w:eastAsia="宋体" w:cs="Times New Roman"/>
                <w:i/>
                <w:color w:val="auto"/>
                <w:kern w:val="2"/>
                <w:sz w:val="18"/>
                <w:szCs w:val="18"/>
                <w:lang w:val="en-US" w:eastAsia="zh-CN" w:bidi="ar-SA"/>
              </w:rPr>
            </w:pPr>
            <w:r>
              <w:rPr>
                <w:rFonts w:hint="eastAsia" w:ascii="Times New Roman" w:hAnsi="Times New Roman" w:cs="Times New Roman"/>
                <w:color w:val="auto"/>
                <w:sz w:val="18"/>
                <w:szCs w:val="18"/>
                <w:highlight w:val="none"/>
              </w:rPr>
              <w:t>统计</w:t>
            </w:r>
            <w:r>
              <w:rPr>
                <w:rFonts w:hint="eastAsia" w:ascii="Times New Roman" w:hAnsi="Times New Roman" w:cs="Times New Roman"/>
                <w:color w:val="auto"/>
                <w:sz w:val="18"/>
                <w:szCs w:val="18"/>
                <w:highlight w:val="none"/>
                <w:lang w:val="en-US" w:eastAsia="zh-CN"/>
              </w:rPr>
              <w:t>计算</w:t>
            </w:r>
          </w:p>
        </w:tc>
        <w:tc>
          <w:tcPr>
            <w:tcW w:w="1081" w:type="dxa"/>
            <w:vAlign w:val="center"/>
          </w:tcPr>
          <w:p w14:paraId="5DE47DE2">
            <w:pPr>
              <w:jc w:val="center"/>
              <w:rPr>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104</w:t>
            </w:r>
          </w:p>
        </w:tc>
        <w:tc>
          <w:tcPr>
            <w:tcW w:w="709" w:type="dxa"/>
            <w:vAlign w:val="center"/>
          </w:tcPr>
          <w:p w14:paraId="0EF3735F">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5B94FD86">
            <w:pPr>
              <w:jc w:val="center"/>
              <w:rPr>
                <w:color w:val="auto"/>
              </w:rPr>
            </w:pPr>
            <w:r>
              <w:rPr>
                <w:rFonts w:hint="eastAsia" w:ascii="Times New Roman" w:hAnsi="Times New Roman" w:cs="Times New Roman"/>
                <w:color w:val="auto"/>
                <w:sz w:val="18"/>
                <w:szCs w:val="18"/>
                <w:lang w:val="en-US" w:eastAsia="zh-CN"/>
              </w:rPr>
              <w:t>2</w:t>
            </w:r>
          </w:p>
        </w:tc>
        <w:tc>
          <w:tcPr>
            <w:tcW w:w="1045" w:type="dxa"/>
            <w:vMerge w:val="continue"/>
            <w:vAlign w:val="center"/>
          </w:tcPr>
          <w:p w14:paraId="091D1658">
            <w:pPr>
              <w:adjustRightInd w:val="0"/>
              <w:snapToGrid w:val="0"/>
              <w:jc w:val="center"/>
              <w:rPr>
                <w:color w:val="auto"/>
                <w:sz w:val="18"/>
                <w:szCs w:val="18"/>
              </w:rPr>
            </w:pPr>
          </w:p>
        </w:tc>
      </w:tr>
      <w:tr w14:paraId="569F2C3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4137243">
            <w:pPr>
              <w:rPr>
                <w:b/>
                <w:color w:val="000000" w:themeColor="text1"/>
                <w:sz w:val="18"/>
                <w:szCs w:val="18"/>
                <w14:textFill>
                  <w14:solidFill>
                    <w14:schemeClr w14:val="tx1"/>
                  </w14:solidFill>
                </w14:textFill>
              </w:rPr>
            </w:pPr>
          </w:p>
        </w:tc>
        <w:tc>
          <w:tcPr>
            <w:tcW w:w="1226" w:type="dxa"/>
            <w:vMerge w:val="continue"/>
          </w:tcPr>
          <w:p w14:paraId="37D5CBAE">
            <w:pPr>
              <w:jc w:val="center"/>
              <w:rPr>
                <w:b/>
                <w:color w:val="auto"/>
                <w:sz w:val="18"/>
                <w:szCs w:val="18"/>
              </w:rPr>
            </w:pPr>
          </w:p>
        </w:tc>
        <w:tc>
          <w:tcPr>
            <w:tcW w:w="3516" w:type="dxa"/>
            <w:shd w:val="clear" w:color="auto" w:fill="auto"/>
            <w:vAlign w:val="center"/>
          </w:tcPr>
          <w:p w14:paraId="746118AB">
            <w:pPr>
              <w:rPr>
                <w:rFonts w:ascii="Times New Roman" w:hAnsi="Times New Roman" w:eastAsia="宋体" w:cs="Times New Roman"/>
                <w:i/>
                <w:color w:val="auto"/>
                <w:kern w:val="2"/>
                <w:sz w:val="18"/>
                <w:szCs w:val="18"/>
                <w:lang w:val="en-US" w:eastAsia="zh-CN" w:bidi="ar-SA"/>
              </w:rPr>
            </w:pPr>
            <w:r>
              <w:rPr>
                <w:rFonts w:hint="eastAsia"/>
                <w:i w:val="0"/>
                <w:iCs/>
                <w:color w:val="auto"/>
                <w:sz w:val="18"/>
                <w:szCs w:val="18"/>
                <w:highlight w:val="none"/>
                <w:lang w:eastAsia="zh-CN"/>
              </w:rPr>
              <w:t>结构方程模型分析</w:t>
            </w:r>
          </w:p>
        </w:tc>
        <w:tc>
          <w:tcPr>
            <w:tcW w:w="1081" w:type="dxa"/>
            <w:vAlign w:val="center"/>
          </w:tcPr>
          <w:p w14:paraId="70EC6861">
            <w:pPr>
              <w:jc w:val="center"/>
              <w:rPr>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204</w:t>
            </w:r>
          </w:p>
        </w:tc>
        <w:tc>
          <w:tcPr>
            <w:tcW w:w="709" w:type="dxa"/>
            <w:vAlign w:val="center"/>
          </w:tcPr>
          <w:p w14:paraId="57CEFAA7">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7ACC4A88">
            <w:pPr>
              <w:jc w:val="center"/>
              <w:rPr>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55626918">
            <w:pPr>
              <w:jc w:val="center"/>
              <w:rPr>
                <w:color w:val="auto"/>
                <w:sz w:val="18"/>
                <w:szCs w:val="18"/>
              </w:rPr>
            </w:pPr>
          </w:p>
        </w:tc>
      </w:tr>
      <w:tr w14:paraId="597DB9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5554C6">
            <w:pPr>
              <w:rPr>
                <w:b/>
                <w:color w:val="000000" w:themeColor="text1"/>
                <w:sz w:val="18"/>
                <w:szCs w:val="18"/>
                <w14:textFill>
                  <w14:solidFill>
                    <w14:schemeClr w14:val="tx1"/>
                  </w14:solidFill>
                </w14:textFill>
              </w:rPr>
            </w:pPr>
          </w:p>
        </w:tc>
        <w:tc>
          <w:tcPr>
            <w:tcW w:w="1226" w:type="dxa"/>
            <w:vMerge w:val="continue"/>
          </w:tcPr>
          <w:p w14:paraId="165508AA">
            <w:pPr>
              <w:jc w:val="center"/>
              <w:rPr>
                <w:b/>
                <w:color w:val="auto"/>
                <w:sz w:val="18"/>
                <w:szCs w:val="18"/>
              </w:rPr>
            </w:pPr>
          </w:p>
        </w:tc>
        <w:tc>
          <w:tcPr>
            <w:tcW w:w="3516" w:type="dxa"/>
            <w:shd w:val="clear" w:color="auto" w:fill="auto"/>
            <w:vAlign w:val="center"/>
          </w:tcPr>
          <w:p w14:paraId="291E6A08">
            <w:pPr>
              <w:rPr>
                <w:rFonts w:hint="default" w:ascii="Times New Roman" w:hAnsi="Times New Roman" w:eastAsia="宋体" w:cs="Times New Roman"/>
                <w:i w:val="0"/>
                <w:iCs/>
                <w:color w:val="auto"/>
                <w:kern w:val="2"/>
                <w:sz w:val="18"/>
                <w:szCs w:val="18"/>
                <w:highlight w:val="none"/>
                <w:lang w:val="en-US" w:eastAsia="zh-CN" w:bidi="ar-SA"/>
              </w:rPr>
            </w:pPr>
            <w:r>
              <w:rPr>
                <w:rFonts w:hint="eastAsia" w:ascii="Times New Roman" w:hAnsi="Times New Roman" w:cs="Times New Roman"/>
                <w:color w:val="auto"/>
                <w:sz w:val="18"/>
                <w:szCs w:val="18"/>
                <w:highlight w:val="none"/>
                <w:lang w:eastAsia="zh-CN"/>
              </w:rPr>
              <w:t>社会科学研究方法</w:t>
            </w:r>
          </w:p>
        </w:tc>
        <w:tc>
          <w:tcPr>
            <w:tcW w:w="1081" w:type="dxa"/>
            <w:vAlign w:val="center"/>
          </w:tcPr>
          <w:p w14:paraId="054EABCF">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205</w:t>
            </w:r>
          </w:p>
        </w:tc>
        <w:tc>
          <w:tcPr>
            <w:tcW w:w="709" w:type="dxa"/>
            <w:vAlign w:val="center"/>
          </w:tcPr>
          <w:p w14:paraId="006B8506">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12BB1B09">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7189CB55">
            <w:pPr>
              <w:jc w:val="center"/>
              <w:rPr>
                <w:color w:val="auto"/>
                <w:sz w:val="18"/>
                <w:szCs w:val="18"/>
              </w:rPr>
            </w:pPr>
          </w:p>
        </w:tc>
      </w:tr>
      <w:tr w14:paraId="5FAC40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EA9C0E9">
            <w:pPr>
              <w:rPr>
                <w:b/>
                <w:color w:val="000000" w:themeColor="text1"/>
                <w:sz w:val="18"/>
                <w:szCs w:val="18"/>
                <w14:textFill>
                  <w14:solidFill>
                    <w14:schemeClr w14:val="tx1"/>
                  </w14:solidFill>
                </w14:textFill>
              </w:rPr>
            </w:pPr>
          </w:p>
        </w:tc>
        <w:tc>
          <w:tcPr>
            <w:tcW w:w="1226" w:type="dxa"/>
            <w:vMerge w:val="continue"/>
          </w:tcPr>
          <w:p w14:paraId="5148492D">
            <w:pPr>
              <w:jc w:val="center"/>
              <w:rPr>
                <w:b/>
                <w:color w:val="auto"/>
                <w:sz w:val="18"/>
                <w:szCs w:val="18"/>
              </w:rPr>
            </w:pPr>
          </w:p>
        </w:tc>
        <w:tc>
          <w:tcPr>
            <w:tcW w:w="3516" w:type="dxa"/>
            <w:vAlign w:val="center"/>
          </w:tcPr>
          <w:p w14:paraId="4E7BB639">
            <w:pPr>
              <w:rPr>
                <w:rFonts w:hint="default"/>
                <w:i w:val="0"/>
                <w:iCs/>
                <w:color w:val="auto"/>
                <w:sz w:val="18"/>
                <w:szCs w:val="18"/>
                <w:highlight w:val="none"/>
                <w:lang w:val="en-US" w:eastAsia="zh-CN"/>
              </w:rPr>
            </w:pPr>
            <w:r>
              <w:rPr>
                <w:rFonts w:hint="default"/>
                <w:i w:val="0"/>
                <w:iCs/>
                <w:color w:val="auto"/>
                <w:sz w:val="18"/>
                <w:szCs w:val="18"/>
                <w:highlight w:val="none"/>
                <w:lang w:val="en-US" w:eastAsia="zh-CN"/>
              </w:rPr>
              <w:t>统计预测与决策</w:t>
            </w:r>
          </w:p>
        </w:tc>
        <w:tc>
          <w:tcPr>
            <w:tcW w:w="1081" w:type="dxa"/>
            <w:vAlign w:val="center"/>
          </w:tcPr>
          <w:p w14:paraId="17D4C617">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206</w:t>
            </w:r>
          </w:p>
        </w:tc>
        <w:tc>
          <w:tcPr>
            <w:tcW w:w="709" w:type="dxa"/>
            <w:vAlign w:val="center"/>
          </w:tcPr>
          <w:p w14:paraId="168B2389">
            <w:pPr>
              <w:jc w:val="center"/>
              <w:rPr>
                <w:rFonts w:hint="eastAsia" w:ascii="Times New Roman" w:hAnsi="Times New Roman" w:cs="Times New Roman"/>
                <w:color w:val="auto"/>
                <w:sz w:val="18"/>
                <w:szCs w:val="18"/>
                <w:lang w:val="en-US" w:eastAsia="zh-CN"/>
              </w:rPr>
            </w:pPr>
            <w:r>
              <w:rPr>
                <w:rFonts w:hint="eastAsia" w:ascii="Times New Roman" w:hAnsi="Times New Roman" w:cs="Times New Roman"/>
                <w:color w:val="auto"/>
                <w:sz w:val="18"/>
                <w:szCs w:val="18"/>
                <w:lang w:val="en-US" w:eastAsia="zh-CN"/>
              </w:rPr>
              <w:t>2</w:t>
            </w:r>
          </w:p>
        </w:tc>
        <w:tc>
          <w:tcPr>
            <w:tcW w:w="709" w:type="dxa"/>
            <w:vAlign w:val="center"/>
          </w:tcPr>
          <w:p w14:paraId="49ADC792">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2AE6B1F3">
            <w:pPr>
              <w:jc w:val="center"/>
              <w:rPr>
                <w:color w:val="auto"/>
                <w:sz w:val="18"/>
                <w:szCs w:val="18"/>
              </w:rPr>
            </w:pPr>
          </w:p>
        </w:tc>
      </w:tr>
      <w:tr w14:paraId="72CA6E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972C0A2">
            <w:pPr>
              <w:rPr>
                <w:b/>
                <w:color w:val="000000" w:themeColor="text1"/>
                <w:sz w:val="18"/>
                <w:szCs w:val="18"/>
                <w14:textFill>
                  <w14:solidFill>
                    <w14:schemeClr w14:val="tx1"/>
                  </w14:solidFill>
                </w14:textFill>
              </w:rPr>
            </w:pPr>
          </w:p>
        </w:tc>
        <w:tc>
          <w:tcPr>
            <w:tcW w:w="1226" w:type="dxa"/>
            <w:vMerge w:val="restart"/>
            <w:vAlign w:val="center"/>
          </w:tcPr>
          <w:p w14:paraId="67A6B250">
            <w:pPr>
              <w:jc w:val="center"/>
              <w:rPr>
                <w:rFonts w:hint="default" w:eastAsia="宋体"/>
                <w:b/>
                <w:color w:val="auto"/>
                <w:sz w:val="18"/>
                <w:szCs w:val="18"/>
                <w:lang w:val="en-US" w:eastAsia="zh-CN"/>
              </w:rPr>
            </w:pPr>
            <w:r>
              <w:rPr>
                <w:rFonts w:hint="eastAsia"/>
                <w:b/>
                <w:color w:val="auto"/>
                <w:sz w:val="18"/>
                <w:szCs w:val="18"/>
                <w:lang w:val="en-US" w:eastAsia="zh-CN"/>
              </w:rPr>
              <w:t>卫生统计方向选修课</w:t>
            </w:r>
          </w:p>
        </w:tc>
        <w:tc>
          <w:tcPr>
            <w:tcW w:w="3516" w:type="dxa"/>
            <w:vAlign w:val="center"/>
          </w:tcPr>
          <w:p w14:paraId="53EE2CAA">
            <w:pPr>
              <w:rPr>
                <w:rFonts w:hint="eastAsia" w:ascii="Times New Roman" w:hAnsi="Times New Roman" w:cs="Times New Roman"/>
                <w:color w:val="auto"/>
                <w:sz w:val="18"/>
                <w:szCs w:val="18"/>
                <w:highlight w:val="none"/>
                <w:lang w:eastAsia="zh-CN"/>
              </w:rPr>
            </w:pPr>
            <w:r>
              <w:rPr>
                <w:rFonts w:hint="eastAsia" w:ascii="Times New Roman" w:hAnsi="Times New Roman" w:cs="Times New Roman"/>
                <w:color w:val="auto"/>
                <w:sz w:val="18"/>
                <w:szCs w:val="18"/>
                <w:highlight w:val="none"/>
                <w:lang w:eastAsia="zh-CN"/>
              </w:rPr>
              <w:t>大数据分析方法及应用</w:t>
            </w:r>
          </w:p>
        </w:tc>
        <w:tc>
          <w:tcPr>
            <w:tcW w:w="1081" w:type="dxa"/>
            <w:vAlign w:val="center"/>
          </w:tcPr>
          <w:p w14:paraId="73D969D4">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105</w:t>
            </w:r>
          </w:p>
        </w:tc>
        <w:tc>
          <w:tcPr>
            <w:tcW w:w="709" w:type="dxa"/>
            <w:vAlign w:val="center"/>
          </w:tcPr>
          <w:p w14:paraId="479D6604">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5125A369">
            <w:pPr>
              <w:jc w:val="center"/>
              <w:rPr>
                <w:i/>
                <w:color w:val="auto"/>
                <w:sz w:val="18"/>
                <w:szCs w:val="18"/>
              </w:rPr>
            </w:pPr>
            <w:r>
              <w:rPr>
                <w:rFonts w:hint="eastAsia" w:ascii="Times New Roman" w:hAnsi="Times New Roman" w:cs="Times New Roman"/>
                <w:color w:val="auto"/>
                <w:sz w:val="18"/>
                <w:szCs w:val="18"/>
                <w:lang w:val="en-US" w:eastAsia="zh-CN"/>
              </w:rPr>
              <w:t>1</w:t>
            </w:r>
          </w:p>
        </w:tc>
        <w:tc>
          <w:tcPr>
            <w:tcW w:w="1045" w:type="dxa"/>
            <w:vMerge w:val="restart"/>
            <w:vAlign w:val="center"/>
          </w:tcPr>
          <w:p w14:paraId="054FD214">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本方向研究生至少选修</w:t>
            </w:r>
          </w:p>
          <w:p w14:paraId="41BC2B90">
            <w:pPr>
              <w:jc w:val="center"/>
              <w:rPr>
                <w:color w:val="auto"/>
                <w:sz w:val="18"/>
                <w:szCs w:val="18"/>
              </w:rPr>
            </w:pPr>
            <w:r>
              <w:rPr>
                <w:rFonts w:hint="eastAsia" w:ascii="Times New Roman" w:hAnsi="Times New Roman" w:cs="Times New Roman"/>
                <w:color w:val="auto"/>
                <w:sz w:val="18"/>
                <w:szCs w:val="18"/>
                <w:highlight w:val="none"/>
                <w:lang w:val="en-US" w:eastAsia="zh-CN"/>
              </w:rPr>
              <w:t>4</w:t>
            </w:r>
            <w:r>
              <w:rPr>
                <w:rFonts w:hint="eastAsia" w:ascii="Times New Roman" w:hAnsi="Times New Roman" w:cs="Times New Roman"/>
                <w:color w:val="auto"/>
                <w:sz w:val="18"/>
                <w:szCs w:val="18"/>
                <w:highlight w:val="none"/>
              </w:rPr>
              <w:t>学分</w:t>
            </w:r>
          </w:p>
        </w:tc>
      </w:tr>
      <w:tr w14:paraId="03F206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3B016F">
            <w:pPr>
              <w:rPr>
                <w:b/>
                <w:color w:val="000000" w:themeColor="text1"/>
                <w:sz w:val="18"/>
                <w:szCs w:val="18"/>
                <w14:textFill>
                  <w14:solidFill>
                    <w14:schemeClr w14:val="tx1"/>
                  </w14:solidFill>
                </w14:textFill>
              </w:rPr>
            </w:pPr>
          </w:p>
        </w:tc>
        <w:tc>
          <w:tcPr>
            <w:tcW w:w="1226" w:type="dxa"/>
            <w:vMerge w:val="continue"/>
            <w:vAlign w:val="center"/>
          </w:tcPr>
          <w:p w14:paraId="3C8F20E5">
            <w:pPr>
              <w:jc w:val="center"/>
              <w:rPr>
                <w:b/>
                <w:color w:val="auto"/>
                <w:sz w:val="18"/>
                <w:szCs w:val="18"/>
              </w:rPr>
            </w:pPr>
          </w:p>
        </w:tc>
        <w:tc>
          <w:tcPr>
            <w:tcW w:w="3516" w:type="dxa"/>
            <w:vAlign w:val="center"/>
          </w:tcPr>
          <w:p w14:paraId="06487FAA">
            <w:pPr>
              <w:rPr>
                <w:rFonts w:hint="eastAsia" w:ascii="Times New Roman" w:hAnsi="Times New Roman" w:cs="Times New Roman"/>
                <w:color w:val="auto"/>
                <w:sz w:val="18"/>
                <w:szCs w:val="18"/>
                <w:highlight w:val="none"/>
                <w:lang w:eastAsia="zh-CN"/>
              </w:rPr>
            </w:pPr>
            <w:r>
              <w:rPr>
                <w:rFonts w:hint="eastAsia" w:ascii="Times New Roman" w:hAnsi="Times New Roman" w:cs="Times New Roman"/>
                <w:color w:val="auto"/>
                <w:sz w:val="18"/>
                <w:szCs w:val="18"/>
                <w:highlight w:val="none"/>
                <w:lang w:eastAsia="zh-CN"/>
              </w:rPr>
              <w:t>数据挖掘与机器学习</w:t>
            </w:r>
          </w:p>
        </w:tc>
        <w:tc>
          <w:tcPr>
            <w:tcW w:w="1081" w:type="dxa"/>
            <w:vAlign w:val="center"/>
          </w:tcPr>
          <w:p w14:paraId="226049E8">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106</w:t>
            </w:r>
          </w:p>
        </w:tc>
        <w:tc>
          <w:tcPr>
            <w:tcW w:w="709" w:type="dxa"/>
            <w:vAlign w:val="center"/>
          </w:tcPr>
          <w:p w14:paraId="28BA6F65">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44352990">
            <w:pPr>
              <w:jc w:val="center"/>
              <w:rPr>
                <w:i/>
                <w:color w:val="auto"/>
                <w:sz w:val="18"/>
                <w:szCs w:val="18"/>
              </w:rPr>
            </w:pPr>
            <w:r>
              <w:rPr>
                <w:rFonts w:hint="eastAsia" w:ascii="Times New Roman" w:hAnsi="Times New Roman" w:cs="Times New Roman"/>
                <w:color w:val="auto"/>
                <w:sz w:val="18"/>
                <w:szCs w:val="18"/>
                <w:lang w:val="en-US" w:eastAsia="zh-CN"/>
              </w:rPr>
              <w:t>2</w:t>
            </w:r>
          </w:p>
        </w:tc>
        <w:tc>
          <w:tcPr>
            <w:tcW w:w="1045" w:type="dxa"/>
            <w:vMerge w:val="continue"/>
            <w:vAlign w:val="center"/>
          </w:tcPr>
          <w:p w14:paraId="04CF7CFB">
            <w:pPr>
              <w:jc w:val="center"/>
              <w:rPr>
                <w:color w:val="auto"/>
                <w:sz w:val="18"/>
                <w:szCs w:val="18"/>
              </w:rPr>
            </w:pPr>
          </w:p>
        </w:tc>
      </w:tr>
      <w:tr w14:paraId="1774E9E6">
        <w:tblPrEx>
          <w:tblCellMar>
            <w:top w:w="0" w:type="dxa"/>
            <w:left w:w="108" w:type="dxa"/>
            <w:bottom w:w="0" w:type="dxa"/>
            <w:right w:w="108" w:type="dxa"/>
          </w:tblCellMar>
        </w:tblPrEx>
        <w:trPr>
          <w:jc w:val="center"/>
        </w:trPr>
        <w:tc>
          <w:tcPr>
            <w:tcW w:w="571" w:type="dxa"/>
            <w:vMerge w:val="continue"/>
          </w:tcPr>
          <w:p w14:paraId="4C9B37E5">
            <w:pPr>
              <w:rPr>
                <w:b/>
                <w:color w:val="000000" w:themeColor="text1"/>
                <w:sz w:val="18"/>
                <w:szCs w:val="18"/>
                <w14:textFill>
                  <w14:solidFill>
                    <w14:schemeClr w14:val="tx1"/>
                  </w14:solidFill>
                </w14:textFill>
              </w:rPr>
            </w:pPr>
          </w:p>
        </w:tc>
        <w:tc>
          <w:tcPr>
            <w:tcW w:w="1226" w:type="dxa"/>
            <w:vMerge w:val="continue"/>
            <w:vAlign w:val="center"/>
          </w:tcPr>
          <w:p w14:paraId="1104A404">
            <w:pPr>
              <w:jc w:val="center"/>
              <w:rPr>
                <w:b/>
                <w:color w:val="auto"/>
                <w:sz w:val="18"/>
                <w:szCs w:val="18"/>
              </w:rPr>
            </w:pPr>
          </w:p>
        </w:tc>
        <w:tc>
          <w:tcPr>
            <w:tcW w:w="3516" w:type="dxa"/>
            <w:vAlign w:val="center"/>
          </w:tcPr>
          <w:p w14:paraId="739FD98D">
            <w:pPr>
              <w:rPr>
                <w:rFonts w:hint="eastAsia" w:ascii="Times New Roman" w:hAnsi="Times New Roman" w:cs="Times New Roman"/>
                <w:color w:val="auto"/>
                <w:sz w:val="18"/>
                <w:szCs w:val="18"/>
                <w:highlight w:val="none"/>
                <w:lang w:eastAsia="zh-CN"/>
              </w:rPr>
            </w:pPr>
            <w:r>
              <w:rPr>
                <w:rFonts w:hint="eastAsia"/>
                <w:i w:val="0"/>
                <w:iCs/>
                <w:color w:val="auto"/>
                <w:sz w:val="18"/>
                <w:szCs w:val="18"/>
                <w:highlight w:val="none"/>
                <w:lang w:eastAsia="zh-CN"/>
              </w:rPr>
              <w:t>抽样技术</w:t>
            </w:r>
          </w:p>
        </w:tc>
        <w:tc>
          <w:tcPr>
            <w:tcW w:w="1081" w:type="dxa"/>
            <w:vAlign w:val="center"/>
          </w:tcPr>
          <w:p w14:paraId="29C3F4A1">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207</w:t>
            </w:r>
          </w:p>
        </w:tc>
        <w:tc>
          <w:tcPr>
            <w:tcW w:w="709" w:type="dxa"/>
            <w:vAlign w:val="center"/>
          </w:tcPr>
          <w:p w14:paraId="08A778E7">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5970013F">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18452C39">
            <w:pPr>
              <w:jc w:val="center"/>
              <w:rPr>
                <w:color w:val="auto"/>
                <w:sz w:val="18"/>
                <w:szCs w:val="18"/>
              </w:rPr>
            </w:pPr>
          </w:p>
        </w:tc>
      </w:tr>
      <w:tr w14:paraId="1CF5A43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552E10">
            <w:pPr>
              <w:rPr>
                <w:b/>
                <w:color w:val="000000" w:themeColor="text1"/>
                <w:sz w:val="18"/>
                <w:szCs w:val="18"/>
                <w14:textFill>
                  <w14:solidFill>
                    <w14:schemeClr w14:val="tx1"/>
                  </w14:solidFill>
                </w14:textFill>
              </w:rPr>
            </w:pPr>
          </w:p>
        </w:tc>
        <w:tc>
          <w:tcPr>
            <w:tcW w:w="1226" w:type="dxa"/>
            <w:vMerge w:val="continue"/>
            <w:vAlign w:val="center"/>
          </w:tcPr>
          <w:p w14:paraId="593A67CE">
            <w:pPr>
              <w:jc w:val="center"/>
              <w:rPr>
                <w:b/>
                <w:color w:val="auto"/>
                <w:sz w:val="18"/>
                <w:szCs w:val="18"/>
              </w:rPr>
            </w:pPr>
          </w:p>
        </w:tc>
        <w:tc>
          <w:tcPr>
            <w:tcW w:w="3516" w:type="dxa"/>
            <w:vAlign w:val="center"/>
          </w:tcPr>
          <w:p w14:paraId="7B349A95">
            <w:pPr>
              <w:rPr>
                <w:rFonts w:hint="eastAsia" w:ascii="Times New Roman" w:hAnsi="Times New Roman" w:cs="Times New Roman"/>
                <w:color w:val="auto"/>
                <w:sz w:val="18"/>
                <w:szCs w:val="18"/>
                <w:highlight w:val="none"/>
                <w:lang w:eastAsia="zh-CN"/>
              </w:rPr>
            </w:pPr>
            <w:r>
              <w:rPr>
                <w:rFonts w:hint="eastAsia" w:ascii="Times New Roman" w:hAnsi="Times New Roman" w:cs="Times New Roman"/>
                <w:color w:val="auto"/>
                <w:sz w:val="18"/>
                <w:szCs w:val="18"/>
                <w:highlight w:val="none"/>
                <w:lang w:eastAsia="zh-CN"/>
              </w:rPr>
              <w:t>卫生统计学</w:t>
            </w:r>
          </w:p>
        </w:tc>
        <w:tc>
          <w:tcPr>
            <w:tcW w:w="1081" w:type="dxa"/>
            <w:vAlign w:val="center"/>
          </w:tcPr>
          <w:p w14:paraId="1E0AE266">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208</w:t>
            </w:r>
          </w:p>
        </w:tc>
        <w:tc>
          <w:tcPr>
            <w:tcW w:w="709" w:type="dxa"/>
            <w:vAlign w:val="center"/>
          </w:tcPr>
          <w:p w14:paraId="3B80DED0">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094B0A58">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5A336A46">
            <w:pPr>
              <w:jc w:val="center"/>
              <w:rPr>
                <w:color w:val="auto"/>
                <w:sz w:val="18"/>
                <w:szCs w:val="18"/>
              </w:rPr>
            </w:pPr>
          </w:p>
        </w:tc>
      </w:tr>
      <w:tr w14:paraId="30DD63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C50EA9">
            <w:pPr>
              <w:rPr>
                <w:b/>
                <w:color w:val="000000" w:themeColor="text1"/>
                <w:sz w:val="18"/>
                <w:szCs w:val="18"/>
                <w14:textFill>
                  <w14:solidFill>
                    <w14:schemeClr w14:val="tx1"/>
                  </w14:solidFill>
                </w14:textFill>
              </w:rPr>
            </w:pPr>
          </w:p>
        </w:tc>
        <w:tc>
          <w:tcPr>
            <w:tcW w:w="1226" w:type="dxa"/>
            <w:vMerge w:val="continue"/>
            <w:vAlign w:val="center"/>
          </w:tcPr>
          <w:p w14:paraId="444816D1">
            <w:pPr>
              <w:jc w:val="center"/>
              <w:rPr>
                <w:b/>
                <w:color w:val="auto"/>
                <w:sz w:val="18"/>
                <w:szCs w:val="18"/>
              </w:rPr>
            </w:pPr>
          </w:p>
        </w:tc>
        <w:tc>
          <w:tcPr>
            <w:tcW w:w="3516" w:type="dxa"/>
            <w:vAlign w:val="center"/>
          </w:tcPr>
          <w:p w14:paraId="69A187BC">
            <w:pPr>
              <w:rPr>
                <w:rFonts w:hint="eastAsia" w:ascii="Times New Roman" w:hAnsi="Times New Roman" w:cs="Times New Roman"/>
                <w:color w:val="auto"/>
                <w:sz w:val="18"/>
                <w:szCs w:val="18"/>
                <w:highlight w:val="none"/>
                <w:lang w:eastAsia="zh-CN"/>
              </w:rPr>
            </w:pPr>
            <w:r>
              <w:rPr>
                <w:rFonts w:hint="eastAsia" w:ascii="Times New Roman" w:hAnsi="Times New Roman" w:cs="Times New Roman"/>
                <w:color w:val="auto"/>
                <w:sz w:val="18"/>
                <w:szCs w:val="18"/>
                <w:highlight w:val="none"/>
                <w:lang w:eastAsia="zh-CN"/>
              </w:rPr>
              <w:t>生命表编制原理与分析技术</w:t>
            </w:r>
          </w:p>
        </w:tc>
        <w:tc>
          <w:tcPr>
            <w:tcW w:w="1081" w:type="dxa"/>
            <w:vAlign w:val="center"/>
          </w:tcPr>
          <w:p w14:paraId="4F68CC00">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209</w:t>
            </w:r>
          </w:p>
        </w:tc>
        <w:tc>
          <w:tcPr>
            <w:tcW w:w="709" w:type="dxa"/>
            <w:vAlign w:val="center"/>
          </w:tcPr>
          <w:p w14:paraId="340C2DA1">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6A11236D">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3F42D087">
            <w:pPr>
              <w:jc w:val="center"/>
              <w:rPr>
                <w:color w:val="auto"/>
                <w:sz w:val="18"/>
                <w:szCs w:val="18"/>
              </w:rPr>
            </w:pPr>
          </w:p>
        </w:tc>
      </w:tr>
      <w:tr w14:paraId="28AFE7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50BCAA0">
            <w:pPr>
              <w:rPr>
                <w:b/>
                <w:color w:val="000000" w:themeColor="text1"/>
                <w:sz w:val="18"/>
                <w:szCs w:val="18"/>
                <w14:textFill>
                  <w14:solidFill>
                    <w14:schemeClr w14:val="tx1"/>
                  </w14:solidFill>
                </w14:textFill>
              </w:rPr>
            </w:pPr>
          </w:p>
        </w:tc>
        <w:tc>
          <w:tcPr>
            <w:tcW w:w="1226" w:type="dxa"/>
            <w:vMerge w:val="restart"/>
            <w:vAlign w:val="center"/>
          </w:tcPr>
          <w:p w14:paraId="24D0066C">
            <w:pPr>
              <w:jc w:val="center"/>
              <w:rPr>
                <w:rFonts w:hint="default" w:eastAsia="宋体"/>
                <w:b/>
                <w:color w:val="auto"/>
                <w:sz w:val="18"/>
                <w:szCs w:val="18"/>
                <w:lang w:val="en-US" w:eastAsia="zh-CN"/>
              </w:rPr>
            </w:pPr>
            <w:r>
              <w:rPr>
                <w:rFonts w:hint="eastAsia"/>
                <w:b/>
                <w:color w:val="auto"/>
                <w:sz w:val="18"/>
                <w:szCs w:val="18"/>
                <w:lang w:val="en-US" w:eastAsia="zh-CN"/>
              </w:rPr>
              <w:t>投入产出分析方向选修课</w:t>
            </w:r>
          </w:p>
        </w:tc>
        <w:tc>
          <w:tcPr>
            <w:tcW w:w="3516" w:type="dxa"/>
            <w:vAlign w:val="center"/>
          </w:tcPr>
          <w:p w14:paraId="44AA52DB">
            <w:pPr>
              <w:rPr>
                <w:i/>
                <w:color w:val="auto"/>
                <w:sz w:val="18"/>
                <w:szCs w:val="18"/>
              </w:rPr>
            </w:pPr>
            <w:r>
              <w:rPr>
                <w:rFonts w:hint="eastAsia" w:ascii="Times New Roman" w:hAnsi="Times New Roman" w:cs="Times New Roman"/>
                <w:color w:val="auto"/>
                <w:sz w:val="18"/>
                <w:szCs w:val="18"/>
                <w:highlight w:val="none"/>
                <w:lang w:eastAsia="zh-CN"/>
              </w:rPr>
              <w:t>投入产出分析</w:t>
            </w:r>
          </w:p>
        </w:tc>
        <w:tc>
          <w:tcPr>
            <w:tcW w:w="1081" w:type="dxa"/>
            <w:vAlign w:val="center"/>
          </w:tcPr>
          <w:p w14:paraId="5ECA4DC9">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107</w:t>
            </w:r>
          </w:p>
        </w:tc>
        <w:tc>
          <w:tcPr>
            <w:tcW w:w="709" w:type="dxa"/>
            <w:vAlign w:val="center"/>
          </w:tcPr>
          <w:p w14:paraId="0F75EF39">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1A23F4FE">
            <w:pPr>
              <w:jc w:val="center"/>
              <w:rPr>
                <w:i/>
                <w:color w:val="auto"/>
                <w:sz w:val="18"/>
                <w:szCs w:val="18"/>
              </w:rPr>
            </w:pPr>
            <w:r>
              <w:rPr>
                <w:rFonts w:hint="eastAsia" w:ascii="Times New Roman" w:hAnsi="Times New Roman" w:cs="Times New Roman"/>
                <w:color w:val="auto"/>
                <w:sz w:val="18"/>
                <w:szCs w:val="18"/>
                <w:lang w:val="en-US" w:eastAsia="zh-CN"/>
              </w:rPr>
              <w:t>1</w:t>
            </w:r>
          </w:p>
        </w:tc>
        <w:tc>
          <w:tcPr>
            <w:tcW w:w="1045" w:type="dxa"/>
            <w:vMerge w:val="restart"/>
            <w:vAlign w:val="center"/>
          </w:tcPr>
          <w:p w14:paraId="568E04B7">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本方向研究生至少选修</w:t>
            </w:r>
          </w:p>
          <w:p w14:paraId="44158AC5">
            <w:pPr>
              <w:jc w:val="center"/>
              <w:rPr>
                <w:color w:val="auto"/>
                <w:sz w:val="18"/>
                <w:szCs w:val="18"/>
              </w:rPr>
            </w:pPr>
            <w:r>
              <w:rPr>
                <w:rFonts w:hint="eastAsia" w:ascii="Times New Roman" w:hAnsi="Times New Roman" w:cs="Times New Roman"/>
                <w:color w:val="auto"/>
                <w:sz w:val="18"/>
                <w:szCs w:val="18"/>
                <w:highlight w:val="none"/>
                <w:lang w:val="en-US" w:eastAsia="zh-CN"/>
              </w:rPr>
              <w:t>4</w:t>
            </w:r>
            <w:r>
              <w:rPr>
                <w:rFonts w:hint="eastAsia" w:ascii="Times New Roman" w:hAnsi="Times New Roman" w:cs="Times New Roman"/>
                <w:color w:val="auto"/>
                <w:sz w:val="18"/>
                <w:szCs w:val="18"/>
                <w:highlight w:val="none"/>
              </w:rPr>
              <w:t>学分</w:t>
            </w:r>
          </w:p>
        </w:tc>
      </w:tr>
      <w:tr w14:paraId="0D5A81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D0624AE">
            <w:pPr>
              <w:rPr>
                <w:b/>
                <w:color w:val="000000" w:themeColor="text1"/>
                <w:sz w:val="18"/>
                <w:szCs w:val="18"/>
                <w14:textFill>
                  <w14:solidFill>
                    <w14:schemeClr w14:val="tx1"/>
                  </w14:solidFill>
                </w14:textFill>
              </w:rPr>
            </w:pPr>
          </w:p>
        </w:tc>
        <w:tc>
          <w:tcPr>
            <w:tcW w:w="1226" w:type="dxa"/>
            <w:vMerge w:val="continue"/>
          </w:tcPr>
          <w:p w14:paraId="1F098A18">
            <w:pPr>
              <w:jc w:val="center"/>
              <w:rPr>
                <w:b/>
                <w:color w:val="auto"/>
                <w:sz w:val="18"/>
                <w:szCs w:val="18"/>
              </w:rPr>
            </w:pPr>
          </w:p>
        </w:tc>
        <w:tc>
          <w:tcPr>
            <w:tcW w:w="3516" w:type="dxa"/>
            <w:vAlign w:val="center"/>
          </w:tcPr>
          <w:p w14:paraId="6A92D644">
            <w:pPr>
              <w:rPr>
                <w:i/>
                <w:color w:val="auto"/>
                <w:sz w:val="18"/>
                <w:szCs w:val="18"/>
              </w:rPr>
            </w:pPr>
            <w:r>
              <w:rPr>
                <w:rFonts w:hint="eastAsia" w:ascii="Times New Roman" w:hAnsi="Times New Roman" w:cs="Times New Roman"/>
                <w:color w:val="auto"/>
                <w:sz w:val="18"/>
                <w:szCs w:val="18"/>
                <w:highlight w:val="none"/>
                <w:lang w:val="en-US" w:eastAsia="zh-CN"/>
              </w:rPr>
              <w:t>国民经济核算与宏观经济统计分析</w:t>
            </w:r>
          </w:p>
        </w:tc>
        <w:tc>
          <w:tcPr>
            <w:tcW w:w="1081" w:type="dxa"/>
            <w:vAlign w:val="center"/>
          </w:tcPr>
          <w:p w14:paraId="3F5034E3">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108</w:t>
            </w:r>
          </w:p>
        </w:tc>
        <w:tc>
          <w:tcPr>
            <w:tcW w:w="709" w:type="dxa"/>
            <w:vAlign w:val="center"/>
          </w:tcPr>
          <w:p w14:paraId="67FBC526">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033A299B">
            <w:pPr>
              <w:jc w:val="center"/>
              <w:rPr>
                <w:i/>
                <w:color w:val="auto"/>
                <w:sz w:val="18"/>
                <w:szCs w:val="18"/>
              </w:rPr>
            </w:pPr>
            <w:r>
              <w:rPr>
                <w:rFonts w:hint="eastAsia" w:ascii="Times New Roman" w:hAnsi="Times New Roman" w:cs="Times New Roman"/>
                <w:color w:val="auto"/>
                <w:sz w:val="18"/>
                <w:szCs w:val="18"/>
                <w:lang w:val="en-US" w:eastAsia="zh-CN"/>
              </w:rPr>
              <w:t>2</w:t>
            </w:r>
          </w:p>
        </w:tc>
        <w:tc>
          <w:tcPr>
            <w:tcW w:w="1045" w:type="dxa"/>
            <w:vMerge w:val="continue"/>
            <w:vAlign w:val="center"/>
          </w:tcPr>
          <w:p w14:paraId="2BF93C33">
            <w:pPr>
              <w:jc w:val="center"/>
              <w:rPr>
                <w:color w:val="auto"/>
                <w:sz w:val="18"/>
                <w:szCs w:val="18"/>
              </w:rPr>
            </w:pPr>
          </w:p>
        </w:tc>
      </w:tr>
      <w:tr w14:paraId="5D5CDC8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5D5D17">
            <w:pPr>
              <w:rPr>
                <w:b/>
                <w:color w:val="000000" w:themeColor="text1"/>
                <w:sz w:val="18"/>
                <w:szCs w:val="18"/>
                <w14:textFill>
                  <w14:solidFill>
                    <w14:schemeClr w14:val="tx1"/>
                  </w14:solidFill>
                </w14:textFill>
              </w:rPr>
            </w:pPr>
          </w:p>
        </w:tc>
        <w:tc>
          <w:tcPr>
            <w:tcW w:w="1226" w:type="dxa"/>
            <w:vMerge w:val="continue"/>
          </w:tcPr>
          <w:p w14:paraId="109D216F">
            <w:pPr>
              <w:jc w:val="center"/>
              <w:rPr>
                <w:b/>
                <w:color w:val="auto"/>
                <w:sz w:val="18"/>
                <w:szCs w:val="18"/>
              </w:rPr>
            </w:pPr>
          </w:p>
        </w:tc>
        <w:tc>
          <w:tcPr>
            <w:tcW w:w="3516" w:type="dxa"/>
            <w:shd w:val="clear" w:color="auto" w:fill="auto"/>
            <w:vAlign w:val="center"/>
          </w:tcPr>
          <w:p w14:paraId="33067C89">
            <w:pPr>
              <w:rPr>
                <w:rFonts w:ascii="Times New Roman" w:hAnsi="Times New Roman" w:eastAsia="宋体" w:cs="Times New Roman"/>
                <w:i/>
                <w:color w:val="auto"/>
                <w:kern w:val="2"/>
                <w:sz w:val="18"/>
                <w:szCs w:val="18"/>
                <w:lang w:val="en-US" w:eastAsia="zh-CN" w:bidi="ar-SA"/>
              </w:rPr>
            </w:pPr>
            <w:r>
              <w:rPr>
                <w:rFonts w:hint="eastAsia" w:ascii="Times New Roman" w:hAnsi="Times New Roman" w:cs="Times New Roman"/>
                <w:color w:val="auto"/>
                <w:sz w:val="18"/>
                <w:szCs w:val="18"/>
                <w:highlight w:val="none"/>
              </w:rPr>
              <w:t>政府统计理论与实务</w:t>
            </w:r>
          </w:p>
        </w:tc>
        <w:tc>
          <w:tcPr>
            <w:tcW w:w="1081" w:type="dxa"/>
            <w:vAlign w:val="center"/>
          </w:tcPr>
          <w:p w14:paraId="7CB0DD7C">
            <w:pPr>
              <w:jc w:val="center"/>
              <w:rPr>
                <w:rFonts w:hint="default"/>
                <w:i/>
                <w:color w:val="auto"/>
                <w:sz w:val="18"/>
                <w:szCs w:val="18"/>
                <w:lang w:val="en-US"/>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210</w:t>
            </w:r>
          </w:p>
        </w:tc>
        <w:tc>
          <w:tcPr>
            <w:tcW w:w="709" w:type="dxa"/>
            <w:vAlign w:val="center"/>
          </w:tcPr>
          <w:p w14:paraId="3B050D97">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79E3CED4">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6B3747C6">
            <w:pPr>
              <w:jc w:val="center"/>
              <w:rPr>
                <w:color w:val="auto"/>
                <w:sz w:val="18"/>
                <w:szCs w:val="18"/>
              </w:rPr>
            </w:pPr>
          </w:p>
        </w:tc>
      </w:tr>
      <w:tr w14:paraId="42A4A1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C80BCD">
            <w:pPr>
              <w:rPr>
                <w:b/>
                <w:color w:val="000000" w:themeColor="text1"/>
                <w:sz w:val="18"/>
                <w:szCs w:val="18"/>
                <w14:textFill>
                  <w14:solidFill>
                    <w14:schemeClr w14:val="tx1"/>
                  </w14:solidFill>
                </w14:textFill>
              </w:rPr>
            </w:pPr>
          </w:p>
        </w:tc>
        <w:tc>
          <w:tcPr>
            <w:tcW w:w="1226" w:type="dxa"/>
            <w:vMerge w:val="continue"/>
          </w:tcPr>
          <w:p w14:paraId="5E35EAA2">
            <w:pPr>
              <w:jc w:val="center"/>
              <w:rPr>
                <w:b/>
                <w:color w:val="auto"/>
                <w:sz w:val="18"/>
                <w:szCs w:val="18"/>
              </w:rPr>
            </w:pPr>
          </w:p>
        </w:tc>
        <w:tc>
          <w:tcPr>
            <w:tcW w:w="3516" w:type="dxa"/>
            <w:shd w:val="clear" w:color="auto" w:fill="auto"/>
            <w:vAlign w:val="center"/>
          </w:tcPr>
          <w:p w14:paraId="5F3E9C37">
            <w:pPr>
              <w:rPr>
                <w:rFonts w:ascii="Times New Roman" w:hAnsi="Times New Roman" w:eastAsia="宋体" w:cs="Times New Roman"/>
                <w:i/>
                <w:color w:val="auto"/>
                <w:kern w:val="2"/>
                <w:sz w:val="18"/>
                <w:szCs w:val="18"/>
                <w:lang w:val="en-US" w:eastAsia="zh-CN" w:bidi="ar-SA"/>
              </w:rPr>
            </w:pPr>
            <w:r>
              <w:rPr>
                <w:rFonts w:hint="eastAsia"/>
                <w:i w:val="0"/>
                <w:iCs/>
                <w:color w:val="auto"/>
                <w:sz w:val="18"/>
                <w:szCs w:val="18"/>
                <w:highlight w:val="none"/>
                <w:lang w:eastAsia="zh-CN"/>
              </w:rPr>
              <w:t>宏观经济统计分析</w:t>
            </w:r>
          </w:p>
        </w:tc>
        <w:tc>
          <w:tcPr>
            <w:tcW w:w="1081" w:type="dxa"/>
            <w:vAlign w:val="center"/>
          </w:tcPr>
          <w:p w14:paraId="2D95BC04">
            <w:pPr>
              <w:jc w:val="center"/>
              <w:rPr>
                <w:rFonts w:hint="default"/>
                <w:i/>
                <w:color w:val="auto"/>
                <w:sz w:val="18"/>
                <w:szCs w:val="18"/>
                <w:lang w:val="en-US"/>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211</w:t>
            </w:r>
          </w:p>
        </w:tc>
        <w:tc>
          <w:tcPr>
            <w:tcW w:w="709" w:type="dxa"/>
            <w:vAlign w:val="center"/>
          </w:tcPr>
          <w:p w14:paraId="2E1D06D5">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266C9F9C">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68B777EC">
            <w:pPr>
              <w:jc w:val="center"/>
              <w:rPr>
                <w:color w:val="auto"/>
                <w:sz w:val="18"/>
                <w:szCs w:val="18"/>
              </w:rPr>
            </w:pPr>
          </w:p>
        </w:tc>
      </w:tr>
      <w:tr w14:paraId="6AC66B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63C9D1">
            <w:pPr>
              <w:rPr>
                <w:b/>
                <w:color w:val="000000" w:themeColor="text1"/>
                <w:sz w:val="18"/>
                <w:szCs w:val="18"/>
                <w14:textFill>
                  <w14:solidFill>
                    <w14:schemeClr w14:val="tx1"/>
                  </w14:solidFill>
                </w14:textFill>
              </w:rPr>
            </w:pPr>
          </w:p>
        </w:tc>
        <w:tc>
          <w:tcPr>
            <w:tcW w:w="1226" w:type="dxa"/>
            <w:vMerge w:val="continue"/>
          </w:tcPr>
          <w:p w14:paraId="73D64A74">
            <w:pPr>
              <w:jc w:val="center"/>
              <w:rPr>
                <w:b/>
                <w:color w:val="auto"/>
                <w:sz w:val="18"/>
                <w:szCs w:val="18"/>
              </w:rPr>
            </w:pPr>
          </w:p>
        </w:tc>
        <w:tc>
          <w:tcPr>
            <w:tcW w:w="3516" w:type="dxa"/>
            <w:shd w:val="clear" w:color="auto" w:fill="auto"/>
            <w:vAlign w:val="center"/>
          </w:tcPr>
          <w:p w14:paraId="3F225238">
            <w:pPr>
              <w:rPr>
                <w:rFonts w:hint="default" w:ascii="Times New Roman" w:hAnsi="Times New Roman" w:eastAsia="宋体" w:cs="Times New Roman"/>
                <w:i/>
                <w:color w:val="auto"/>
                <w:kern w:val="2"/>
                <w:sz w:val="18"/>
                <w:szCs w:val="18"/>
                <w:lang w:val="en-US" w:eastAsia="zh-CN" w:bidi="ar-SA"/>
              </w:rPr>
            </w:pPr>
            <w:r>
              <w:rPr>
                <w:rFonts w:hint="eastAsia" w:ascii="Times New Roman" w:hAnsi="Times New Roman" w:cs="Times New Roman"/>
                <w:strike w:val="0"/>
                <w:dstrike w:val="0"/>
                <w:color w:val="auto"/>
                <w:sz w:val="18"/>
                <w:szCs w:val="18"/>
                <w:highlight w:val="none"/>
                <w:lang w:val="en-US" w:eastAsia="zh-CN"/>
              </w:rPr>
              <w:t>国民经济统计学</w:t>
            </w:r>
          </w:p>
        </w:tc>
        <w:tc>
          <w:tcPr>
            <w:tcW w:w="1081" w:type="dxa"/>
            <w:vAlign w:val="center"/>
          </w:tcPr>
          <w:p w14:paraId="67612DCC">
            <w:pPr>
              <w:jc w:val="center"/>
              <w:rPr>
                <w:rFonts w:hint="default"/>
                <w:i/>
                <w:color w:val="auto"/>
                <w:sz w:val="18"/>
                <w:szCs w:val="18"/>
                <w:lang w:val="en-US"/>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212</w:t>
            </w:r>
          </w:p>
        </w:tc>
        <w:tc>
          <w:tcPr>
            <w:tcW w:w="709" w:type="dxa"/>
            <w:vAlign w:val="center"/>
          </w:tcPr>
          <w:p w14:paraId="5D7EA060">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36474BBC">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79775022">
            <w:pPr>
              <w:jc w:val="center"/>
              <w:rPr>
                <w:color w:val="auto"/>
                <w:sz w:val="18"/>
                <w:szCs w:val="18"/>
              </w:rPr>
            </w:pPr>
          </w:p>
        </w:tc>
      </w:tr>
      <w:tr w14:paraId="32186C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FB97BE">
            <w:pPr>
              <w:rPr>
                <w:b/>
                <w:color w:val="000000" w:themeColor="text1"/>
                <w:sz w:val="18"/>
                <w:szCs w:val="18"/>
                <w14:textFill>
                  <w14:solidFill>
                    <w14:schemeClr w14:val="tx1"/>
                  </w14:solidFill>
                </w14:textFill>
              </w:rPr>
            </w:pPr>
          </w:p>
        </w:tc>
        <w:tc>
          <w:tcPr>
            <w:tcW w:w="1226" w:type="dxa"/>
            <w:vMerge w:val="restart"/>
            <w:vAlign w:val="center"/>
          </w:tcPr>
          <w:p w14:paraId="62808260">
            <w:pPr>
              <w:jc w:val="center"/>
              <w:rPr>
                <w:rFonts w:hint="default" w:eastAsia="宋体"/>
                <w:b/>
                <w:color w:val="auto"/>
                <w:sz w:val="18"/>
                <w:szCs w:val="18"/>
                <w:lang w:val="en-US" w:eastAsia="zh-CN"/>
              </w:rPr>
            </w:pPr>
            <w:r>
              <w:rPr>
                <w:rFonts w:hint="eastAsia"/>
                <w:b/>
                <w:color w:val="auto"/>
                <w:sz w:val="18"/>
                <w:szCs w:val="18"/>
                <w:lang w:val="en-US" w:eastAsia="zh-CN"/>
              </w:rPr>
              <w:t>数据科学与统计应用方向选修课</w:t>
            </w:r>
          </w:p>
        </w:tc>
        <w:tc>
          <w:tcPr>
            <w:tcW w:w="3516" w:type="dxa"/>
            <w:vAlign w:val="center"/>
          </w:tcPr>
          <w:p w14:paraId="715C6E24">
            <w:pPr>
              <w:rPr>
                <w:rFonts w:hint="default" w:eastAsia="宋体"/>
                <w:i/>
                <w:color w:val="auto"/>
                <w:sz w:val="18"/>
                <w:szCs w:val="18"/>
                <w:lang w:val="en-US" w:eastAsia="zh-CN"/>
              </w:rPr>
            </w:pPr>
            <w:r>
              <w:rPr>
                <w:rFonts w:hint="eastAsia" w:ascii="Times New Roman" w:hAnsi="Times New Roman" w:cs="Times New Roman"/>
                <w:strike w:val="0"/>
                <w:dstrike w:val="0"/>
                <w:color w:val="auto"/>
                <w:sz w:val="18"/>
                <w:szCs w:val="18"/>
                <w:highlight w:val="none"/>
                <w:lang w:val="en-US" w:eastAsia="zh-CN"/>
              </w:rPr>
              <w:t>数据科学</w:t>
            </w:r>
            <w:r>
              <w:rPr>
                <w:rFonts w:hint="eastAsia" w:cs="Times New Roman"/>
                <w:color w:val="auto"/>
                <w:sz w:val="18"/>
                <w:szCs w:val="18"/>
                <w:highlight w:val="none"/>
                <w:lang w:val="en-US" w:eastAsia="zh-CN"/>
              </w:rPr>
              <w:t>与人工智能</w:t>
            </w:r>
          </w:p>
        </w:tc>
        <w:tc>
          <w:tcPr>
            <w:tcW w:w="1081" w:type="dxa"/>
            <w:vAlign w:val="center"/>
          </w:tcPr>
          <w:p w14:paraId="3A4CEBDB">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109</w:t>
            </w:r>
          </w:p>
        </w:tc>
        <w:tc>
          <w:tcPr>
            <w:tcW w:w="709" w:type="dxa"/>
            <w:vAlign w:val="center"/>
          </w:tcPr>
          <w:p w14:paraId="15489D38">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415C461A">
            <w:pPr>
              <w:jc w:val="center"/>
              <w:rPr>
                <w:i/>
                <w:color w:val="auto"/>
                <w:sz w:val="18"/>
                <w:szCs w:val="18"/>
              </w:rPr>
            </w:pPr>
            <w:r>
              <w:rPr>
                <w:rFonts w:hint="eastAsia" w:ascii="Times New Roman" w:hAnsi="Times New Roman" w:cs="Times New Roman"/>
                <w:color w:val="auto"/>
                <w:sz w:val="18"/>
                <w:szCs w:val="18"/>
                <w:lang w:val="en-US" w:eastAsia="zh-CN"/>
              </w:rPr>
              <w:t>1</w:t>
            </w:r>
          </w:p>
        </w:tc>
        <w:tc>
          <w:tcPr>
            <w:tcW w:w="1045" w:type="dxa"/>
            <w:vMerge w:val="restart"/>
            <w:vAlign w:val="center"/>
          </w:tcPr>
          <w:p w14:paraId="09B92094">
            <w:pPr>
              <w:jc w:val="center"/>
              <w:rPr>
                <w:rFonts w:hint="eastAsia" w:ascii="Times New Roman" w:hAnsi="Times New Roman" w:cs="Times New Roman"/>
                <w:color w:val="auto"/>
                <w:sz w:val="18"/>
                <w:szCs w:val="18"/>
                <w:highlight w:val="none"/>
              </w:rPr>
            </w:pPr>
            <w:r>
              <w:rPr>
                <w:rFonts w:hint="eastAsia" w:ascii="Times New Roman" w:hAnsi="Times New Roman" w:cs="Times New Roman"/>
                <w:color w:val="auto"/>
                <w:sz w:val="18"/>
                <w:szCs w:val="18"/>
                <w:highlight w:val="none"/>
              </w:rPr>
              <w:t>本方向研究生至少选修</w:t>
            </w:r>
          </w:p>
          <w:p w14:paraId="69B210EE">
            <w:pPr>
              <w:jc w:val="center"/>
              <w:rPr>
                <w:color w:val="auto"/>
                <w:sz w:val="18"/>
                <w:szCs w:val="18"/>
              </w:rPr>
            </w:pPr>
            <w:r>
              <w:rPr>
                <w:rFonts w:hint="eastAsia" w:ascii="Times New Roman" w:hAnsi="Times New Roman" w:cs="Times New Roman"/>
                <w:color w:val="auto"/>
                <w:sz w:val="18"/>
                <w:szCs w:val="18"/>
                <w:highlight w:val="none"/>
                <w:lang w:val="en-US" w:eastAsia="zh-CN"/>
              </w:rPr>
              <w:t>4</w:t>
            </w:r>
            <w:r>
              <w:rPr>
                <w:rFonts w:hint="eastAsia" w:ascii="Times New Roman" w:hAnsi="Times New Roman" w:cs="Times New Roman"/>
                <w:color w:val="auto"/>
                <w:sz w:val="18"/>
                <w:szCs w:val="18"/>
                <w:highlight w:val="none"/>
              </w:rPr>
              <w:t>学分</w:t>
            </w:r>
          </w:p>
        </w:tc>
      </w:tr>
      <w:tr w14:paraId="7EF54D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CA1CE93">
            <w:pPr>
              <w:rPr>
                <w:b/>
                <w:color w:val="000000" w:themeColor="text1"/>
                <w:sz w:val="18"/>
                <w:szCs w:val="18"/>
                <w14:textFill>
                  <w14:solidFill>
                    <w14:schemeClr w14:val="tx1"/>
                  </w14:solidFill>
                </w14:textFill>
              </w:rPr>
            </w:pPr>
          </w:p>
        </w:tc>
        <w:tc>
          <w:tcPr>
            <w:tcW w:w="1226" w:type="dxa"/>
            <w:vMerge w:val="continue"/>
          </w:tcPr>
          <w:p w14:paraId="604DE0E1">
            <w:pPr>
              <w:jc w:val="center"/>
              <w:rPr>
                <w:b/>
                <w:color w:val="auto"/>
                <w:sz w:val="18"/>
                <w:szCs w:val="18"/>
              </w:rPr>
            </w:pPr>
          </w:p>
        </w:tc>
        <w:tc>
          <w:tcPr>
            <w:tcW w:w="3516" w:type="dxa"/>
            <w:vAlign w:val="center"/>
          </w:tcPr>
          <w:p w14:paraId="3DA0A902">
            <w:pPr>
              <w:rPr>
                <w:rFonts w:hint="default"/>
                <w:i/>
                <w:color w:val="auto"/>
                <w:sz w:val="18"/>
                <w:szCs w:val="18"/>
                <w:lang w:val="en-US"/>
              </w:rPr>
            </w:pPr>
            <w:r>
              <w:rPr>
                <w:rFonts w:hint="eastAsia" w:ascii="Times New Roman" w:hAnsi="Times New Roman" w:cs="Times New Roman"/>
                <w:color w:val="auto"/>
                <w:sz w:val="18"/>
                <w:szCs w:val="18"/>
                <w:highlight w:val="none"/>
                <w:lang w:val="en-US" w:eastAsia="zh-CN"/>
              </w:rPr>
              <w:t>时间序列分析</w:t>
            </w:r>
          </w:p>
        </w:tc>
        <w:tc>
          <w:tcPr>
            <w:tcW w:w="1081" w:type="dxa"/>
            <w:vAlign w:val="center"/>
          </w:tcPr>
          <w:p w14:paraId="4F5887EE">
            <w:pPr>
              <w:jc w:val="center"/>
              <w:rPr>
                <w:rFonts w:hint="default"/>
                <w:i/>
                <w:color w:val="auto"/>
                <w:sz w:val="18"/>
                <w:szCs w:val="18"/>
                <w:lang w:val="en-US"/>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110</w:t>
            </w:r>
          </w:p>
        </w:tc>
        <w:tc>
          <w:tcPr>
            <w:tcW w:w="709" w:type="dxa"/>
            <w:vAlign w:val="center"/>
          </w:tcPr>
          <w:p w14:paraId="5D10F616">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002DF347">
            <w:pPr>
              <w:jc w:val="center"/>
              <w:rPr>
                <w:i/>
                <w:color w:val="auto"/>
                <w:sz w:val="18"/>
                <w:szCs w:val="18"/>
              </w:rPr>
            </w:pPr>
            <w:r>
              <w:rPr>
                <w:rFonts w:hint="eastAsia" w:ascii="Times New Roman" w:hAnsi="Times New Roman" w:cs="Times New Roman"/>
                <w:color w:val="auto"/>
                <w:sz w:val="18"/>
                <w:szCs w:val="18"/>
                <w:lang w:val="en-US" w:eastAsia="zh-CN"/>
              </w:rPr>
              <w:t>2</w:t>
            </w:r>
          </w:p>
        </w:tc>
        <w:tc>
          <w:tcPr>
            <w:tcW w:w="1045" w:type="dxa"/>
            <w:vMerge w:val="continue"/>
            <w:vAlign w:val="center"/>
          </w:tcPr>
          <w:p w14:paraId="4832BB16">
            <w:pPr>
              <w:jc w:val="center"/>
              <w:rPr>
                <w:color w:val="auto"/>
                <w:sz w:val="18"/>
                <w:szCs w:val="18"/>
              </w:rPr>
            </w:pPr>
          </w:p>
        </w:tc>
      </w:tr>
      <w:tr w14:paraId="0E7B0E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A5B8476">
            <w:pPr>
              <w:rPr>
                <w:b/>
                <w:color w:val="000000" w:themeColor="text1"/>
                <w:sz w:val="18"/>
                <w:szCs w:val="18"/>
                <w14:textFill>
                  <w14:solidFill>
                    <w14:schemeClr w14:val="tx1"/>
                  </w14:solidFill>
                </w14:textFill>
              </w:rPr>
            </w:pPr>
          </w:p>
        </w:tc>
        <w:tc>
          <w:tcPr>
            <w:tcW w:w="1226" w:type="dxa"/>
            <w:vMerge w:val="continue"/>
          </w:tcPr>
          <w:p w14:paraId="046519C8">
            <w:pPr>
              <w:jc w:val="center"/>
              <w:rPr>
                <w:b/>
                <w:color w:val="auto"/>
                <w:sz w:val="18"/>
                <w:szCs w:val="18"/>
              </w:rPr>
            </w:pPr>
          </w:p>
        </w:tc>
        <w:tc>
          <w:tcPr>
            <w:tcW w:w="3516" w:type="dxa"/>
            <w:vAlign w:val="center"/>
          </w:tcPr>
          <w:p w14:paraId="66594336">
            <w:pPr>
              <w:rPr>
                <w:rFonts w:hint="default" w:eastAsia="宋体"/>
                <w:i/>
                <w:color w:val="auto"/>
                <w:sz w:val="18"/>
                <w:szCs w:val="18"/>
                <w:lang w:val="en-US" w:eastAsia="zh-CN"/>
              </w:rPr>
            </w:pPr>
            <w:r>
              <w:rPr>
                <w:rFonts w:hint="eastAsia" w:cs="Times New Roman"/>
                <w:color w:val="auto"/>
                <w:sz w:val="18"/>
                <w:szCs w:val="18"/>
                <w:highlight w:val="none"/>
                <w:lang w:val="en-US" w:eastAsia="zh-CN"/>
              </w:rPr>
              <w:t>博弈论</w:t>
            </w:r>
          </w:p>
        </w:tc>
        <w:tc>
          <w:tcPr>
            <w:tcW w:w="1081" w:type="dxa"/>
            <w:vAlign w:val="center"/>
          </w:tcPr>
          <w:p w14:paraId="323267C0">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213</w:t>
            </w:r>
          </w:p>
        </w:tc>
        <w:tc>
          <w:tcPr>
            <w:tcW w:w="709" w:type="dxa"/>
            <w:vAlign w:val="center"/>
          </w:tcPr>
          <w:p w14:paraId="6CE18667">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603D7919">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1333EDF5">
            <w:pPr>
              <w:jc w:val="center"/>
              <w:rPr>
                <w:color w:val="auto"/>
                <w:sz w:val="18"/>
                <w:szCs w:val="18"/>
              </w:rPr>
            </w:pPr>
          </w:p>
        </w:tc>
      </w:tr>
      <w:tr w14:paraId="74E73C3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C41C99D">
            <w:pPr>
              <w:rPr>
                <w:b/>
                <w:color w:val="000000" w:themeColor="text1"/>
                <w:sz w:val="18"/>
                <w:szCs w:val="18"/>
                <w14:textFill>
                  <w14:solidFill>
                    <w14:schemeClr w14:val="tx1"/>
                  </w14:solidFill>
                </w14:textFill>
              </w:rPr>
            </w:pPr>
          </w:p>
        </w:tc>
        <w:tc>
          <w:tcPr>
            <w:tcW w:w="1226" w:type="dxa"/>
            <w:vMerge w:val="continue"/>
          </w:tcPr>
          <w:p w14:paraId="5E78ACF3">
            <w:pPr>
              <w:jc w:val="center"/>
              <w:rPr>
                <w:b/>
                <w:color w:val="auto"/>
                <w:sz w:val="18"/>
                <w:szCs w:val="18"/>
              </w:rPr>
            </w:pPr>
          </w:p>
        </w:tc>
        <w:tc>
          <w:tcPr>
            <w:tcW w:w="3516" w:type="dxa"/>
            <w:vAlign w:val="center"/>
          </w:tcPr>
          <w:p w14:paraId="4D102FC3">
            <w:pPr>
              <w:rPr>
                <w:rFonts w:hint="default" w:eastAsia="宋体"/>
                <w:i/>
                <w:color w:val="auto"/>
                <w:sz w:val="18"/>
                <w:szCs w:val="18"/>
                <w:lang w:val="en-US" w:eastAsia="zh-CN"/>
              </w:rPr>
            </w:pPr>
            <w:r>
              <w:rPr>
                <w:rFonts w:hint="eastAsia" w:ascii="Times New Roman" w:hAnsi="Times New Roman" w:cs="Times New Roman"/>
                <w:color w:val="auto"/>
                <w:sz w:val="18"/>
                <w:szCs w:val="18"/>
                <w:highlight w:val="none"/>
                <w:lang w:val="en-US" w:eastAsia="zh-CN"/>
              </w:rPr>
              <w:t>随机过程</w:t>
            </w:r>
          </w:p>
        </w:tc>
        <w:tc>
          <w:tcPr>
            <w:tcW w:w="1081" w:type="dxa"/>
            <w:vAlign w:val="center"/>
          </w:tcPr>
          <w:p w14:paraId="3D7E4E99">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w:t>
            </w:r>
            <w:r>
              <w:rPr>
                <w:rFonts w:hint="eastAsia" w:cs="Times New Roman"/>
                <w:color w:val="auto"/>
                <w:sz w:val="18"/>
                <w:szCs w:val="18"/>
                <w:lang w:val="en-US" w:eastAsia="zh-CN"/>
              </w:rPr>
              <w:t>1</w:t>
            </w:r>
            <w:r>
              <w:rPr>
                <w:rFonts w:hint="eastAsia" w:ascii="Times New Roman" w:hAnsi="Times New Roman" w:cs="Times New Roman"/>
                <w:color w:val="auto"/>
                <w:sz w:val="18"/>
                <w:szCs w:val="18"/>
                <w:lang w:val="en-US" w:eastAsia="zh-CN"/>
              </w:rPr>
              <w:t>4</w:t>
            </w:r>
          </w:p>
        </w:tc>
        <w:tc>
          <w:tcPr>
            <w:tcW w:w="709" w:type="dxa"/>
            <w:vAlign w:val="center"/>
          </w:tcPr>
          <w:p w14:paraId="39577E5D">
            <w:pPr>
              <w:jc w:val="center"/>
              <w:rPr>
                <w:i/>
                <w:color w:val="auto"/>
                <w:sz w:val="18"/>
                <w:szCs w:val="18"/>
              </w:rPr>
            </w:pPr>
            <w:r>
              <w:rPr>
                <w:rFonts w:hint="eastAsia" w:ascii="Times New Roman" w:hAnsi="Times New Roman" w:cs="Times New Roman"/>
                <w:color w:val="auto"/>
                <w:sz w:val="18"/>
                <w:szCs w:val="18"/>
                <w:lang w:val="en-US" w:eastAsia="zh-CN"/>
              </w:rPr>
              <w:t>2</w:t>
            </w:r>
          </w:p>
        </w:tc>
        <w:tc>
          <w:tcPr>
            <w:tcW w:w="709" w:type="dxa"/>
            <w:vAlign w:val="center"/>
          </w:tcPr>
          <w:p w14:paraId="5BE5F077">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3A8FC645">
            <w:pPr>
              <w:jc w:val="center"/>
              <w:rPr>
                <w:color w:val="auto"/>
                <w:sz w:val="18"/>
                <w:szCs w:val="18"/>
              </w:rPr>
            </w:pPr>
          </w:p>
        </w:tc>
      </w:tr>
      <w:tr w14:paraId="4E1F73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8D8068">
            <w:pPr>
              <w:rPr>
                <w:b/>
                <w:color w:val="000000" w:themeColor="text1"/>
                <w:sz w:val="18"/>
                <w:szCs w:val="18"/>
                <w14:textFill>
                  <w14:solidFill>
                    <w14:schemeClr w14:val="tx1"/>
                  </w14:solidFill>
                </w14:textFill>
              </w:rPr>
            </w:pPr>
          </w:p>
        </w:tc>
        <w:tc>
          <w:tcPr>
            <w:tcW w:w="1226" w:type="dxa"/>
            <w:vMerge w:val="continue"/>
          </w:tcPr>
          <w:p w14:paraId="71DE2364">
            <w:pPr>
              <w:jc w:val="center"/>
              <w:rPr>
                <w:b/>
                <w:color w:val="auto"/>
                <w:sz w:val="18"/>
                <w:szCs w:val="18"/>
              </w:rPr>
            </w:pPr>
          </w:p>
        </w:tc>
        <w:tc>
          <w:tcPr>
            <w:tcW w:w="3516" w:type="dxa"/>
            <w:vAlign w:val="center"/>
          </w:tcPr>
          <w:p w14:paraId="0D3B469C">
            <w:pPr>
              <w:rPr>
                <w:i/>
                <w:color w:val="auto"/>
                <w:sz w:val="18"/>
                <w:szCs w:val="18"/>
              </w:rPr>
            </w:pPr>
            <w:r>
              <w:rPr>
                <w:rFonts w:hint="eastAsia" w:ascii="Times New Roman" w:hAnsi="Times New Roman" w:cs="Times New Roman"/>
                <w:color w:val="auto"/>
                <w:sz w:val="18"/>
                <w:szCs w:val="18"/>
                <w:highlight w:val="none"/>
                <w:lang w:eastAsia="zh-CN"/>
              </w:rPr>
              <w:t>复杂网络与因果推断</w:t>
            </w:r>
          </w:p>
        </w:tc>
        <w:tc>
          <w:tcPr>
            <w:tcW w:w="1081" w:type="dxa"/>
            <w:vAlign w:val="center"/>
          </w:tcPr>
          <w:p w14:paraId="0B8F547E">
            <w:pPr>
              <w:jc w:val="center"/>
              <w:rPr>
                <w:i/>
                <w:color w:val="auto"/>
                <w:sz w:val="18"/>
                <w:szCs w:val="18"/>
              </w:rPr>
            </w:pPr>
            <w:r>
              <w:rPr>
                <w:rFonts w:hint="eastAsia" w:ascii="Times New Roman" w:hAnsi="Times New Roman" w:cs="Times New Roman"/>
                <w:color w:val="auto"/>
                <w:sz w:val="18"/>
                <w:szCs w:val="18"/>
                <w:lang w:val="en-US" w:eastAsia="zh-CN"/>
              </w:rPr>
              <w:t>XS03</w:t>
            </w:r>
            <w:r>
              <w:rPr>
                <w:rFonts w:hint="eastAsia" w:cs="Times New Roman"/>
                <w:color w:val="auto"/>
                <w:sz w:val="18"/>
                <w:szCs w:val="18"/>
                <w:lang w:val="en-US" w:eastAsia="zh-CN"/>
              </w:rPr>
              <w:t>18</w:t>
            </w:r>
            <w:r>
              <w:rPr>
                <w:rFonts w:hint="eastAsia" w:ascii="Times New Roman" w:hAnsi="Times New Roman" w:cs="Times New Roman"/>
                <w:color w:val="auto"/>
                <w:sz w:val="18"/>
                <w:szCs w:val="18"/>
                <w:lang w:val="en-US" w:eastAsia="zh-CN"/>
              </w:rPr>
              <w:t>215</w:t>
            </w:r>
          </w:p>
        </w:tc>
        <w:tc>
          <w:tcPr>
            <w:tcW w:w="709" w:type="dxa"/>
            <w:vAlign w:val="center"/>
          </w:tcPr>
          <w:p w14:paraId="21EDF644">
            <w:pPr>
              <w:jc w:val="center"/>
              <w:rPr>
                <w:rFonts w:hint="default"/>
                <w:i/>
                <w:color w:val="auto"/>
                <w:sz w:val="18"/>
                <w:szCs w:val="18"/>
                <w:lang w:val="en-US"/>
              </w:rPr>
            </w:pPr>
            <w:r>
              <w:rPr>
                <w:rFonts w:hint="eastAsia" w:ascii="Times New Roman" w:hAnsi="Times New Roman" w:cs="Times New Roman"/>
                <w:color w:val="auto"/>
                <w:sz w:val="18"/>
                <w:szCs w:val="18"/>
                <w:lang w:val="en-US" w:eastAsia="zh-CN"/>
              </w:rPr>
              <w:t>2</w:t>
            </w:r>
          </w:p>
        </w:tc>
        <w:tc>
          <w:tcPr>
            <w:tcW w:w="709" w:type="dxa"/>
            <w:vAlign w:val="center"/>
          </w:tcPr>
          <w:p w14:paraId="0ADD43A1">
            <w:pPr>
              <w:jc w:val="center"/>
              <w:rPr>
                <w:i/>
                <w:color w:val="auto"/>
                <w:sz w:val="18"/>
                <w:szCs w:val="18"/>
              </w:rPr>
            </w:pPr>
            <w:r>
              <w:rPr>
                <w:rFonts w:hint="eastAsia" w:ascii="Times New Roman" w:hAnsi="Times New Roman" w:cs="Times New Roman"/>
                <w:color w:val="auto"/>
                <w:sz w:val="18"/>
                <w:szCs w:val="18"/>
                <w:lang w:val="en-US" w:eastAsia="zh-CN"/>
              </w:rPr>
              <w:t>3</w:t>
            </w:r>
          </w:p>
        </w:tc>
        <w:tc>
          <w:tcPr>
            <w:tcW w:w="1045" w:type="dxa"/>
            <w:vMerge w:val="continue"/>
            <w:vAlign w:val="center"/>
          </w:tcPr>
          <w:p w14:paraId="3D7D92A9">
            <w:pPr>
              <w:jc w:val="center"/>
              <w:rPr>
                <w:color w:val="auto"/>
                <w:sz w:val="18"/>
                <w:szCs w:val="18"/>
              </w:rPr>
            </w:pPr>
          </w:p>
        </w:tc>
      </w:tr>
      <w:tr w14:paraId="321E51D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44FEE75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2BD2AF94">
            <w:pPr>
              <w:jc w:val="center"/>
              <w:rPr>
                <w:b/>
                <w:color w:val="000000" w:themeColor="text1"/>
                <w:sz w:val="18"/>
                <w:szCs w:val="18"/>
                <w14:textFill>
                  <w14:solidFill>
                    <w14:schemeClr w14:val="tx1"/>
                  </w14:solidFill>
                </w14:textFill>
              </w:rPr>
            </w:pPr>
          </w:p>
        </w:tc>
        <w:tc>
          <w:tcPr>
            <w:tcW w:w="1226" w:type="dxa"/>
            <w:vMerge w:val="restart"/>
            <w:vAlign w:val="center"/>
          </w:tcPr>
          <w:p w14:paraId="38058AAD">
            <w:pPr>
              <w:jc w:val="center"/>
              <w:rPr>
                <w:b/>
                <w:color w:val="auto"/>
                <w:sz w:val="18"/>
                <w:szCs w:val="18"/>
              </w:rPr>
            </w:pPr>
            <w:r>
              <w:rPr>
                <w:b/>
                <w:color w:val="auto"/>
                <w:sz w:val="18"/>
                <w:szCs w:val="18"/>
              </w:rPr>
              <w:t>素质拓展</w:t>
            </w:r>
          </w:p>
          <w:p w14:paraId="713DDB35">
            <w:pPr>
              <w:jc w:val="center"/>
              <w:rPr>
                <w:b/>
                <w:color w:val="auto"/>
                <w:sz w:val="18"/>
                <w:szCs w:val="18"/>
              </w:rPr>
            </w:pPr>
            <w:r>
              <w:rPr>
                <w:b/>
                <w:color w:val="auto"/>
                <w:sz w:val="18"/>
                <w:szCs w:val="18"/>
              </w:rPr>
              <w:t>（2学分）</w:t>
            </w:r>
          </w:p>
        </w:tc>
        <w:tc>
          <w:tcPr>
            <w:tcW w:w="3516" w:type="dxa"/>
            <w:vAlign w:val="center"/>
          </w:tcPr>
          <w:p w14:paraId="2AC220F5">
            <w:pPr>
              <w:rPr>
                <w:color w:val="auto"/>
                <w:sz w:val="18"/>
                <w:szCs w:val="18"/>
              </w:rPr>
            </w:pPr>
            <w:r>
              <w:rPr>
                <w:color w:val="auto"/>
                <w:sz w:val="18"/>
                <w:szCs w:val="18"/>
              </w:rPr>
              <w:t>入学教育</w:t>
            </w:r>
          </w:p>
        </w:tc>
        <w:tc>
          <w:tcPr>
            <w:tcW w:w="1081" w:type="dxa"/>
            <w:vAlign w:val="center"/>
          </w:tcPr>
          <w:p w14:paraId="6BE560CC">
            <w:pPr>
              <w:jc w:val="center"/>
              <w:rPr>
                <w:color w:val="auto"/>
                <w:sz w:val="18"/>
                <w:szCs w:val="18"/>
              </w:rPr>
            </w:pPr>
          </w:p>
        </w:tc>
        <w:tc>
          <w:tcPr>
            <w:tcW w:w="709" w:type="dxa"/>
            <w:vAlign w:val="center"/>
          </w:tcPr>
          <w:p w14:paraId="641088B0">
            <w:pPr>
              <w:jc w:val="center"/>
              <w:rPr>
                <w:rFonts w:hint="eastAsia" w:eastAsia="宋体"/>
                <w:color w:val="auto"/>
                <w:sz w:val="18"/>
                <w:szCs w:val="18"/>
                <w:lang w:eastAsia="zh-CN"/>
              </w:rPr>
            </w:pPr>
          </w:p>
        </w:tc>
        <w:tc>
          <w:tcPr>
            <w:tcW w:w="709" w:type="dxa"/>
            <w:vAlign w:val="center"/>
          </w:tcPr>
          <w:p w14:paraId="7474CA8C">
            <w:pPr>
              <w:jc w:val="center"/>
              <w:rPr>
                <w:color w:val="auto"/>
                <w:sz w:val="18"/>
                <w:szCs w:val="18"/>
              </w:rPr>
            </w:pPr>
            <w:r>
              <w:rPr>
                <w:color w:val="auto"/>
                <w:sz w:val="18"/>
                <w:szCs w:val="18"/>
              </w:rPr>
              <w:t>1</w:t>
            </w:r>
          </w:p>
        </w:tc>
        <w:tc>
          <w:tcPr>
            <w:tcW w:w="1045" w:type="dxa"/>
            <w:vMerge w:val="restart"/>
            <w:vAlign w:val="center"/>
          </w:tcPr>
          <w:p w14:paraId="4F728B0D">
            <w:pPr>
              <w:jc w:val="center"/>
              <w:rPr>
                <w:i/>
                <w:color w:val="auto"/>
                <w:sz w:val="18"/>
                <w:szCs w:val="18"/>
              </w:rPr>
            </w:pPr>
          </w:p>
        </w:tc>
      </w:tr>
      <w:tr w14:paraId="1D42492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2AD5D583">
            <w:pPr>
              <w:jc w:val="center"/>
              <w:rPr>
                <w:b/>
                <w:color w:val="000000" w:themeColor="text1"/>
                <w:sz w:val="18"/>
                <w:szCs w:val="18"/>
                <w14:textFill>
                  <w14:solidFill>
                    <w14:schemeClr w14:val="tx1"/>
                  </w14:solidFill>
                </w14:textFill>
              </w:rPr>
            </w:pPr>
          </w:p>
        </w:tc>
        <w:tc>
          <w:tcPr>
            <w:tcW w:w="1226" w:type="dxa"/>
            <w:vMerge w:val="continue"/>
            <w:vAlign w:val="center"/>
          </w:tcPr>
          <w:p w14:paraId="58A90F30">
            <w:pPr>
              <w:jc w:val="center"/>
              <w:rPr>
                <w:b/>
                <w:color w:val="auto"/>
                <w:sz w:val="18"/>
                <w:szCs w:val="18"/>
              </w:rPr>
            </w:pPr>
          </w:p>
        </w:tc>
        <w:tc>
          <w:tcPr>
            <w:tcW w:w="3516" w:type="dxa"/>
            <w:vAlign w:val="center"/>
          </w:tcPr>
          <w:p w14:paraId="0E25CF92">
            <w:pPr>
              <w:rPr>
                <w:color w:val="auto"/>
                <w:sz w:val="18"/>
                <w:szCs w:val="18"/>
              </w:rPr>
            </w:pPr>
            <w:r>
              <w:rPr>
                <w:rFonts w:hint="eastAsia"/>
                <w:color w:val="auto"/>
                <w:sz w:val="18"/>
                <w:szCs w:val="18"/>
                <w:lang w:val="en-US" w:eastAsia="zh-CN"/>
              </w:rPr>
              <w:t>参加</w:t>
            </w:r>
            <w:r>
              <w:rPr>
                <w:color w:val="auto"/>
                <w:sz w:val="18"/>
                <w:szCs w:val="18"/>
              </w:rPr>
              <w:t>学术活动</w:t>
            </w:r>
            <w:r>
              <w:rPr>
                <w:rFonts w:hint="eastAsia"/>
                <w:color w:val="auto"/>
                <w:sz w:val="18"/>
                <w:szCs w:val="18"/>
              </w:rPr>
              <w:t>不少于10次</w:t>
            </w:r>
          </w:p>
        </w:tc>
        <w:tc>
          <w:tcPr>
            <w:tcW w:w="1081" w:type="dxa"/>
            <w:vAlign w:val="center"/>
          </w:tcPr>
          <w:p w14:paraId="3DB36055">
            <w:pPr>
              <w:jc w:val="center"/>
              <w:rPr>
                <w:color w:val="auto"/>
                <w:sz w:val="18"/>
                <w:szCs w:val="18"/>
              </w:rPr>
            </w:pPr>
          </w:p>
        </w:tc>
        <w:tc>
          <w:tcPr>
            <w:tcW w:w="709" w:type="dxa"/>
            <w:vAlign w:val="center"/>
          </w:tcPr>
          <w:p w14:paraId="1FCA324A">
            <w:pPr>
              <w:jc w:val="center"/>
              <w:rPr>
                <w:color w:val="auto"/>
                <w:sz w:val="18"/>
                <w:szCs w:val="18"/>
              </w:rPr>
            </w:pPr>
            <w:r>
              <w:rPr>
                <w:color w:val="auto"/>
                <w:sz w:val="18"/>
                <w:szCs w:val="18"/>
              </w:rPr>
              <w:t>1</w:t>
            </w:r>
          </w:p>
        </w:tc>
        <w:tc>
          <w:tcPr>
            <w:tcW w:w="709" w:type="dxa"/>
            <w:vAlign w:val="center"/>
          </w:tcPr>
          <w:p w14:paraId="479BEC8D">
            <w:pPr>
              <w:jc w:val="center"/>
              <w:rPr>
                <w:rFonts w:hint="default" w:eastAsia="宋体"/>
                <w:color w:val="auto"/>
                <w:sz w:val="18"/>
                <w:szCs w:val="18"/>
                <w:lang w:val="en-US" w:eastAsia="zh-CN"/>
              </w:rPr>
            </w:pPr>
            <w:r>
              <w:rPr>
                <w:rFonts w:hint="eastAsia"/>
                <w:color w:val="auto"/>
                <w:sz w:val="18"/>
                <w:szCs w:val="18"/>
                <w:lang w:val="en-US" w:eastAsia="zh-CN"/>
              </w:rPr>
              <w:t>1-5</w:t>
            </w:r>
          </w:p>
        </w:tc>
        <w:tc>
          <w:tcPr>
            <w:tcW w:w="1045" w:type="dxa"/>
            <w:vMerge w:val="continue"/>
            <w:vAlign w:val="center"/>
          </w:tcPr>
          <w:p w14:paraId="4AEC2DAE">
            <w:pPr>
              <w:jc w:val="center"/>
              <w:rPr>
                <w:color w:val="auto"/>
                <w:sz w:val="18"/>
                <w:szCs w:val="18"/>
              </w:rPr>
            </w:pPr>
          </w:p>
        </w:tc>
      </w:tr>
      <w:tr w14:paraId="76072C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8" w:hRule="atLeast"/>
          <w:jc w:val="center"/>
        </w:trPr>
        <w:tc>
          <w:tcPr>
            <w:tcW w:w="571" w:type="dxa"/>
            <w:vMerge w:val="continue"/>
            <w:vAlign w:val="center"/>
          </w:tcPr>
          <w:p w14:paraId="39C5FA48">
            <w:pPr>
              <w:jc w:val="center"/>
              <w:rPr>
                <w:b/>
                <w:color w:val="000000" w:themeColor="text1"/>
                <w:sz w:val="18"/>
                <w:szCs w:val="18"/>
                <w14:textFill>
                  <w14:solidFill>
                    <w14:schemeClr w14:val="tx1"/>
                  </w14:solidFill>
                </w14:textFill>
              </w:rPr>
            </w:pPr>
          </w:p>
        </w:tc>
        <w:tc>
          <w:tcPr>
            <w:tcW w:w="1226" w:type="dxa"/>
            <w:vMerge w:val="continue"/>
            <w:vAlign w:val="center"/>
          </w:tcPr>
          <w:p w14:paraId="0E7F452E">
            <w:pPr>
              <w:jc w:val="center"/>
              <w:rPr>
                <w:b/>
                <w:color w:val="auto"/>
                <w:sz w:val="18"/>
                <w:szCs w:val="18"/>
              </w:rPr>
            </w:pPr>
          </w:p>
        </w:tc>
        <w:tc>
          <w:tcPr>
            <w:tcW w:w="3516" w:type="dxa"/>
            <w:vAlign w:val="center"/>
          </w:tcPr>
          <w:p w14:paraId="6F47194B">
            <w:pPr>
              <w:rPr>
                <w:rFonts w:hint="eastAsia" w:eastAsia="宋体"/>
                <w:color w:val="auto"/>
                <w:sz w:val="18"/>
                <w:szCs w:val="18"/>
                <w:lang w:val="en-US" w:eastAsia="zh-CN"/>
              </w:rPr>
            </w:pPr>
            <w:r>
              <w:rPr>
                <w:rFonts w:hint="eastAsia" w:cs="Times New Roman"/>
                <w:color w:val="auto"/>
                <w:sz w:val="18"/>
                <w:szCs w:val="18"/>
                <w:lang w:val="en-US" w:eastAsia="zh-CN"/>
              </w:rPr>
              <w:t>发表论文、主持或参与课题、学术</w:t>
            </w:r>
            <w:r>
              <w:rPr>
                <w:rFonts w:ascii="Times New Roman" w:hAnsi="Times New Roman" w:cs="Times New Roman"/>
                <w:color w:val="auto"/>
                <w:sz w:val="18"/>
                <w:szCs w:val="18"/>
              </w:rPr>
              <w:t>竞赛</w:t>
            </w:r>
            <w:r>
              <w:rPr>
                <w:rFonts w:hint="eastAsia" w:cs="Times New Roman"/>
                <w:color w:val="auto"/>
                <w:sz w:val="18"/>
                <w:szCs w:val="18"/>
                <w:lang w:val="en-US" w:eastAsia="zh-CN"/>
              </w:rPr>
              <w:t>获奖</w:t>
            </w:r>
          </w:p>
        </w:tc>
        <w:tc>
          <w:tcPr>
            <w:tcW w:w="1081" w:type="dxa"/>
            <w:vAlign w:val="center"/>
          </w:tcPr>
          <w:p w14:paraId="7D63C21E">
            <w:pPr>
              <w:jc w:val="center"/>
              <w:rPr>
                <w:color w:val="auto"/>
                <w:sz w:val="18"/>
                <w:szCs w:val="18"/>
              </w:rPr>
            </w:pPr>
          </w:p>
        </w:tc>
        <w:tc>
          <w:tcPr>
            <w:tcW w:w="709" w:type="dxa"/>
            <w:vAlign w:val="center"/>
          </w:tcPr>
          <w:p w14:paraId="33AB8554">
            <w:pPr>
              <w:jc w:val="center"/>
              <w:rPr>
                <w:color w:val="auto"/>
                <w:sz w:val="18"/>
                <w:szCs w:val="18"/>
              </w:rPr>
            </w:pPr>
            <w:r>
              <w:rPr>
                <w:rFonts w:hint="eastAsia"/>
                <w:color w:val="auto"/>
                <w:sz w:val="18"/>
                <w:szCs w:val="18"/>
              </w:rPr>
              <w:t>1</w:t>
            </w:r>
          </w:p>
        </w:tc>
        <w:tc>
          <w:tcPr>
            <w:tcW w:w="709" w:type="dxa"/>
            <w:vAlign w:val="center"/>
          </w:tcPr>
          <w:p w14:paraId="1152D3E6">
            <w:pPr>
              <w:jc w:val="center"/>
              <w:rPr>
                <w:rFonts w:hint="default" w:eastAsia="宋体"/>
                <w:color w:val="auto"/>
                <w:sz w:val="18"/>
                <w:szCs w:val="18"/>
                <w:lang w:val="en-US" w:eastAsia="zh-CN"/>
              </w:rPr>
            </w:pPr>
            <w:r>
              <w:rPr>
                <w:rFonts w:hint="eastAsia"/>
                <w:color w:val="auto"/>
                <w:sz w:val="18"/>
                <w:szCs w:val="18"/>
                <w:lang w:val="en-US" w:eastAsia="zh-CN"/>
              </w:rPr>
              <w:t>1-5</w:t>
            </w:r>
          </w:p>
        </w:tc>
        <w:tc>
          <w:tcPr>
            <w:tcW w:w="1045" w:type="dxa"/>
            <w:vMerge w:val="continue"/>
            <w:vAlign w:val="center"/>
          </w:tcPr>
          <w:p w14:paraId="2BC30306">
            <w:pPr>
              <w:jc w:val="center"/>
              <w:rPr>
                <w:color w:val="auto"/>
                <w:sz w:val="18"/>
                <w:szCs w:val="18"/>
              </w:rPr>
            </w:pPr>
          </w:p>
        </w:tc>
      </w:tr>
      <w:tr w14:paraId="1CCE89F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B472E9F">
            <w:pPr>
              <w:rPr>
                <w:b/>
                <w:color w:val="000000" w:themeColor="text1"/>
                <w:sz w:val="18"/>
                <w:szCs w:val="18"/>
                <w14:textFill>
                  <w14:solidFill>
                    <w14:schemeClr w14:val="tx1"/>
                  </w14:solidFill>
                </w14:textFill>
              </w:rPr>
            </w:pPr>
          </w:p>
        </w:tc>
        <w:tc>
          <w:tcPr>
            <w:tcW w:w="1226" w:type="dxa"/>
            <w:vMerge w:val="restart"/>
            <w:vAlign w:val="center"/>
          </w:tcPr>
          <w:p w14:paraId="11B45B53">
            <w:pPr>
              <w:jc w:val="center"/>
              <w:rPr>
                <w:b/>
                <w:color w:val="auto"/>
                <w:sz w:val="18"/>
                <w:szCs w:val="18"/>
              </w:rPr>
            </w:pPr>
            <w:r>
              <w:rPr>
                <w:b/>
                <w:color w:val="auto"/>
                <w:sz w:val="18"/>
                <w:szCs w:val="18"/>
              </w:rPr>
              <w:t>学术训练</w:t>
            </w:r>
          </w:p>
        </w:tc>
        <w:tc>
          <w:tcPr>
            <w:tcW w:w="3516" w:type="dxa"/>
            <w:vAlign w:val="center"/>
          </w:tcPr>
          <w:p w14:paraId="18D2A1A4">
            <w:pPr>
              <w:rPr>
                <w:color w:val="auto"/>
                <w:sz w:val="18"/>
                <w:szCs w:val="18"/>
              </w:rPr>
            </w:pPr>
            <w:r>
              <w:rPr>
                <w:color w:val="auto"/>
                <w:sz w:val="18"/>
                <w:szCs w:val="18"/>
              </w:rPr>
              <w:t>中期筛选</w:t>
            </w:r>
          </w:p>
        </w:tc>
        <w:tc>
          <w:tcPr>
            <w:tcW w:w="1081" w:type="dxa"/>
            <w:vAlign w:val="center"/>
          </w:tcPr>
          <w:p w14:paraId="5C6CD7BE">
            <w:pPr>
              <w:jc w:val="center"/>
              <w:rPr>
                <w:color w:val="auto"/>
                <w:sz w:val="18"/>
                <w:szCs w:val="18"/>
              </w:rPr>
            </w:pPr>
          </w:p>
        </w:tc>
        <w:tc>
          <w:tcPr>
            <w:tcW w:w="709" w:type="dxa"/>
            <w:vAlign w:val="center"/>
          </w:tcPr>
          <w:p w14:paraId="5372BD6E">
            <w:pPr>
              <w:jc w:val="center"/>
              <w:rPr>
                <w:color w:val="auto"/>
                <w:sz w:val="18"/>
                <w:szCs w:val="18"/>
              </w:rPr>
            </w:pPr>
          </w:p>
        </w:tc>
        <w:tc>
          <w:tcPr>
            <w:tcW w:w="709" w:type="dxa"/>
            <w:vAlign w:val="center"/>
          </w:tcPr>
          <w:p w14:paraId="480D667D">
            <w:pPr>
              <w:jc w:val="center"/>
              <w:rPr>
                <w:rFonts w:hint="eastAsia" w:ascii="Times New Roman" w:hAnsi="Times New Roman" w:cs="Times New Roman"/>
                <w:color w:val="auto"/>
                <w:sz w:val="18"/>
                <w:szCs w:val="18"/>
                <w:lang w:eastAsia="zh-CN"/>
              </w:rPr>
            </w:pPr>
            <w:r>
              <w:rPr>
                <w:rFonts w:hint="eastAsia" w:ascii="Times New Roman" w:hAnsi="Times New Roman" w:cs="Times New Roman"/>
                <w:color w:val="auto"/>
                <w:sz w:val="18"/>
                <w:szCs w:val="18"/>
                <w:lang w:val="en-US" w:eastAsia="zh-CN"/>
              </w:rPr>
              <w:t>3</w:t>
            </w:r>
          </w:p>
        </w:tc>
        <w:tc>
          <w:tcPr>
            <w:tcW w:w="1045" w:type="dxa"/>
            <w:vMerge w:val="restart"/>
            <w:vAlign w:val="center"/>
          </w:tcPr>
          <w:p w14:paraId="781BD1D0">
            <w:pPr>
              <w:jc w:val="center"/>
              <w:rPr>
                <w:color w:val="auto"/>
                <w:sz w:val="18"/>
                <w:szCs w:val="18"/>
              </w:rPr>
            </w:pPr>
            <w:r>
              <w:rPr>
                <w:color w:val="auto"/>
                <w:sz w:val="18"/>
                <w:szCs w:val="18"/>
              </w:rPr>
              <w:t>过程管理</w:t>
            </w:r>
          </w:p>
          <w:p w14:paraId="2C4387E4">
            <w:pPr>
              <w:jc w:val="center"/>
              <w:rPr>
                <w:color w:val="auto"/>
                <w:sz w:val="18"/>
                <w:szCs w:val="18"/>
              </w:rPr>
            </w:pPr>
            <w:r>
              <w:rPr>
                <w:color w:val="auto"/>
                <w:sz w:val="18"/>
                <w:szCs w:val="18"/>
              </w:rPr>
              <w:t>无学分</w:t>
            </w:r>
          </w:p>
        </w:tc>
      </w:tr>
      <w:tr w14:paraId="2A7CD80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DDBC00">
            <w:pPr>
              <w:rPr>
                <w:b/>
                <w:color w:val="000000" w:themeColor="text1"/>
                <w:sz w:val="18"/>
                <w:szCs w:val="18"/>
                <w14:textFill>
                  <w14:solidFill>
                    <w14:schemeClr w14:val="tx1"/>
                  </w14:solidFill>
                </w14:textFill>
              </w:rPr>
            </w:pPr>
          </w:p>
        </w:tc>
        <w:tc>
          <w:tcPr>
            <w:tcW w:w="1226" w:type="dxa"/>
            <w:vMerge w:val="continue"/>
            <w:vAlign w:val="center"/>
          </w:tcPr>
          <w:p w14:paraId="257E4182">
            <w:pPr>
              <w:jc w:val="center"/>
              <w:rPr>
                <w:b/>
                <w:color w:val="000000" w:themeColor="text1"/>
                <w:sz w:val="18"/>
                <w:szCs w:val="18"/>
                <w14:textFill>
                  <w14:solidFill>
                    <w14:schemeClr w14:val="tx1"/>
                  </w14:solidFill>
                </w14:textFill>
              </w:rPr>
            </w:pPr>
          </w:p>
        </w:tc>
        <w:tc>
          <w:tcPr>
            <w:tcW w:w="3516" w:type="dxa"/>
            <w:vAlign w:val="center"/>
          </w:tcPr>
          <w:p w14:paraId="049CD5E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615BE8D2">
            <w:pPr>
              <w:jc w:val="center"/>
              <w:rPr>
                <w:color w:val="000000" w:themeColor="text1"/>
                <w:sz w:val="18"/>
                <w:szCs w:val="18"/>
                <w14:textFill>
                  <w14:solidFill>
                    <w14:schemeClr w14:val="tx1"/>
                  </w14:solidFill>
                </w14:textFill>
              </w:rPr>
            </w:pPr>
          </w:p>
        </w:tc>
        <w:tc>
          <w:tcPr>
            <w:tcW w:w="709" w:type="dxa"/>
            <w:vAlign w:val="center"/>
          </w:tcPr>
          <w:p w14:paraId="0A61548B">
            <w:pPr>
              <w:jc w:val="center"/>
              <w:rPr>
                <w:color w:val="000000" w:themeColor="text1"/>
                <w:sz w:val="18"/>
                <w:szCs w:val="18"/>
                <w14:textFill>
                  <w14:solidFill>
                    <w14:schemeClr w14:val="tx1"/>
                  </w14:solidFill>
                </w14:textFill>
              </w:rPr>
            </w:pPr>
          </w:p>
        </w:tc>
        <w:tc>
          <w:tcPr>
            <w:tcW w:w="709" w:type="dxa"/>
            <w:vAlign w:val="center"/>
          </w:tcPr>
          <w:p w14:paraId="5C155819">
            <w:pPr>
              <w:jc w:val="center"/>
              <w:rPr>
                <w:rFonts w:hint="eastAsia" w:ascii="Times New Roman" w:hAnsi="Times New Roman" w:cs="Times New Roman"/>
                <w:color w:val="000000" w:themeColor="text1"/>
                <w:sz w:val="18"/>
                <w:szCs w:val="18"/>
                <w:lang w:eastAsia="zh-CN"/>
                <w14:textFill>
                  <w14:solidFill>
                    <w14:schemeClr w14:val="tx1"/>
                  </w14:solidFill>
                </w14:textFill>
              </w:rPr>
            </w:pPr>
            <w:r>
              <w:rPr>
                <w:rFonts w:hint="eastAsia" w:ascii="Times New Roman" w:hAnsi="Times New Roman" w:cs="Times New Roman"/>
                <w:color w:val="000000" w:themeColor="text1"/>
                <w:sz w:val="18"/>
                <w:szCs w:val="18"/>
                <w:lang w:val="en-US" w:eastAsia="zh-CN"/>
                <w14:textFill>
                  <w14:solidFill>
                    <w14:schemeClr w14:val="tx1"/>
                  </w14:solidFill>
                </w14:textFill>
              </w:rPr>
              <w:t>3</w:t>
            </w:r>
          </w:p>
        </w:tc>
        <w:tc>
          <w:tcPr>
            <w:tcW w:w="1045" w:type="dxa"/>
            <w:vMerge w:val="continue"/>
            <w:vAlign w:val="center"/>
          </w:tcPr>
          <w:p w14:paraId="1128A63B">
            <w:pPr>
              <w:jc w:val="center"/>
              <w:rPr>
                <w:color w:val="000000" w:themeColor="text1"/>
                <w:sz w:val="18"/>
                <w:szCs w:val="18"/>
                <w14:textFill>
                  <w14:solidFill>
                    <w14:schemeClr w14:val="tx1"/>
                  </w14:solidFill>
                </w14:textFill>
              </w:rPr>
            </w:pPr>
          </w:p>
        </w:tc>
      </w:tr>
      <w:tr w14:paraId="742456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99D90A5">
            <w:pPr>
              <w:rPr>
                <w:b/>
                <w:color w:val="000000" w:themeColor="text1"/>
                <w:sz w:val="18"/>
                <w:szCs w:val="18"/>
                <w14:textFill>
                  <w14:solidFill>
                    <w14:schemeClr w14:val="tx1"/>
                  </w14:solidFill>
                </w14:textFill>
              </w:rPr>
            </w:pPr>
          </w:p>
        </w:tc>
        <w:tc>
          <w:tcPr>
            <w:tcW w:w="1226" w:type="dxa"/>
            <w:vMerge w:val="continue"/>
            <w:vAlign w:val="center"/>
          </w:tcPr>
          <w:p w14:paraId="7EF5A2FE">
            <w:pPr>
              <w:jc w:val="center"/>
              <w:rPr>
                <w:b/>
                <w:color w:val="000000" w:themeColor="text1"/>
                <w:sz w:val="18"/>
                <w:szCs w:val="18"/>
                <w14:textFill>
                  <w14:solidFill>
                    <w14:schemeClr w14:val="tx1"/>
                  </w14:solidFill>
                </w14:textFill>
              </w:rPr>
            </w:pPr>
          </w:p>
        </w:tc>
        <w:tc>
          <w:tcPr>
            <w:tcW w:w="3516" w:type="dxa"/>
            <w:vAlign w:val="center"/>
          </w:tcPr>
          <w:p w14:paraId="5012C48C">
            <w:pPr>
              <w:rPr>
                <w:sz w:val="18"/>
                <w:szCs w:val="18"/>
              </w:rPr>
            </w:pPr>
            <w:r>
              <w:rPr>
                <w:sz w:val="18"/>
                <w:szCs w:val="18"/>
              </w:rPr>
              <w:t>论文中期进展报告</w:t>
            </w:r>
          </w:p>
        </w:tc>
        <w:tc>
          <w:tcPr>
            <w:tcW w:w="1081" w:type="dxa"/>
            <w:vAlign w:val="center"/>
          </w:tcPr>
          <w:p w14:paraId="017306F3">
            <w:pPr>
              <w:jc w:val="center"/>
              <w:rPr>
                <w:color w:val="000000" w:themeColor="text1"/>
                <w:sz w:val="18"/>
                <w:szCs w:val="18"/>
                <w14:textFill>
                  <w14:solidFill>
                    <w14:schemeClr w14:val="tx1"/>
                  </w14:solidFill>
                </w14:textFill>
              </w:rPr>
            </w:pPr>
          </w:p>
        </w:tc>
        <w:tc>
          <w:tcPr>
            <w:tcW w:w="709" w:type="dxa"/>
            <w:vAlign w:val="center"/>
          </w:tcPr>
          <w:p w14:paraId="564ED2D0">
            <w:pPr>
              <w:jc w:val="center"/>
              <w:rPr>
                <w:color w:val="000000" w:themeColor="text1"/>
                <w:sz w:val="18"/>
                <w:szCs w:val="18"/>
                <w14:textFill>
                  <w14:solidFill>
                    <w14:schemeClr w14:val="tx1"/>
                  </w14:solidFill>
                </w14:textFill>
              </w:rPr>
            </w:pPr>
          </w:p>
        </w:tc>
        <w:tc>
          <w:tcPr>
            <w:tcW w:w="709" w:type="dxa"/>
            <w:vAlign w:val="center"/>
          </w:tcPr>
          <w:p w14:paraId="52C94E9C">
            <w:pPr>
              <w:jc w:val="center"/>
              <w:rPr>
                <w:rFonts w:hint="eastAsia" w:ascii="Times New Roman" w:hAnsi="Times New Roman" w:cs="Times New Roman"/>
                <w:color w:val="000000" w:themeColor="text1"/>
                <w:sz w:val="18"/>
                <w:szCs w:val="18"/>
                <w:lang w:eastAsia="zh-CN"/>
                <w14:textFill>
                  <w14:solidFill>
                    <w14:schemeClr w14:val="tx1"/>
                  </w14:solidFill>
                </w14:textFill>
              </w:rPr>
            </w:pPr>
            <w:r>
              <w:rPr>
                <w:rFonts w:hint="eastAsia" w:ascii="Times New Roman" w:hAnsi="Times New Roman" w:cs="Times New Roman"/>
                <w:color w:val="000000" w:themeColor="text1"/>
                <w:sz w:val="18"/>
                <w:szCs w:val="18"/>
                <w:lang w:val="en-US" w:eastAsia="zh-CN"/>
                <w14:textFill>
                  <w14:solidFill>
                    <w14:schemeClr w14:val="tx1"/>
                  </w14:solidFill>
                </w14:textFill>
              </w:rPr>
              <w:t>5</w:t>
            </w:r>
          </w:p>
        </w:tc>
        <w:tc>
          <w:tcPr>
            <w:tcW w:w="1045" w:type="dxa"/>
            <w:vMerge w:val="continue"/>
          </w:tcPr>
          <w:p w14:paraId="0FC154FD">
            <w:pPr>
              <w:jc w:val="center"/>
              <w:rPr>
                <w:color w:val="000000" w:themeColor="text1"/>
                <w:sz w:val="18"/>
                <w:szCs w:val="18"/>
                <w14:textFill>
                  <w14:solidFill>
                    <w14:schemeClr w14:val="tx1"/>
                  </w14:solidFill>
                </w14:textFill>
              </w:rPr>
            </w:pPr>
          </w:p>
        </w:tc>
      </w:tr>
      <w:tr w14:paraId="5A33BD2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88D4704">
            <w:pPr>
              <w:rPr>
                <w:b/>
                <w:color w:val="000000" w:themeColor="text1"/>
                <w:sz w:val="18"/>
                <w:szCs w:val="18"/>
                <w14:textFill>
                  <w14:solidFill>
                    <w14:schemeClr w14:val="tx1"/>
                  </w14:solidFill>
                </w14:textFill>
              </w:rPr>
            </w:pPr>
          </w:p>
        </w:tc>
        <w:tc>
          <w:tcPr>
            <w:tcW w:w="1226" w:type="dxa"/>
            <w:vMerge w:val="continue"/>
            <w:vAlign w:val="center"/>
          </w:tcPr>
          <w:p w14:paraId="27A7F26A">
            <w:pPr>
              <w:jc w:val="center"/>
              <w:rPr>
                <w:b/>
                <w:color w:val="000000" w:themeColor="text1"/>
                <w:sz w:val="18"/>
                <w:szCs w:val="18"/>
                <w14:textFill>
                  <w14:solidFill>
                    <w14:schemeClr w14:val="tx1"/>
                  </w14:solidFill>
                </w14:textFill>
              </w:rPr>
            </w:pPr>
          </w:p>
        </w:tc>
        <w:tc>
          <w:tcPr>
            <w:tcW w:w="3516" w:type="dxa"/>
            <w:vAlign w:val="center"/>
          </w:tcPr>
          <w:p w14:paraId="7CA3C6F1">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54F6B0A3">
            <w:pPr>
              <w:jc w:val="center"/>
              <w:rPr>
                <w:color w:val="000000" w:themeColor="text1"/>
                <w:sz w:val="18"/>
                <w:szCs w:val="18"/>
                <w14:textFill>
                  <w14:solidFill>
                    <w14:schemeClr w14:val="tx1"/>
                  </w14:solidFill>
                </w14:textFill>
              </w:rPr>
            </w:pPr>
          </w:p>
        </w:tc>
        <w:tc>
          <w:tcPr>
            <w:tcW w:w="709" w:type="dxa"/>
            <w:vAlign w:val="center"/>
          </w:tcPr>
          <w:p w14:paraId="228DF05C">
            <w:pPr>
              <w:jc w:val="center"/>
              <w:rPr>
                <w:color w:val="000000" w:themeColor="text1"/>
                <w:sz w:val="18"/>
                <w:szCs w:val="18"/>
                <w14:textFill>
                  <w14:solidFill>
                    <w14:schemeClr w14:val="tx1"/>
                  </w14:solidFill>
                </w14:textFill>
              </w:rPr>
            </w:pPr>
          </w:p>
        </w:tc>
        <w:tc>
          <w:tcPr>
            <w:tcW w:w="709" w:type="dxa"/>
            <w:vAlign w:val="center"/>
          </w:tcPr>
          <w:p w14:paraId="13083433">
            <w:pPr>
              <w:jc w:val="center"/>
              <w:rPr>
                <w:rFonts w:hint="eastAsia" w:ascii="Times New Roman" w:hAnsi="Times New Roman" w:cs="Times New Roman"/>
                <w:color w:val="000000" w:themeColor="text1"/>
                <w:sz w:val="18"/>
                <w:szCs w:val="18"/>
                <w:lang w:eastAsia="zh-CN"/>
                <w14:textFill>
                  <w14:solidFill>
                    <w14:schemeClr w14:val="tx1"/>
                  </w14:solidFill>
                </w14:textFill>
              </w:rPr>
            </w:pPr>
            <w:r>
              <w:rPr>
                <w:rFonts w:hint="eastAsia" w:ascii="Times New Roman" w:hAnsi="Times New Roman" w:cs="Times New Roman"/>
                <w:color w:val="000000" w:themeColor="text1"/>
                <w:sz w:val="18"/>
                <w:szCs w:val="18"/>
                <w:lang w:val="en-US" w:eastAsia="zh-CN"/>
                <w14:textFill>
                  <w14:solidFill>
                    <w14:schemeClr w14:val="tx1"/>
                  </w14:solidFill>
                </w14:textFill>
              </w:rPr>
              <w:t>6</w:t>
            </w:r>
          </w:p>
        </w:tc>
        <w:tc>
          <w:tcPr>
            <w:tcW w:w="1045" w:type="dxa"/>
            <w:vMerge w:val="continue"/>
          </w:tcPr>
          <w:p w14:paraId="266FA6EB">
            <w:pPr>
              <w:jc w:val="center"/>
              <w:rPr>
                <w:color w:val="000000" w:themeColor="text1"/>
                <w:sz w:val="18"/>
                <w:szCs w:val="18"/>
                <w14:textFill>
                  <w14:solidFill>
                    <w14:schemeClr w14:val="tx1"/>
                  </w14:solidFill>
                </w14:textFill>
              </w:rPr>
            </w:pPr>
          </w:p>
        </w:tc>
      </w:tr>
      <w:tr w14:paraId="7C5A08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77C739F">
            <w:pPr>
              <w:rPr>
                <w:color w:val="000000" w:themeColor="text1"/>
                <w:sz w:val="18"/>
                <w:szCs w:val="18"/>
                <w14:textFill>
                  <w14:solidFill>
                    <w14:schemeClr w14:val="tx1"/>
                  </w14:solidFill>
                </w14:textFill>
              </w:rPr>
            </w:pPr>
          </w:p>
        </w:tc>
        <w:tc>
          <w:tcPr>
            <w:tcW w:w="1226" w:type="dxa"/>
            <w:vMerge w:val="continue"/>
          </w:tcPr>
          <w:p w14:paraId="5AF27B72">
            <w:pPr>
              <w:jc w:val="center"/>
              <w:rPr>
                <w:color w:val="000000" w:themeColor="text1"/>
                <w:sz w:val="18"/>
                <w:szCs w:val="18"/>
                <w14:textFill>
                  <w14:solidFill>
                    <w14:schemeClr w14:val="tx1"/>
                  </w14:solidFill>
                </w14:textFill>
              </w:rPr>
            </w:pPr>
          </w:p>
        </w:tc>
        <w:tc>
          <w:tcPr>
            <w:tcW w:w="3516" w:type="dxa"/>
            <w:vAlign w:val="center"/>
          </w:tcPr>
          <w:p w14:paraId="57061A3A">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148774C8">
            <w:pPr>
              <w:jc w:val="center"/>
              <w:rPr>
                <w:color w:val="000000" w:themeColor="text1"/>
                <w:sz w:val="18"/>
                <w:szCs w:val="18"/>
                <w14:textFill>
                  <w14:solidFill>
                    <w14:schemeClr w14:val="tx1"/>
                  </w14:solidFill>
                </w14:textFill>
              </w:rPr>
            </w:pPr>
          </w:p>
        </w:tc>
        <w:tc>
          <w:tcPr>
            <w:tcW w:w="709" w:type="dxa"/>
            <w:vAlign w:val="center"/>
          </w:tcPr>
          <w:p w14:paraId="2F6DBCC4">
            <w:pPr>
              <w:jc w:val="center"/>
              <w:rPr>
                <w:color w:val="000000" w:themeColor="text1"/>
                <w:sz w:val="18"/>
                <w:szCs w:val="18"/>
                <w14:textFill>
                  <w14:solidFill>
                    <w14:schemeClr w14:val="tx1"/>
                  </w14:solidFill>
                </w14:textFill>
              </w:rPr>
            </w:pPr>
          </w:p>
        </w:tc>
        <w:tc>
          <w:tcPr>
            <w:tcW w:w="709" w:type="dxa"/>
            <w:vAlign w:val="center"/>
          </w:tcPr>
          <w:p w14:paraId="6473D58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21B018A">
            <w:pPr>
              <w:jc w:val="center"/>
              <w:rPr>
                <w:color w:val="000000" w:themeColor="text1"/>
                <w:sz w:val="18"/>
                <w:szCs w:val="18"/>
                <w14:textFill>
                  <w14:solidFill>
                    <w14:schemeClr w14:val="tx1"/>
                  </w14:solidFill>
                </w14:textFill>
              </w:rPr>
            </w:pPr>
          </w:p>
        </w:tc>
      </w:tr>
      <w:tr w14:paraId="201DD6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85C9BBD">
            <w:pPr>
              <w:rPr>
                <w:color w:val="000000" w:themeColor="text1"/>
                <w:sz w:val="18"/>
                <w:szCs w:val="18"/>
                <w14:textFill>
                  <w14:solidFill>
                    <w14:schemeClr w14:val="tx1"/>
                  </w14:solidFill>
                </w14:textFill>
              </w:rPr>
            </w:pPr>
          </w:p>
        </w:tc>
        <w:tc>
          <w:tcPr>
            <w:tcW w:w="1226" w:type="dxa"/>
            <w:vMerge w:val="continue"/>
          </w:tcPr>
          <w:p w14:paraId="5F836668">
            <w:pPr>
              <w:jc w:val="center"/>
              <w:rPr>
                <w:color w:val="000000" w:themeColor="text1"/>
                <w:sz w:val="18"/>
                <w:szCs w:val="18"/>
                <w14:textFill>
                  <w14:solidFill>
                    <w14:schemeClr w14:val="tx1"/>
                  </w14:solidFill>
                </w14:textFill>
              </w:rPr>
            </w:pPr>
          </w:p>
        </w:tc>
        <w:tc>
          <w:tcPr>
            <w:tcW w:w="3516" w:type="dxa"/>
            <w:vAlign w:val="center"/>
          </w:tcPr>
          <w:p w14:paraId="67710AAF">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03A24E61">
            <w:pPr>
              <w:jc w:val="center"/>
              <w:rPr>
                <w:color w:val="000000" w:themeColor="text1"/>
                <w:sz w:val="18"/>
                <w:szCs w:val="18"/>
                <w14:textFill>
                  <w14:solidFill>
                    <w14:schemeClr w14:val="tx1"/>
                  </w14:solidFill>
                </w14:textFill>
              </w:rPr>
            </w:pPr>
          </w:p>
        </w:tc>
        <w:tc>
          <w:tcPr>
            <w:tcW w:w="709" w:type="dxa"/>
            <w:vAlign w:val="center"/>
          </w:tcPr>
          <w:p w14:paraId="31DF5079">
            <w:pPr>
              <w:jc w:val="center"/>
              <w:rPr>
                <w:color w:val="000000" w:themeColor="text1"/>
                <w:sz w:val="18"/>
                <w:szCs w:val="18"/>
                <w14:textFill>
                  <w14:solidFill>
                    <w14:schemeClr w14:val="tx1"/>
                  </w14:solidFill>
                </w14:textFill>
              </w:rPr>
            </w:pPr>
          </w:p>
        </w:tc>
        <w:tc>
          <w:tcPr>
            <w:tcW w:w="709" w:type="dxa"/>
            <w:vAlign w:val="center"/>
          </w:tcPr>
          <w:p w14:paraId="1CCD32D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30CCAA08">
            <w:pPr>
              <w:jc w:val="center"/>
              <w:rPr>
                <w:color w:val="000000" w:themeColor="text1"/>
                <w:sz w:val="18"/>
                <w:szCs w:val="18"/>
                <w14:textFill>
                  <w14:solidFill>
                    <w14:schemeClr w14:val="tx1"/>
                  </w14:solidFill>
                </w14:textFill>
              </w:rPr>
            </w:pPr>
          </w:p>
        </w:tc>
      </w:tr>
    </w:tbl>
    <w:p w14:paraId="5A1CD2A8">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111D69A6">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1C65D62">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6D2C284">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3FFEF943">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7D34C5"/>
    <w:rsid w:val="05F254FA"/>
    <w:rsid w:val="0B4076CB"/>
    <w:rsid w:val="13D32631"/>
    <w:rsid w:val="1FE96C05"/>
    <w:rsid w:val="23A87B77"/>
    <w:rsid w:val="23DE44BA"/>
    <w:rsid w:val="24F5112A"/>
    <w:rsid w:val="26230398"/>
    <w:rsid w:val="28052EE7"/>
    <w:rsid w:val="2B7258C6"/>
    <w:rsid w:val="31D274E9"/>
    <w:rsid w:val="39281C31"/>
    <w:rsid w:val="42442951"/>
    <w:rsid w:val="44B22C0C"/>
    <w:rsid w:val="458E4FFA"/>
    <w:rsid w:val="48783235"/>
    <w:rsid w:val="49D74833"/>
    <w:rsid w:val="5385202A"/>
    <w:rsid w:val="53EE24D0"/>
    <w:rsid w:val="59341D2E"/>
    <w:rsid w:val="5C762BE0"/>
    <w:rsid w:val="5D003DC7"/>
    <w:rsid w:val="614D389C"/>
    <w:rsid w:val="6C210E08"/>
    <w:rsid w:val="6D63173A"/>
    <w:rsid w:val="6D725D15"/>
    <w:rsid w:val="6F543924"/>
    <w:rsid w:val="72EA518F"/>
    <w:rsid w:val="7BD14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Char"/>
    <w:basedOn w:val="13"/>
    <w:link w:val="3"/>
    <w:qFormat/>
    <w:uiPriority w:val="99"/>
    <w:rPr>
      <w:rFonts w:ascii="Cambria" w:hAnsi="Cambria" w:eastAsia="宋体" w:cs="Times New Roman"/>
      <w:b/>
      <w:bCs/>
      <w:sz w:val="32"/>
      <w:szCs w:val="32"/>
    </w:rPr>
  </w:style>
  <w:style w:type="character" w:customStyle="1" w:styleId="17">
    <w:name w:val="标题 1 Char"/>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Char"/>
    <w:basedOn w:val="13"/>
    <w:link w:val="5"/>
    <w:semiHidden/>
    <w:qFormat/>
    <w:uiPriority w:val="99"/>
    <w:rPr>
      <w:rFonts w:ascii="Times New Roman" w:hAnsi="Times New Roman" w:eastAsia="宋体" w:cs="Times New Roman"/>
      <w:szCs w:val="24"/>
    </w:rPr>
  </w:style>
  <w:style w:type="character" w:customStyle="1" w:styleId="20">
    <w:name w:val="批注主题 Char"/>
    <w:basedOn w:val="19"/>
    <w:link w:val="10"/>
    <w:semiHidden/>
    <w:qFormat/>
    <w:uiPriority w:val="99"/>
    <w:rPr>
      <w:rFonts w:ascii="Times New Roman" w:hAnsi="Times New Roman" w:eastAsia="宋体" w:cs="Times New Roman"/>
      <w:b/>
      <w:bCs/>
      <w:szCs w:val="24"/>
    </w:rPr>
  </w:style>
  <w:style w:type="character" w:customStyle="1" w:styleId="21">
    <w:name w:val="批注框文本 Char"/>
    <w:basedOn w:val="13"/>
    <w:link w:val="6"/>
    <w:semiHidden/>
    <w:qFormat/>
    <w:uiPriority w:val="99"/>
    <w:rPr>
      <w:rFonts w:ascii="Times New Roman" w:hAnsi="Times New Roman" w:eastAsia="宋体" w:cs="Times New Roman"/>
      <w:sz w:val="18"/>
      <w:szCs w:val="18"/>
    </w:rPr>
  </w:style>
  <w:style w:type="character" w:customStyle="1" w:styleId="22">
    <w:name w:val="页眉 Char"/>
    <w:basedOn w:val="13"/>
    <w:link w:val="8"/>
    <w:qFormat/>
    <w:uiPriority w:val="99"/>
    <w:rPr>
      <w:rFonts w:ascii="Times New Roman" w:hAnsi="Times New Roman" w:eastAsia="宋体" w:cs="Times New Roman"/>
      <w:sz w:val="18"/>
      <w:szCs w:val="18"/>
    </w:rPr>
  </w:style>
  <w:style w:type="character" w:customStyle="1" w:styleId="23">
    <w:name w:val="页脚 Char"/>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Char"/>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7</Pages>
  <Words>5036</Words>
  <Characters>5389</Characters>
  <Lines>137</Lines>
  <Paragraphs>38</Paragraphs>
  <TotalTime>8</TotalTime>
  <ScaleCrop>false</ScaleCrop>
  <LinksUpToDate>false</LinksUpToDate>
  <CharactersWithSpaces>5400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金剑</cp:lastModifiedBy>
  <cp:lastPrinted>2025-03-14T03:17:00Z</cp:lastPrinted>
  <dcterms:modified xsi:type="dcterms:W3CDTF">2025-06-13T00:07:41Z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eyJoZGlkIjoiMzEwNTM5NzYwMDRjMzkwZTVkZjY2ODkwMGIxNGU0OTUiLCJ1c2VySWQiOiIzNTc1MTg4NDkifQ==</vt:lpwstr>
  </property>
  <property fmtid="{D5CDD505-2E9C-101B-9397-08002B2CF9AE}" pid="4" name="ICV">
    <vt:lpwstr>5453566B4D9140DEAD6FD2DD7E69287F_13</vt:lpwstr>
  </property>
</Properties>
</file>