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5BAB55">
      <w:pPr>
        <w:ind w:left="321" w:leftChars="153" w:right="227"/>
        <w:jc w:val="center"/>
        <w:rPr>
          <w:rFonts w:eastAsia="黑体"/>
          <w:b/>
          <w:bCs/>
          <w:color w:val="0D0D0D" w:themeColor="text1" w:themeTint="F2"/>
          <w:sz w:val="36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黑体" w:cs="Times New Roman"/>
          <w:b/>
          <w:bCs/>
          <w:color w:val="0D0D0D" w:themeColor="text1" w:themeTint="F2"/>
          <w:sz w:val="36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应用经济学</w:t>
      </w:r>
      <w:r>
        <w:rPr>
          <w:rFonts w:eastAsia="黑体"/>
          <w:b/>
          <w:bCs/>
          <w:color w:val="0D0D0D" w:themeColor="text1" w:themeTint="F2"/>
          <w:sz w:val="36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专业直博生培养方案</w:t>
      </w:r>
    </w:p>
    <w:p w14:paraId="7A8C2E78">
      <w:pPr>
        <w:ind w:left="321" w:leftChars="153" w:right="227"/>
        <w:jc w:val="center"/>
        <w:rPr>
          <w:rFonts w:eastAsia="黑体"/>
          <w:b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="黑体"/>
          <w:b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eastAsia" w:eastAsia="黑体"/>
          <w:b/>
          <w:bCs/>
          <w:color w:val="0D0D0D" w:themeColor="text1" w:themeTint="F2"/>
          <w:sz w:val="28"/>
          <w:szCs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经济</w:t>
      </w:r>
      <w:r>
        <w:rPr>
          <w:rFonts w:eastAsia="黑体"/>
          <w:b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学院)</w:t>
      </w:r>
    </w:p>
    <w:p w14:paraId="2AA8125A">
      <w:pPr>
        <w:spacing w:line="360" w:lineRule="auto"/>
        <w:ind w:firstLine="560"/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一、专业名称、代码</w:t>
      </w:r>
    </w:p>
    <w:p w14:paraId="73842D46">
      <w:pPr>
        <w:widowControl/>
        <w:spacing w:before="100" w:beforeAutospacing="1" w:after="100" w:afterAutospacing="1" w:line="270" w:lineRule="atLeast"/>
        <w:ind w:firstLine="960" w:firstLineChars="400"/>
        <w:jc w:val="left"/>
        <w:rPr>
          <w:color w:val="0D0D0D" w:themeColor="text1" w:themeTint="F2"/>
          <w:kern w:val="0"/>
          <w:sz w:val="18"/>
          <w:szCs w:val="1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专业名称：</w:t>
      </w:r>
      <w:r>
        <w:rPr>
          <w:rFonts w:hint="eastAsia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应用经济学</w:t>
      </w:r>
    </w:p>
    <w:p w14:paraId="32CC5E9F">
      <w:pPr>
        <w:widowControl/>
        <w:spacing w:before="100" w:beforeAutospacing="1" w:after="100" w:afterAutospacing="1" w:line="270" w:lineRule="atLeast"/>
        <w:ind w:firstLine="960" w:firstLineChars="400"/>
        <w:jc w:val="left"/>
        <w:rPr>
          <w:color w:val="0D0D0D" w:themeColor="text1" w:themeTint="F2"/>
          <w:kern w:val="0"/>
          <w:sz w:val="18"/>
          <w:szCs w:val="1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专业代码：</w:t>
      </w:r>
      <w:r>
        <w:rPr>
          <w:rFonts w:hint="eastAsia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0202</w:t>
      </w:r>
    </w:p>
    <w:p w14:paraId="18678226">
      <w:pPr>
        <w:spacing w:line="360" w:lineRule="auto"/>
        <w:ind w:firstLine="560" w:firstLineChars="200"/>
        <w:rPr>
          <w:rFonts w:eastAsia="黑体"/>
          <w:bCs/>
          <w:i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二、专业简介</w:t>
      </w:r>
    </w:p>
    <w:p w14:paraId="483B427C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应用经济学是以马克思主义为指导、运用经济学基本原理和分析方法，研究经济活动各相关领域的理论、运行机制和规律，或对非经济活动领域的经济效益与社会效益进行分析和评价的学科，具有理论联系实际、应用性强，直接服务于经济建设的特点。应用经济学学科具有明显的实践导向特征，致力于解决社会经济活动中的现实问题。其研究内容主要包括:</w:t>
      </w:r>
      <w:r>
        <w:rPr>
          <w:rFonts w:hint="eastAsia" w:ascii="宋体" w:hAnsi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eastAsia" w:ascii="宋体" w:hAnsi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hint="eastAsia" w:ascii="宋体" w:hAnsi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揭示社会经济运行中资源配置的运行规律和经济关系，指导社会经济实践活动，提高生产效率</w:t>
      </w:r>
      <w:r>
        <w:rPr>
          <w:rFonts w:hint="eastAsia" w:ascii="宋体" w:hAnsi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；（</w:t>
      </w:r>
      <w:r>
        <w:rPr>
          <w:rFonts w:hint="eastAsia" w:ascii="宋体" w:hAnsi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</w:t>
      </w:r>
      <w:r>
        <w:rPr>
          <w:rFonts w:hint="eastAsia" w:ascii="宋体" w:hAnsi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在关注各学科之间相互联系、相互渗透的基础上，强调学科的专业性和特殊性</w:t>
      </w:r>
      <w:r>
        <w:rPr>
          <w:rFonts w:hint="eastAsia" w:ascii="宋体" w:hAnsi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；（</w:t>
      </w:r>
      <w:r>
        <w:rPr>
          <w:rFonts w:hint="eastAsia" w:ascii="宋体" w:hAnsi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hint="eastAsia" w:ascii="宋体" w:hAnsi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运用数据进行经验分析，从而验证经济理论。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本学科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要求具备深厚的经济学理论基础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，并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具备一定的数学、统计学以及其他自然科学知识，能够熟练应用计量经济学对经济现象开展实证、预测、模拟能研究，对于现实问题能够提出可操作性的解决对策。</w:t>
      </w:r>
    </w:p>
    <w:p w14:paraId="01F8C2B4"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ascii="宋体" w:hAnsi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河北大学应用经济学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学科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所依托的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前身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为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1960年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的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经济系，1992年成为河北高校第一个二级学院。2003年世界经济获批博士点，为河北省第一个经济学博士点；2016年动态调整为应用经济学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一级学科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博士点。2020年金融学、经济统计学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、国际经济与贸易三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个本科专业获批国家级一流本科专业建设点（“双万计划”）。世界经济（1994）、统计学（2005）获批为省级重点学科。</w:t>
      </w:r>
      <w:r>
        <w:rPr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2020-2024</w:t>
      </w:r>
      <w:r>
        <w:rPr>
          <w:rFonts w:ascii="宋体" w:hAnsi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年连续进入软科排名进入前</w:t>
      </w:r>
      <w:r>
        <w:rPr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20%</w:t>
      </w:r>
      <w:r>
        <w:rPr>
          <w:rFonts w:ascii="宋体" w:hAnsi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 w14:paraId="0E834D9A"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kern w:val="0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本学科</w:t>
      </w:r>
      <w:r>
        <w:rPr>
          <w:rFonts w:hint="eastAsia" w:ascii="宋体" w:hAnsi="宋体" w:eastAsia="宋体" w:cs="宋体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博士点是河北省内唯一的</w:t>
      </w:r>
      <w:r>
        <w:rPr>
          <w:rFonts w:hint="eastAsia" w:ascii="宋体" w:hAnsi="宋体" w:eastAsia="宋体" w:cs="宋体"/>
          <w:color w:val="0D0D0D" w:themeColor="text1" w:themeTint="F2"/>
          <w:kern w:val="0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经济类</w:t>
      </w:r>
      <w:r>
        <w:rPr>
          <w:rFonts w:hint="eastAsia" w:ascii="宋体" w:hAnsi="宋体" w:eastAsia="宋体" w:cs="宋体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博士点，</w:t>
      </w:r>
      <w:r>
        <w:rPr>
          <w:rFonts w:hint="eastAsia" w:ascii="宋体" w:hAnsi="宋体" w:eastAsia="宋体" w:cs="宋体"/>
          <w:color w:val="0D0D0D" w:themeColor="text1" w:themeTint="F2"/>
          <w:kern w:val="0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学科积极</w:t>
      </w:r>
      <w:r>
        <w:rPr>
          <w:rFonts w:hint="eastAsia" w:ascii="宋体" w:hAnsi="宋体" w:eastAsia="宋体" w:cs="宋体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服务京津冀协同发展、服务雄安新区建设</w:t>
      </w:r>
      <w:r>
        <w:rPr>
          <w:rFonts w:hint="eastAsia" w:ascii="宋体" w:hAnsi="宋体" w:eastAsia="宋体" w:cs="宋体"/>
          <w:color w:val="0D0D0D" w:themeColor="text1" w:themeTint="F2"/>
          <w:kern w:val="0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="宋体" w:hAnsi="宋体" w:eastAsia="宋体" w:cs="宋体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发挥在国际经济与贸易研究方面的优势，服务“一带一路”建设和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研究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中美贸易摩擦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等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问题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，已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形成鲜明的学科特色。本学科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依托应用经济学和理论经济学一级学科硕士点，涵盖国民经济学、金融学、国际贸易学、财政学、区域经济学、劳</w:t>
      </w:r>
      <w:r>
        <w:rPr>
          <w:rFonts w:hint="eastAsia" w:ascii="宋体" w:hAnsi="宋体" w:eastAsia="宋体" w:cs="宋体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动经济学、数量经济学等二级学科</w:t>
      </w:r>
      <w:r>
        <w:rPr>
          <w:rFonts w:hint="eastAsia" w:ascii="宋体" w:hAnsi="宋体" w:eastAsia="宋体" w:cs="宋体"/>
          <w:color w:val="0D0D0D" w:themeColor="text1" w:themeTint="F2"/>
          <w:kern w:val="0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经过长期积累和发展，具备从本科、硕士到博士完整的高层次人才培养体系</w:t>
      </w:r>
      <w:r>
        <w:rPr>
          <w:rFonts w:hint="eastAsia" w:ascii="宋体" w:hAnsi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  <w:r>
        <w:rPr>
          <w:rFonts w:hint="eastAsia" w:ascii="宋体" w:hAnsi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加强思政引领，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逐步形成特色鲜明、发展稳定、在国内具有较大影响力的学科方向。</w:t>
      </w:r>
    </w:p>
    <w:p w14:paraId="52B7F5DB"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学科师资实力雄厚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拥有国家百千万人才工程、国务院特贴专家、国家有突出贡献中青年专家、教育部新世纪优秀人才支持计划等国家级优秀人才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；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科研实力强劲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社会服务成效显著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；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学科依托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有两个教育部研究中心、一个省级协同创新中心、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一个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河北省新型智库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两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个河北省人文社科重点</w:t>
      </w:r>
      <w:bookmarkStart w:id="0" w:name="_GoBack"/>
      <w:bookmarkEnd w:id="0"/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研究基地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河北省社科研究基地</w:t>
      </w:r>
      <w:r>
        <w:rPr>
          <w:rFonts w:hint="eastAsia" w:ascii="宋体" w:hAnsi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等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。学科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注重国际化水平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的不断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提升，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如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获批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以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诺奖克里斯托弗·皮萨里德斯为院长的区域经济研究院，成新轩教授被授予欧盟让·莫内讲席教授称号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等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 w14:paraId="35D9151E">
      <w:pPr>
        <w:spacing w:line="360" w:lineRule="auto"/>
        <w:ind w:firstLine="560" w:firstLineChars="200"/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三、研究方向</w:t>
      </w:r>
    </w:p>
    <w:p w14:paraId="6A608730"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本学位点学科发展契合经济和社会发展需求，遵循应用经济学学科发展规律，按照“严格质量标准、突出培养特色”原则，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结合本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学科专业优势和特色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设置以下五个研究方向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</w:p>
    <w:p w14:paraId="208BA6AC">
      <w:pPr>
        <w:widowControl w:val="0"/>
        <w:numPr>
          <w:ilvl w:val="0"/>
          <w:numId w:val="0"/>
        </w:numPr>
        <w:spacing w:line="360" w:lineRule="auto"/>
        <w:ind w:firstLine="482" w:firstLineChars="200"/>
        <w:jc w:val="both"/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hint="eastAsia" w:ascii="宋体" w:hAnsi="宋体" w:eastAsia="宋体" w:cs="宋体"/>
          <w:b/>
          <w:bCs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</w:t>
      </w:r>
      <w:r>
        <w:rPr>
          <w:rFonts w:hint="eastAsia" w:ascii="宋体" w:hAnsi="宋体" w:eastAsia="宋体" w:cs="宋体"/>
          <w:b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国际经济理论与政策</w:t>
      </w:r>
    </w:p>
    <w:p w14:paraId="03582233">
      <w:pPr>
        <w:spacing w:line="360" w:lineRule="auto"/>
        <w:ind w:firstLine="480" w:firstLineChars="200"/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本方向属于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国际贸易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学二级学科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致力于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培养掌握坚实的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国际贸易学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理论基础和系统的专门知识，能够运用相关领域的前沿理论和现代方法，分析现实问题，从事科学研究或独立承担专门技术工作的高层次人才。主要研究领域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包括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国际贸易理论与政策、区域经济一体化、跨国公司经营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等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本方向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以经济全球化和一体化为主线，围绕世界经济运行机制及其发展趋势、全球价值链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国际经济协调与合作机制等，全面、系统跟踪研究国际经济发展问题，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基于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世界经济发展趋势及其运行机制、国际经济协调与合作机制、国际经贸新秩序以及国别经济等方面的前沿研究、形成了以日、美、欧等为研究主体的国别经济及区域经济研究、国际贸易与生态环境效应研究、国际直接投资理论与政策研究为主要特色的领域和方向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在东亚、欧盟区域经济和中国对外直接投资等领域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已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取得了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一系列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创新性高端成果。</w:t>
      </w:r>
    </w:p>
    <w:p w14:paraId="62F54D0E">
      <w:pPr>
        <w:widowControl w:val="0"/>
        <w:numPr>
          <w:ilvl w:val="0"/>
          <w:numId w:val="0"/>
        </w:numPr>
        <w:spacing w:line="360" w:lineRule="auto"/>
        <w:ind w:firstLine="482" w:firstLineChars="200"/>
        <w:jc w:val="both"/>
        <w:rPr>
          <w:rFonts w:hint="eastAsia" w:ascii="宋体" w:hAnsi="宋体" w:eastAsia="宋体" w:cs="宋体"/>
          <w:color w:val="0D0D0D" w:themeColor="text1" w:themeTint="F2"/>
          <w:sz w:val="24"/>
          <w:highlight w:val="yellow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2.</w:t>
      </w:r>
      <w:r>
        <w:rPr>
          <w:rFonts w:hint="eastAsia" w:ascii="宋体" w:hAnsi="宋体" w:eastAsia="宋体" w:cs="宋体"/>
          <w:b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金融市场与制度</w:t>
      </w:r>
      <w:r>
        <w:rPr>
          <w:rFonts w:hint="eastAsia" w:ascii="宋体" w:hAnsi="宋体" w:eastAsia="宋体" w:cs="宋体"/>
          <w:b/>
          <w:color w:val="0D0D0D" w:themeColor="text1" w:themeTint="F2"/>
          <w:sz w:val="24"/>
          <w:highlight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创新</w:t>
      </w:r>
    </w:p>
    <w:p w14:paraId="26F0F0A0">
      <w:pPr>
        <w:widowControl w:val="0"/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本方向属于金融学二级学科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highlight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致力于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培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养掌握现代金融理论与方法，熟悉金融专业技术，通晓金融发展前沿，具备运用金融学理论与相关知识分析金融领域问题的能力，能够在高校、科研机构及相关部门机构工作的高层次人才。主要研究领域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包括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金融理论、政策与制度、房地产金融、公司融资与财务管理、风险管理与保险、区域金融与贸易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等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本方向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围绕普惠金融、民生金融、房地产金融、风险管理与保险、农村金融、金融科技以及京津冀金融协同发展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等方面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进行理论、政策及制度的创新性研究，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已取得一系列高端成果，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为政府及相关部门决策提供了智力支持，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凸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显了较强的社会服务能力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本方向以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深化、拓展、创新金融市场与制度的理论及应用研究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为主线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，在国内已形成较大的影响力和较鲜明的特色。</w:t>
      </w:r>
    </w:p>
    <w:p w14:paraId="075E25F8">
      <w:pPr>
        <w:widowControl w:val="0"/>
        <w:numPr>
          <w:ilvl w:val="0"/>
          <w:numId w:val="0"/>
        </w:numPr>
        <w:spacing w:line="360" w:lineRule="auto"/>
        <w:ind w:firstLine="482" w:firstLineChars="200"/>
        <w:jc w:val="both"/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hint="eastAsia" w:ascii="宋体" w:hAnsi="宋体" w:eastAsia="宋体" w:cs="宋体"/>
          <w:b/>
          <w:bCs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</w:t>
      </w:r>
      <w:r>
        <w:rPr>
          <w:rFonts w:hint="eastAsia" w:ascii="宋体" w:hAnsi="宋体" w:eastAsia="宋体" w:cs="宋体"/>
          <w:b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区</w:t>
      </w:r>
      <w:r>
        <w:rPr>
          <w:rFonts w:hint="eastAsia" w:ascii="宋体" w:hAnsi="宋体" w:eastAsia="宋体" w:cs="宋体"/>
          <w:b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域经济</w:t>
      </w:r>
      <w:r>
        <w:rPr>
          <w:rFonts w:hint="eastAsia" w:ascii="宋体" w:hAnsi="宋体" w:eastAsia="宋体" w:cs="宋体"/>
          <w:b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政策与</w:t>
      </w:r>
      <w:r>
        <w:rPr>
          <w:rFonts w:hint="eastAsia" w:ascii="宋体" w:hAnsi="宋体" w:eastAsia="宋体" w:cs="宋体"/>
          <w:b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可持续发展</w:t>
      </w:r>
    </w:p>
    <w:p w14:paraId="47DF8D31">
      <w:pPr>
        <w:widowControl w:val="0"/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本方向属于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区域和城市经济学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二级学科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致力于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培养熟练掌握区域经济学的前沿理论和专业知识，紧密结合实际，具备较高的学术素养和学术研究能力，从事区域经济学领域教学、科研和区域规划与管理等工作的高层次人才。主要研究领域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包括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区域经济理论与政策、城市与区域发展、空间经济与生态文明建设、区域产业集群与公共政策。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本方向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立足区域发展需求，围绕区域高质量发展，服务于国家战略和地方经济建设，从要素配置、生态文明和公共政策视角开展了深入研究，在资源有效利用、城市与区域发展、在区域经济规划、生态文明建设、区域公共政策等方向取得了一系列高端成果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形成了城市与区域发展、区域产业分析、区域生态文明建设、区域公共政策等具有鲜明特色的研究方向。</w:t>
      </w:r>
    </w:p>
    <w:p w14:paraId="015287AB">
      <w:pPr>
        <w:widowControl w:val="0"/>
        <w:numPr>
          <w:ilvl w:val="0"/>
          <w:numId w:val="0"/>
        </w:numPr>
        <w:spacing w:line="360" w:lineRule="auto"/>
        <w:ind w:firstLine="482" w:firstLineChars="200"/>
        <w:jc w:val="both"/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4.</w:t>
      </w:r>
      <w:r>
        <w:rPr>
          <w:rFonts w:hint="eastAsia" w:ascii="宋体" w:hAnsi="宋体" w:eastAsia="宋体" w:cs="宋体"/>
          <w:b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劳</w:t>
      </w:r>
      <w:r>
        <w:rPr>
          <w:rFonts w:hint="eastAsia" w:ascii="宋体" w:hAnsi="宋体" w:eastAsia="宋体" w:cs="宋体"/>
          <w:b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动与人口经济理论</w:t>
      </w:r>
      <w:r>
        <w:rPr>
          <w:rFonts w:hint="eastAsia" w:ascii="宋体" w:hAnsi="宋体" w:eastAsia="宋体" w:cs="宋体"/>
          <w:b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与</w:t>
      </w:r>
      <w:r>
        <w:rPr>
          <w:rFonts w:hint="eastAsia" w:ascii="宋体" w:hAnsi="宋体" w:eastAsia="宋体" w:cs="宋体"/>
          <w:b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政策</w:t>
      </w:r>
    </w:p>
    <w:p w14:paraId="2F6466E8"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本方向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属于劳动经济学二级学科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致力于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培养掌握劳动经济学领域前沿理论和专业知识，能够运用现代经济学研究方法，从事相关领域科学研究或劳动保障与人力资源管理的高层次人才。主要研究领域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包括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劳动与社会保障制度、劳动就业与收入分配、人力资本理论、人口与经济增长。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本方向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以劳动力供需动态调整为背景，主要研究生产要素投入的经济效益以及与此相关的社会经济问题，形成在劳动力市场形成机制、人口与经济增长关系、收入分配等方面的研究特色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呈现出独特的理论体系和实证研究方法。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方向聚焦现实问题，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其中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人力</w:t>
      </w:r>
      <w:r>
        <w:rPr>
          <w:rFonts w:hint="eastAsia" w:ascii="宋体" w:hAnsi="宋体" w:cs="宋体"/>
          <w:color w:val="0D0D0D" w:themeColor="text1" w:themeTint="F2"/>
          <w:sz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资源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与经济增长、健康经济与社会保障、劳动力流动与配置等方面的研究在国内外具有较强的学术影响力。</w:t>
      </w:r>
    </w:p>
    <w:p w14:paraId="63FB68E1">
      <w:pPr>
        <w:widowControl w:val="0"/>
        <w:numPr>
          <w:ilvl w:val="0"/>
          <w:numId w:val="0"/>
        </w:numPr>
        <w:spacing w:line="360" w:lineRule="auto"/>
        <w:ind w:firstLine="482" w:firstLineChars="200"/>
        <w:jc w:val="both"/>
        <w:rPr>
          <w:rFonts w:hint="eastAsia" w:ascii="宋体" w:hAnsi="宋体" w:eastAsia="宋体" w:cs="宋体"/>
          <w:color w:val="0D0D0D" w:themeColor="text1" w:themeTint="F2"/>
          <w:sz w:val="24"/>
          <w:highlight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5</w:t>
      </w:r>
      <w:r>
        <w:rPr>
          <w:rFonts w:hint="eastAsia" w:ascii="宋体" w:hAnsi="宋体" w:eastAsia="宋体" w:cs="宋体"/>
          <w:b/>
          <w:bCs/>
          <w:color w:val="0D0D0D" w:themeColor="text1" w:themeTint="F2"/>
          <w:sz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</w:t>
      </w:r>
      <w:r>
        <w:rPr>
          <w:rFonts w:hint="eastAsia" w:ascii="宋体" w:hAnsi="宋体" w:eastAsia="宋体" w:cs="宋体"/>
          <w:b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数据与经济统计应用研究</w:t>
      </w:r>
    </w:p>
    <w:p w14:paraId="407AF76C"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本方向属于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经济统计学和数量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经济学二级学科，主要培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养熟练掌握现代经济学理论和数量分析方法，将经济学、统计学、计算技术等相关学科知识有效融合，研究社会经济发展过程中的各种经济数量关系及其规律，从事宏微观经济分析与评价、宏微观经济管理等领域的高层次人才。主要研究领域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包括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经济数量分析方法与应用、数据科学与大数据技术的应用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新经济增长模型理论与分析、区域经济分析与评价、宏观经济大数据分析与应用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等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本方向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运用经济数学模型等相关方法，在新经济增长理论、国民经济核算、区域生态价值补偿、大数据挖掘等方面形成了鲜明特色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拥有一支精通数理模型和数量分析方法的高层次师资队伍。</w:t>
      </w:r>
    </w:p>
    <w:p w14:paraId="2738085A">
      <w:pPr>
        <w:spacing w:line="360" w:lineRule="auto"/>
        <w:ind w:firstLine="560" w:firstLineChars="200"/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四、学制及学习年限</w:t>
      </w:r>
    </w:p>
    <w:p w14:paraId="504F5B47">
      <w:pPr>
        <w:spacing w:line="360" w:lineRule="auto"/>
        <w:ind w:firstLine="480" w:firstLineChars="200"/>
        <w:rPr>
          <w:rFonts w:eastAsiaTheme="minorEastAsia"/>
          <w:i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本专业学制为</w:t>
      </w:r>
      <w:r>
        <w:rPr>
          <w:rFonts w:hint="eastAsia" w:eastAsia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5</w:t>
      </w:r>
      <w:r>
        <w:rPr>
          <w:rFonts w:eastAsia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年，在校最长学习年限（含休学）不超过8年。</w:t>
      </w:r>
    </w:p>
    <w:p w14:paraId="12884C4D">
      <w:pPr>
        <w:spacing w:line="360" w:lineRule="auto"/>
        <w:ind w:firstLine="560" w:firstLineChars="200"/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五、培养目标</w:t>
      </w:r>
    </w:p>
    <w:p w14:paraId="761F6CBC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/>
          <w:color w:val="0D0D0D" w:themeColor="text1" w:themeTint="F2"/>
          <w:kern w:val="0"/>
          <w:sz w:val="24"/>
          <w:highlight w:val="none"/>
          <w:u w:val="singl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cs="Times New Roman" w:eastAsiaTheme="minorEastAsia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培养学生</w:t>
      </w:r>
      <w:r>
        <w:rPr>
          <w:rFonts w:hint="eastAsia" w:ascii="Times New Roman" w:hAnsi="Times New Roman" w:cs="Times New Roman" w:eastAsia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具有坚实宽广的经济学科理论基础与专业知识，具备宽广的国际视野，系统掌握相关领域专业文献</w:t>
      </w:r>
      <w:r>
        <w:rPr>
          <w:rFonts w:hint="eastAsia" w:cs="Times New Roman" w:eastAsiaTheme="minorEastAsia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；</w:t>
      </w:r>
      <w:r>
        <w:rPr>
          <w:rFonts w:hint="eastAsia" w:ascii="Times New Roman" w:hAnsi="Times New Roman" w:cs="Times New Roman" w:eastAsia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跟踪学术前沿，深入了解国内外相关领域最新研究动态，能够创造性地提出新观点、理论、方法或创新性地利用最新研究成果解决重要的实际问题</w:t>
      </w:r>
      <w:r>
        <w:rPr>
          <w:rFonts w:hint="eastAsia" w:cs="Times New Roman" w:eastAsiaTheme="minorEastAsia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；</w:t>
      </w:r>
      <w:r>
        <w:rPr>
          <w:rFonts w:hint="eastAsia" w:ascii="Times New Roman" w:hAnsi="Times New Roman" w:cs="Times New Roman" w:eastAsia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具备在相关</w:t>
      </w:r>
      <w:r>
        <w:rPr>
          <w:rFonts w:hint="eastAsia" w:ascii="Times New Roman" w:hAnsi="Times New Roman" w:cs="Times New Roman" w:eastAsiaTheme="minorEastAsia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领域独立从事学术研究的能力。</w:t>
      </w:r>
    </w:p>
    <w:p w14:paraId="1FB79494"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1.树立正确的中国特色社会主义核心价值观，具有坚定的理想信念，高尚的道德情操，优良的学术作风，高度的社会责任感。</w:t>
      </w:r>
    </w:p>
    <w:p w14:paraId="19D9B4D3"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2.熟练掌握坚实宽厚的经济学理论、前沿研究方法和系统的专业知识，熟悉本研究方向前沿理论，把握最新的科研进展，具有独立从事经济学研究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和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解决实际问题的能力，并取得创新性成果。</w:t>
      </w:r>
    </w:p>
    <w:p w14:paraId="1D831B84"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3.至少掌握一门外语。能熟练阅读本专业外文资料，具有—定的国际论文写作和进行国际学术交流能力。</w:t>
      </w:r>
    </w:p>
    <w:p w14:paraId="5E8C9F81"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4.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掌握计算机应用知识和技能，精通计量经济学相关分析软件，及时跟踪前沿研究方法，并能熟练使用。</w:t>
      </w:r>
    </w:p>
    <w:p w14:paraId="0C65ED64"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5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.具有良好的团队意识和团队合作精神。</w:t>
      </w:r>
    </w:p>
    <w:p w14:paraId="138AC083"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6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.具有良好的心理素养。</w:t>
      </w:r>
    </w:p>
    <w:p w14:paraId="45DFF055"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7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.培养德智体美劳全面发展的社会主义事业接班人。</w:t>
      </w:r>
    </w:p>
    <w:p w14:paraId="0BC6C847">
      <w:pPr>
        <w:spacing w:line="360" w:lineRule="auto"/>
        <w:ind w:firstLine="560" w:firstLineChars="200"/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六、培养方式</w:t>
      </w:r>
    </w:p>
    <w:p w14:paraId="3D9AB013">
      <w:pPr>
        <w:spacing w:line="360" w:lineRule="auto"/>
        <w:ind w:firstLine="480" w:firstLineChars="200"/>
        <w:rPr>
          <w:sz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D0D0D" w:themeColor="text1" w:themeTint="F2"/>
          <w:spacing w:val="0"/>
          <w:w w:val="100"/>
          <w:sz w:val="24"/>
          <w:szCs w:val="24"/>
          <w:vertAlign w:val="baseli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1.</w:t>
      </w:r>
      <w:r>
        <w:rPr>
          <w:sz w:val="24"/>
        </w:rPr>
        <w:t>采取课程学习和论文研究工作相结合的方式，贯彻立德树人的培养理念，使学生系统掌握所在学科领域的理论知识，培养经世济民的责任担当以及分析问题和解决问题的能力。</w:t>
      </w:r>
    </w:p>
    <w:p w14:paraId="17DC2641">
      <w:pPr>
        <w:pStyle w:val="9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0D0D0D" w:themeColor="text1" w:themeTint="F2"/>
          <w:spacing w:val="0"/>
          <w:kern w:val="0"/>
          <w:sz w:val="24"/>
          <w:szCs w:val="24"/>
          <w:shd w:val="clear" w:fill="FFFFFF"/>
          <w:lang w:val="en-US" w:eastAsia="zh-CN"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cs="宋体"/>
          <w:i w:val="0"/>
          <w:iCs w:val="0"/>
          <w:caps w:val="0"/>
          <w:color w:val="0D0D0D" w:themeColor="text1" w:themeTint="F2"/>
          <w:spacing w:val="0"/>
          <w:kern w:val="0"/>
          <w:sz w:val="24"/>
          <w:szCs w:val="24"/>
          <w:shd w:val="clear" w:fill="FFFFFF"/>
          <w:lang w:val="en-US" w:eastAsia="zh-CN"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0D0D0D" w:themeColor="text1" w:themeTint="F2"/>
          <w:spacing w:val="0"/>
          <w:kern w:val="0"/>
          <w:sz w:val="24"/>
          <w:szCs w:val="24"/>
          <w:shd w:val="clear" w:fill="FFFFFF"/>
          <w:lang w:val="en-US" w:eastAsia="zh-CN"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实行导师负责制，导师是博士生培养的第一责任人，对博士生培养的全过程进行全方位针对性指导。学院加强培养环节的规范管理、全程监控、自我评估，把抓督查、抓执行贯穿管理全过程。</w:t>
      </w:r>
    </w:p>
    <w:p w14:paraId="32C34074">
      <w:pPr>
        <w:pStyle w:val="9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20"/>
        <w:jc w:val="both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D0D0D" w:themeColor="text1" w:themeTint="F2"/>
          <w:spacing w:val="0"/>
          <w:w w:val="100"/>
          <w:sz w:val="24"/>
          <w:szCs w:val="24"/>
          <w:vertAlign w:val="baseli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.导师根据硕士研究生的知识结构、能力水平、研究兴趣和发展取向，指导研究生制定个性化的培养计划，督促和检查研究生课程修读，指导研究生开展文献阅读、学术活动、社会实践、学位论文开题和中期检查等必修环节。</w:t>
      </w:r>
    </w:p>
    <w:p w14:paraId="45A237B1">
      <w:pPr>
        <w:pStyle w:val="9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cs="宋体"/>
          <w:i w:val="0"/>
          <w:iCs w:val="0"/>
          <w:caps w:val="0"/>
          <w:color w:val="0D0D0D" w:themeColor="text1" w:themeTint="F2"/>
          <w:spacing w:val="0"/>
          <w:kern w:val="0"/>
          <w:sz w:val="24"/>
          <w:szCs w:val="24"/>
          <w:highlight w:val="yellow"/>
          <w:shd w:val="clear" w:fill="FFFFFF"/>
          <w:lang w:val="en-US" w:eastAsia="zh-CN"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cs="宋体"/>
          <w:i w:val="0"/>
          <w:iCs w:val="0"/>
          <w:caps w:val="0"/>
          <w:color w:val="0D0D0D" w:themeColor="text1" w:themeTint="F2"/>
          <w:spacing w:val="0"/>
          <w:kern w:val="0"/>
          <w:sz w:val="24"/>
          <w:szCs w:val="24"/>
          <w:shd w:val="clear" w:fill="FFFFFF"/>
          <w:lang w:val="en-US" w:eastAsia="zh-CN"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D0D0D" w:themeColor="text1" w:themeTint="F2"/>
          <w:spacing w:val="0"/>
          <w:w w:val="100"/>
          <w:sz w:val="24"/>
          <w:szCs w:val="24"/>
          <w:vertAlign w:val="baseli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注重提升研究生思想政治素养，培养研究生学术创新能力和实践创新能力，增强研究生社会责任感，指导研究生恪守学术道德规范，优化研究生培养条件，注重对研究生人文关怀。</w:t>
      </w:r>
      <w:r>
        <w:rPr>
          <w:rFonts w:hint="eastAsia" w:ascii="宋体" w:hAnsi="宋体" w:eastAsia="宋体" w:cs="宋体"/>
          <w:i w:val="0"/>
          <w:iCs w:val="0"/>
          <w:caps w:val="0"/>
          <w:color w:val="0D0D0D" w:themeColor="text1" w:themeTint="F2"/>
          <w:spacing w:val="0"/>
          <w:kern w:val="0"/>
          <w:sz w:val="24"/>
          <w:szCs w:val="24"/>
          <w:shd w:val="clear" w:fill="FFFFFF"/>
          <w:lang w:val="en-US" w:eastAsia="zh-CN"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加强基础理论学习和学术交流研讨，</w:t>
      </w:r>
      <w:r>
        <w:rPr>
          <w:rFonts w:hint="default" w:ascii="宋体" w:hAnsi="宋体" w:eastAsia="宋体" w:cs="宋体"/>
          <w:i w:val="0"/>
          <w:iCs w:val="0"/>
          <w:caps w:val="0"/>
          <w:color w:val="0D0D0D" w:themeColor="text1" w:themeTint="F2"/>
          <w:spacing w:val="0"/>
          <w:kern w:val="0"/>
          <w:sz w:val="24"/>
          <w:szCs w:val="24"/>
          <w:shd w:val="clear" w:fill="FFFFFF"/>
          <w:lang w:val="en-US" w:eastAsia="zh-CN"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采取课程学习、科学研究、学术交流、社会实践、学位论文相结合的方式，重点培养博士生创新性科研能力。</w:t>
      </w:r>
    </w:p>
    <w:p w14:paraId="7F724F2B">
      <w:pPr>
        <w:spacing w:line="360" w:lineRule="auto"/>
        <w:ind w:firstLine="560" w:firstLineChars="200"/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七</w:t>
      </w:r>
      <w:r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、中期筛选</w:t>
      </w:r>
    </w:p>
    <w:p w14:paraId="7FB1693B">
      <w:pPr>
        <w:spacing w:line="360" w:lineRule="auto"/>
        <w:ind w:firstLine="480" w:firstLineChars="200"/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在完成培养方案规定的课程学习、考核成绩合格、获得规定的学分后，按照《河北大学研究生中期筛选管理办法》（校政字〔2021〕15号）的相关规定，组织开展中期筛选工作。</w:t>
      </w:r>
    </w:p>
    <w:p w14:paraId="27399640">
      <w:pPr>
        <w:spacing w:line="360" w:lineRule="auto"/>
        <w:ind w:firstLine="560" w:firstLineChars="200"/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八</w:t>
      </w:r>
      <w:r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、学位（毕业）论文</w:t>
      </w:r>
    </w:p>
    <w:p w14:paraId="692B7C9B">
      <w:pPr>
        <w:widowControl/>
        <w:spacing w:line="360" w:lineRule="auto"/>
        <w:ind w:firstLine="480"/>
        <w:jc w:val="left"/>
        <w:rPr>
          <w:i w:val="0"/>
          <w:iCs w:val="0"/>
          <w:color w:val="0D0D0D" w:themeColor="text1" w:themeTint="F2"/>
          <w:kern w:val="0"/>
          <w:sz w:val="18"/>
          <w:szCs w:val="1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bCs/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1.总体要求：</w:t>
      </w:r>
      <w:r>
        <w:rPr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按照《河北大学关于开展2025版研究生培养方案修订工作的指导意见》（校政字</w:t>
      </w:r>
      <w:r>
        <w:rPr>
          <w:rFonts w:eastAsiaTheme="minorEastAsia"/>
          <w:bCs/>
          <w:i w:val="0"/>
          <w:iCs w:val="0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〔2025〕9号</w:t>
      </w:r>
      <w:r>
        <w:rPr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）规定，博士研究生论文开题与答辩时间间隔原则上不少于18个月。学位（毕业）论文应当表明作者</w:t>
      </w:r>
      <w:r>
        <w:rPr>
          <w:rFonts w:eastAsiaTheme="minorEastAsia"/>
          <w:i w:val="0"/>
          <w:iCs w:val="0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具有独立从事学术研究工作的能力， 在学术研究领域做出创新性成果。</w:t>
      </w:r>
    </w:p>
    <w:p w14:paraId="7341E56E">
      <w:pPr>
        <w:widowControl/>
        <w:spacing w:line="360" w:lineRule="auto"/>
        <w:ind w:firstLine="480"/>
        <w:jc w:val="left"/>
        <w:rPr>
          <w:i w:val="0"/>
          <w:iCs w:val="0"/>
          <w:color w:val="0D0D0D" w:themeColor="text1" w:themeTint="F2"/>
          <w:kern w:val="0"/>
          <w:sz w:val="18"/>
          <w:szCs w:val="1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bCs/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2.开题：</w:t>
      </w:r>
      <w:r>
        <w:rPr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开题是研究生培养过程中开展学位（毕业）论文工作的首要环节，要求研究生充分阅读国内外相关文献，撰写开题报告。开题报告应包含文献综述、论文选题依据、研究方案、预期目标与成果、工作计划等关键问题。</w:t>
      </w:r>
    </w:p>
    <w:p w14:paraId="55923F13">
      <w:pPr>
        <w:widowControl/>
        <w:spacing w:line="360" w:lineRule="auto"/>
        <w:ind w:firstLine="480"/>
        <w:jc w:val="left"/>
        <w:rPr>
          <w:i w:val="0"/>
          <w:iCs w:val="0"/>
          <w:color w:val="0D0D0D" w:themeColor="text1" w:themeTint="F2"/>
          <w:kern w:val="0"/>
          <w:sz w:val="18"/>
          <w:szCs w:val="1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原则上在入学后第3学期（最迟不超过第4学期）完成开题。开题由3-5名具有正高级专业技术职务人员参加，以学术报告的方式进行。</w:t>
      </w:r>
    </w:p>
    <w:p w14:paraId="34E62FDC">
      <w:pPr>
        <w:widowControl/>
        <w:spacing w:line="360" w:lineRule="auto"/>
        <w:ind w:firstLine="480"/>
        <w:jc w:val="left"/>
        <w:rPr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bCs/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3.中期进展报告：</w:t>
      </w:r>
      <w:r>
        <w:rPr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中期进展报告是检查研究生个人综合能力及学位论文进展、指导研究生把握学位（毕业）论文方向、提高学位（毕业）论文质量的必要环节。中期进展报告原则上应在入学后第5学期进行；各导师组自行制定中期考核办法并组织考核。</w:t>
      </w:r>
    </w:p>
    <w:p w14:paraId="31F0E2B9">
      <w:pPr>
        <w:widowControl/>
        <w:spacing w:line="360" w:lineRule="auto"/>
        <w:ind w:firstLine="480"/>
        <w:jc w:val="left"/>
        <w:rPr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bCs/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4.学位申请：</w:t>
      </w:r>
      <w:r>
        <w:rPr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达到学位授予条件的申请人，经导师同意后，应于答辩前三个月，向所属学位评定分委员会提出学位申请，提交学位申请材料。</w:t>
      </w:r>
    </w:p>
    <w:p w14:paraId="112DAF08">
      <w:pPr>
        <w:widowControl/>
        <w:spacing w:line="360" w:lineRule="auto"/>
        <w:ind w:firstLine="480"/>
        <w:jc w:val="left"/>
        <w:rPr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bCs/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5.预答辩：</w:t>
      </w:r>
      <w:r>
        <w:rPr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学位申请人须进行学位论文预答辩。预答辩通过者，方可进入学位论文评阅、学位论文答辩等环节。学位（毕业）论文预答辩在正式答辩前3个月进行。</w:t>
      </w:r>
    </w:p>
    <w:p w14:paraId="12A7D677">
      <w:pPr>
        <w:widowControl/>
        <w:spacing w:line="360" w:lineRule="auto"/>
        <w:ind w:firstLine="480"/>
        <w:jc w:val="left"/>
        <w:rPr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bCs/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6.论文评阅：</w:t>
      </w:r>
      <w:r>
        <w:rPr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学位（毕业）论文在获得导师组认可，经培养单位形式审查合格，并通过预答辩，方可提出进入评阅程序的申请。论文评阅在正式答辩前40天由研究生提出，由培养单位依据相关规定进行匿名评审。评阅结果及异议处理按照《河北大学研究生学位论文或者实践成果评审管理办法》（校政字〔2025〕8号）执行。</w:t>
      </w:r>
    </w:p>
    <w:p w14:paraId="3C2CF6BB">
      <w:pPr>
        <w:widowControl/>
        <w:spacing w:line="360" w:lineRule="auto"/>
        <w:ind w:firstLine="480"/>
        <w:jc w:val="left"/>
        <w:rPr>
          <w:rFonts w:eastAsiaTheme="minorEastAsia"/>
          <w:i w:val="0"/>
          <w:iCs w:val="0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bCs/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7.答辩：学位（毕业）论文答辩按照</w:t>
      </w:r>
      <w:r>
        <w:rPr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《河北大学博士、硕士学位授予工作实施细则》（校政字〔2025〕7号）执行。</w:t>
      </w:r>
    </w:p>
    <w:p w14:paraId="41F9C7AB">
      <w:pPr>
        <w:spacing w:line="360" w:lineRule="auto"/>
        <w:ind w:firstLine="560" w:firstLineChars="200"/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九</w:t>
      </w:r>
      <w:r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、毕业条件</w:t>
      </w:r>
    </w:p>
    <w:p w14:paraId="1C733291">
      <w:pPr>
        <w:spacing w:line="360" w:lineRule="auto"/>
        <w:ind w:firstLine="480" w:firstLineChars="200"/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1. 课程学习。研究生在规定修业年限内完成培养方案规定的课程学习，考核成绩合格，获得规定的学分。</w:t>
      </w:r>
    </w:p>
    <w:p w14:paraId="28565A22">
      <w:pPr>
        <w:spacing w:line="360" w:lineRule="auto"/>
        <w:ind w:firstLine="480" w:firstLineChars="200"/>
        <w:rPr>
          <w:rFonts w:eastAsia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2. 学术活动。研究生</w:t>
      </w:r>
      <w:r>
        <w:rPr>
          <w:rFonts w:eastAsia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在读期间参加不少于</w:t>
      </w:r>
      <w:r>
        <w:rPr>
          <w:rFonts w:eastAsiaTheme="minorEastAsia"/>
          <w:i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15</w:t>
      </w:r>
      <w:r>
        <w:rPr>
          <w:rFonts w:eastAsia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次学术活动，并撰写学术报告小结；以主讲人或宣讲人身份，参加在校内外举行的学术报告或学术讲座不少于</w:t>
      </w:r>
      <w:r>
        <w:rPr>
          <w:rFonts w:eastAsiaTheme="minorEastAsia"/>
          <w:i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</w:t>
      </w:r>
      <w:r>
        <w:rPr>
          <w:rFonts w:eastAsia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次。</w:t>
      </w:r>
    </w:p>
    <w:p w14:paraId="0665BD69">
      <w:pPr>
        <w:spacing w:line="360" w:lineRule="auto"/>
        <w:ind w:firstLine="480" w:firstLineChars="200"/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3. 符合提前毕业条件的研究生，可按照学校相关规定</w:t>
      </w:r>
      <w:r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申请</w:t>
      </w:r>
      <w:r>
        <w:rPr>
          <w:rFonts w:eastAsia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提前毕业。</w:t>
      </w:r>
    </w:p>
    <w:p w14:paraId="67598F94">
      <w:pPr>
        <w:spacing w:line="360" w:lineRule="auto"/>
        <w:ind w:firstLine="480" w:firstLineChars="200"/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4. 论文答辩。学位（毕业）论文经专家评审合格、通过学位（毕业）答辩，符合毕业资格审查后，准予毕业。</w:t>
      </w:r>
    </w:p>
    <w:p w14:paraId="213DFC6A">
      <w:pPr>
        <w:spacing w:line="360" w:lineRule="auto"/>
        <w:ind w:firstLine="560" w:firstLineChars="200"/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十</w:t>
      </w:r>
      <w:r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、创新性成果</w:t>
      </w:r>
    </w:p>
    <w:p w14:paraId="36EE6A0D">
      <w:pPr>
        <w:spacing w:line="440" w:lineRule="exact"/>
        <w:ind w:firstLine="480" w:firstLineChars="200"/>
        <w:rPr>
          <w:rFonts w:hint="eastAsia" w:ascii="Times New Roman" w:hAnsi="Times New Roman" w:cs="Times New Roman" w:eastAsiaTheme="minorEastAsia"/>
          <w:b w:val="0"/>
          <w:bCs/>
          <w:color w:val="0D0D0D" w:themeColor="text1" w:themeTint="F2"/>
          <w:sz w:val="24"/>
          <w:highlight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Theme="minorEastAsia"/>
          <w:b w:val="0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详见</w:t>
      </w:r>
      <w:r>
        <w:rPr>
          <w:rFonts w:hint="eastAsia" w:ascii="Times New Roman" w:hAnsi="Times New Roman" w:cs="Times New Roman" w:eastAsiaTheme="minorEastAsia"/>
          <w:b w:val="0"/>
          <w:bCs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经济学院关于研究生申请学位取得创新性成果的规定</w:t>
      </w:r>
      <w:r>
        <w:rPr>
          <w:rFonts w:hint="eastAsia" w:cs="Times New Roman" w:eastAsiaTheme="minorEastAsia"/>
          <w:b w:val="0"/>
          <w:bCs/>
          <w:color w:val="0D0D0D" w:themeColor="text1" w:themeTint="F2"/>
          <w:sz w:val="24"/>
          <w:highlight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 w14:paraId="49735F0B">
      <w:pPr>
        <w:spacing w:line="360" w:lineRule="auto"/>
        <w:ind w:firstLine="560" w:firstLineChars="200"/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十一、学位授予</w:t>
      </w:r>
    </w:p>
    <w:p w14:paraId="3E904118">
      <w:pPr>
        <w:spacing w:line="360" w:lineRule="auto"/>
        <w:ind w:firstLine="480" w:firstLineChars="200"/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研究生通过毕业资格审查，</w:t>
      </w:r>
      <w:r>
        <w:rPr>
          <w:rFonts w:ascii="Times New Roman" w:hAnsi="Times New Roman" w:cs="Times New Roman"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满足本学院制定的</w:t>
      </w:r>
      <w:r>
        <w:rPr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创新性成果要求，</w:t>
      </w:r>
      <w:r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符合</w:t>
      </w:r>
      <w:r>
        <w:rPr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《河北大学博士、硕士学位授予工作实施细则》（校政字〔2025〕7号）</w:t>
      </w:r>
      <w:r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的有关规定，达到学校学位授予标准，经学校学位评定委员会审议，授予博士学位。</w:t>
      </w:r>
    </w:p>
    <w:p w14:paraId="63E38DE7">
      <w:pPr>
        <w:spacing w:line="360" w:lineRule="auto"/>
        <w:ind w:firstLine="560" w:firstLineChars="200"/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十</w:t>
      </w:r>
      <w:r>
        <w:rPr>
          <w:rFonts w:hint="eastAsia"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二</w:t>
      </w:r>
      <w:r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、学分及课程设置</w:t>
      </w:r>
    </w:p>
    <w:p w14:paraId="159CC60F">
      <w:pPr>
        <w:spacing w:line="360" w:lineRule="auto"/>
        <w:ind w:firstLine="480" w:firstLineChars="200"/>
        <w:rPr>
          <w:rFonts w:hint="eastAsia" w:ascii="宋体" w:hAnsi="宋体" w:eastAsia="宋体"/>
          <w:color w:val="0D0D0D" w:themeColor="text1" w:themeTint="F2"/>
          <w:sz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本专业最低毕业学分为</w:t>
      </w:r>
      <w:r>
        <w:rPr>
          <w:rFonts w:hint="eastAsia" w:eastAsiaTheme="minorEastAsia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28</w:t>
      </w:r>
      <w:r>
        <w:rPr>
          <w:rFonts w:eastAsia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分，其中学位课</w:t>
      </w:r>
      <w:r>
        <w:rPr>
          <w:rFonts w:hint="eastAsia" w:eastAsiaTheme="minorEastAsia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16</w:t>
      </w:r>
      <w:r>
        <w:rPr>
          <w:rFonts w:eastAsia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学分，非学位课</w:t>
      </w:r>
      <w:r>
        <w:rPr>
          <w:rFonts w:hint="eastAsia" w:eastAsiaTheme="minorEastAsia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10</w:t>
      </w:r>
      <w:r>
        <w:rPr>
          <w:rFonts w:eastAsia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学分，必修环节</w:t>
      </w:r>
      <w:r>
        <w:rPr>
          <w:rFonts w:hint="eastAsia" w:eastAsiaTheme="minorEastAsia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</w:t>
      </w:r>
      <w:r>
        <w:rPr>
          <w:rFonts w:eastAsia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分。</w:t>
      </w:r>
      <w:r>
        <w:rPr>
          <w:rFonts w:hint="eastAsia" w:ascii="宋体" w:hAnsi="宋体" w:eastAsia="宋体"/>
          <w:color w:val="0D0D0D" w:themeColor="text1" w:themeTint="F2"/>
          <w:sz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本科直博学生在正式进入博士学习之前，至少跟读3门博士阶段开设的方向选修课，并参与结课考核，考试或考察合格后等同获得相应学分。</w:t>
      </w:r>
    </w:p>
    <w:p w14:paraId="13E29626">
      <w:pPr>
        <w:spacing w:line="360" w:lineRule="auto"/>
        <w:rPr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  课程考试不设补考环节，</w:t>
      </w:r>
      <w:r>
        <w:rPr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考试成绩低于60分的需重修。</w:t>
      </w:r>
    </w:p>
    <w:p w14:paraId="69A02996">
      <w:pPr>
        <w:spacing w:line="360" w:lineRule="auto"/>
        <w:rPr>
          <w:rFonts w:eastAsiaTheme="minorEastAsia"/>
          <w:i w:val="0"/>
          <w:i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i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</w:t>
      </w:r>
      <w:r>
        <w:rPr>
          <w:i w:val="0"/>
          <w:i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  课程考核方式包括考试和考查，</w:t>
      </w:r>
      <w:r>
        <w:rPr>
          <w:rFonts w:eastAsiaTheme="minorEastAsia"/>
          <w:i w:val="0"/>
          <w:i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可以采用口试、笔试或写读书报告、论文的形式，但应有—定数量的笔试（各专业根据实际情况填写）。无论采取何种考核方式，均应能真实反映学生对所学课程掌握的程度及运用知识的能力。</w:t>
      </w:r>
    </w:p>
    <w:p w14:paraId="2272531D">
      <w:pPr>
        <w:spacing w:after="156" w:afterLines="50" w:line="440" w:lineRule="exact"/>
        <w:ind w:firstLine="482" w:firstLineChars="200"/>
        <w:jc w:val="center"/>
        <w:rPr>
          <w:rFonts w:eastAsiaTheme="minorEastAsia"/>
          <w:b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599637CE">
      <w:pPr>
        <w:spacing w:after="156" w:afterLines="50" w:line="440" w:lineRule="exact"/>
        <w:ind w:firstLine="482" w:firstLineChars="200"/>
        <w:jc w:val="center"/>
        <w:rPr>
          <w:rFonts w:eastAsiaTheme="minorEastAsia"/>
          <w:b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0E273DFD">
      <w:pPr>
        <w:spacing w:after="156" w:afterLines="50" w:line="440" w:lineRule="exact"/>
        <w:ind w:firstLine="482" w:firstLineChars="200"/>
        <w:jc w:val="center"/>
        <w:rPr>
          <w:rFonts w:eastAsiaTheme="minorEastAsia"/>
          <w:b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2554EF0F">
      <w:pPr>
        <w:spacing w:after="156" w:afterLines="50" w:line="440" w:lineRule="exact"/>
        <w:ind w:firstLine="482" w:firstLineChars="200"/>
        <w:jc w:val="center"/>
        <w:rPr>
          <w:rFonts w:eastAsiaTheme="minorEastAsia"/>
          <w:b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31D99619">
      <w:pPr>
        <w:spacing w:after="156" w:afterLines="50" w:line="440" w:lineRule="exact"/>
        <w:ind w:firstLine="482" w:firstLineChars="200"/>
        <w:jc w:val="center"/>
        <w:rPr>
          <w:rFonts w:eastAsiaTheme="minorEastAsia"/>
          <w:b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eastAsiaTheme="minorEastAsia"/>
          <w:b/>
          <w:bCs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应用经济学</w:t>
      </w:r>
      <w:r>
        <w:rPr>
          <w:rFonts w:eastAsiaTheme="minorEastAsia"/>
          <w:b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专业学术学位博士研究生课程及培养环节设置一览表</w:t>
      </w:r>
    </w:p>
    <w:tbl>
      <w:tblPr>
        <w:tblStyle w:val="11"/>
        <w:tblW w:w="88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1226"/>
        <w:gridCol w:w="3516"/>
        <w:gridCol w:w="1081"/>
        <w:gridCol w:w="709"/>
        <w:gridCol w:w="709"/>
        <w:gridCol w:w="1045"/>
      </w:tblGrid>
      <w:tr w14:paraId="40A65E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1797" w:type="dxa"/>
            <w:gridSpan w:val="2"/>
            <w:vAlign w:val="center"/>
          </w:tcPr>
          <w:p w14:paraId="35FE2923">
            <w:pPr>
              <w:jc w:val="center"/>
              <w:rPr>
                <w:b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课程类别</w:t>
            </w:r>
          </w:p>
        </w:tc>
        <w:tc>
          <w:tcPr>
            <w:tcW w:w="3516" w:type="dxa"/>
            <w:vAlign w:val="center"/>
          </w:tcPr>
          <w:p w14:paraId="216E2DCF">
            <w:pPr>
              <w:jc w:val="center"/>
              <w:rPr>
                <w:b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课程说明</w:t>
            </w:r>
          </w:p>
        </w:tc>
        <w:tc>
          <w:tcPr>
            <w:tcW w:w="1081" w:type="dxa"/>
            <w:vAlign w:val="center"/>
          </w:tcPr>
          <w:p w14:paraId="521E134E">
            <w:pPr>
              <w:jc w:val="center"/>
              <w:rPr>
                <w:b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课程编号</w:t>
            </w:r>
          </w:p>
        </w:tc>
        <w:tc>
          <w:tcPr>
            <w:tcW w:w="709" w:type="dxa"/>
            <w:vAlign w:val="center"/>
          </w:tcPr>
          <w:p w14:paraId="209225D8">
            <w:pPr>
              <w:jc w:val="center"/>
              <w:rPr>
                <w:b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学分</w:t>
            </w:r>
          </w:p>
        </w:tc>
        <w:tc>
          <w:tcPr>
            <w:tcW w:w="709" w:type="dxa"/>
            <w:vAlign w:val="center"/>
          </w:tcPr>
          <w:p w14:paraId="7C747C2B">
            <w:pPr>
              <w:jc w:val="center"/>
              <w:rPr>
                <w:b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学期</w:t>
            </w:r>
          </w:p>
        </w:tc>
        <w:tc>
          <w:tcPr>
            <w:tcW w:w="1045" w:type="dxa"/>
            <w:vAlign w:val="center"/>
          </w:tcPr>
          <w:p w14:paraId="4417DC95">
            <w:pPr>
              <w:jc w:val="center"/>
              <w:rPr>
                <w:b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备注</w:t>
            </w:r>
          </w:p>
        </w:tc>
      </w:tr>
      <w:tr w14:paraId="2951328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71" w:type="dxa"/>
            <w:vMerge w:val="restart"/>
            <w:vAlign w:val="center"/>
          </w:tcPr>
          <w:p w14:paraId="5A618101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学位课</w:t>
            </w:r>
          </w:p>
        </w:tc>
        <w:tc>
          <w:tcPr>
            <w:tcW w:w="1226" w:type="dxa"/>
            <w:vMerge w:val="restart"/>
            <w:vAlign w:val="center"/>
          </w:tcPr>
          <w:p w14:paraId="1391B9F3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公共必修课</w:t>
            </w:r>
          </w:p>
          <w:p w14:paraId="3DB017AA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</w:t>
            </w:r>
            <w:r>
              <w:rPr>
                <w:rFonts w:hint="eastAsia"/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  <w: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学分）</w:t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247C3E4D">
            <w:pPr>
              <w:jc w:val="left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中国马克思主义与当代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169D36A7">
            <w:pPr>
              <w:jc w:val="center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TB0000001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0D4EDEC">
            <w:pPr>
              <w:jc w:val="center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F7EF6D">
            <w:pPr>
              <w:jc w:val="center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2729C786">
            <w:pPr>
              <w:jc w:val="center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考查</w:t>
            </w:r>
          </w:p>
        </w:tc>
      </w:tr>
      <w:tr w14:paraId="5963B6D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71" w:type="dxa"/>
            <w:vMerge w:val="continue"/>
            <w:vAlign w:val="center"/>
          </w:tcPr>
          <w:p w14:paraId="1732EB83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54F7C22E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22CC1DEF">
            <w:pPr>
              <w:jc w:val="left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学术英语阅读与写作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3DBB64C2">
            <w:pPr>
              <w:jc w:val="center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TB000000</w:t>
            </w:r>
            <w:r>
              <w:rPr>
                <w:rFonts w:hint="eastAsia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30AE63">
            <w:pPr>
              <w:jc w:val="center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50C6C6">
            <w:pPr>
              <w:jc w:val="center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5AE04924">
            <w:pPr>
              <w:jc w:val="center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考查</w:t>
            </w:r>
          </w:p>
        </w:tc>
      </w:tr>
      <w:tr w14:paraId="095D91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4D695A5A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56654A20">
            <w:pPr>
              <w:jc w:val="center"/>
              <w:rPr>
                <w:b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学科基础课</w:t>
            </w:r>
          </w:p>
          <w:p w14:paraId="53E12F39">
            <w:pPr>
              <w:jc w:val="center"/>
              <w:rPr>
                <w:b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</w:t>
            </w:r>
            <w:r>
              <w:rPr>
                <w:rFonts w:hint="eastAsia"/>
                <w:b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</w:t>
            </w:r>
            <w:r>
              <w:rPr>
                <w:b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学分）</w:t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10F7C792">
            <w:pPr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学术道德与论文写作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6421649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0307001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9EE684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C701E1A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1DB82CC3">
            <w:pPr>
              <w:jc w:val="center"/>
              <w:rPr>
                <w:rFonts w:hint="default" w:ascii="Times New Roman" w:hAnsi="Times New Roman" w:eastAsia="宋体" w:cs="Times New Roman"/>
                <w:i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考查</w:t>
            </w:r>
          </w:p>
        </w:tc>
      </w:tr>
      <w:tr w14:paraId="1B60A0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71" w:type="dxa"/>
            <w:vMerge w:val="continue"/>
            <w:vAlign w:val="center"/>
          </w:tcPr>
          <w:p w14:paraId="5B762436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03409A26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0A18A8D2">
            <w:pPr>
              <w:spacing w:line="360" w:lineRule="auto"/>
              <w:jc w:val="left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高级计量经济学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448AC2D2"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030700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BF03A9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i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9E6867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i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5AAA20BD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i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考试</w:t>
            </w:r>
          </w:p>
        </w:tc>
      </w:tr>
      <w:tr w14:paraId="369977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71" w:type="dxa"/>
            <w:vMerge w:val="continue"/>
            <w:vAlign w:val="center"/>
          </w:tcPr>
          <w:p w14:paraId="21230E72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554E509A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193099FB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宋体" w:hAnsi="宋体" w:cs="宋体"/>
                <w:color w:val="0D0D0D" w:themeColor="text1" w:themeTint="F2"/>
                <w:sz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数据挖掘与机器学习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3ED7C304"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030700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A080DF"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9D9CCF"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3C500976"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考试</w:t>
            </w:r>
          </w:p>
        </w:tc>
      </w:tr>
      <w:tr w14:paraId="4498FB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0CC92DAB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0112F7B5">
            <w:pPr>
              <w:jc w:val="center"/>
              <w:rPr>
                <w:b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专业必修课</w:t>
            </w:r>
          </w:p>
          <w:p w14:paraId="64CE925F">
            <w:pPr>
              <w:jc w:val="center"/>
              <w:rPr>
                <w:b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</w:t>
            </w:r>
            <w:r>
              <w:rPr>
                <w:rFonts w:hint="eastAsia"/>
                <w:b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</w:t>
            </w:r>
            <w:r>
              <w:rPr>
                <w:b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学分）</w:t>
            </w:r>
          </w:p>
        </w:tc>
        <w:tc>
          <w:tcPr>
            <w:tcW w:w="3516" w:type="dxa"/>
            <w:vAlign w:val="center"/>
          </w:tcPr>
          <w:p w14:paraId="1DBE7B56">
            <w:pPr>
              <w:spacing w:line="360" w:lineRule="auto"/>
              <w:jc w:val="left"/>
              <w:rPr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高级微观经济学 </w:t>
            </w:r>
          </w:p>
        </w:tc>
        <w:tc>
          <w:tcPr>
            <w:tcW w:w="1081" w:type="dxa"/>
            <w:vAlign w:val="center"/>
          </w:tcPr>
          <w:p w14:paraId="6A2D45E7">
            <w:pPr>
              <w:spacing w:line="360" w:lineRule="auto"/>
              <w:jc w:val="center"/>
              <w:rPr>
                <w:rFonts w:hint="default"/>
                <w:color w:val="0D0D0D" w:themeColor="text1" w:themeTint="F2"/>
                <w:sz w:val="18"/>
                <w:szCs w:val="18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030700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709" w:type="dxa"/>
            <w:vAlign w:val="center"/>
          </w:tcPr>
          <w:p w14:paraId="2BB43139">
            <w:pPr>
              <w:spacing w:line="360" w:lineRule="auto"/>
              <w:jc w:val="center"/>
              <w:rPr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709" w:type="dxa"/>
            <w:vAlign w:val="center"/>
          </w:tcPr>
          <w:p w14:paraId="1886450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1045" w:type="dxa"/>
            <w:vAlign w:val="center"/>
          </w:tcPr>
          <w:p w14:paraId="62508E45">
            <w:pPr>
              <w:spacing w:line="360" w:lineRule="auto"/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考试</w:t>
            </w:r>
          </w:p>
        </w:tc>
      </w:tr>
      <w:tr w14:paraId="45949A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7E351FE7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27B4FA6">
            <w:pPr>
              <w:jc w:val="center"/>
              <w:rPr>
                <w:b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382BFBF5">
            <w:pPr>
              <w:spacing w:line="360" w:lineRule="auto"/>
              <w:jc w:val="left"/>
              <w:rPr>
                <w:rFonts w:hint="eastAsia" w:ascii="Times New Roman" w:hAnsi="Times New Roman" w:eastAsia="宋体" w:cs="Times New Roman"/>
                <w:color w:val="0D0D0D" w:themeColor="text1" w:themeTint="F2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高级宏观经济学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4E857533"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030700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E7E6C9"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0D0D0D" w:themeColor="text1" w:themeTint="F2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A7989C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5E193C34"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考试</w:t>
            </w:r>
          </w:p>
        </w:tc>
      </w:tr>
      <w:tr w14:paraId="02A895F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571" w:type="dxa"/>
            <w:vMerge w:val="restart"/>
            <w:vAlign w:val="center"/>
          </w:tcPr>
          <w:p w14:paraId="23B048AD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非学位课</w:t>
            </w:r>
          </w:p>
        </w:tc>
        <w:tc>
          <w:tcPr>
            <w:tcW w:w="1226" w:type="dxa"/>
            <w:vMerge w:val="restart"/>
            <w:vAlign w:val="center"/>
          </w:tcPr>
          <w:p w14:paraId="67C28E8D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公共通识课</w:t>
            </w:r>
          </w:p>
          <w:p w14:paraId="4B2CED8B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（2学分）</w:t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1F9D7603">
            <w:pPr>
              <w:jc w:val="left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《习近平谈治国理政》研读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294D88A6">
            <w:pPr>
              <w:jc w:val="center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TT0000101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D72AA0">
            <w:pPr>
              <w:jc w:val="center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D1F5C7">
            <w:pPr>
              <w:jc w:val="center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59EA72CF">
            <w:pPr>
              <w:jc w:val="center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考查</w:t>
            </w:r>
          </w:p>
        </w:tc>
      </w:tr>
      <w:tr w14:paraId="3987BE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571" w:type="dxa"/>
            <w:vMerge w:val="continue"/>
            <w:vAlign w:val="center"/>
          </w:tcPr>
          <w:p w14:paraId="7C045FB1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3BEC7576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55EF3BFE">
            <w:pPr>
              <w:jc w:val="left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马克思恩格斯列宁经典著作选读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24F9F2BD">
            <w:pPr>
              <w:jc w:val="center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TB000010</w:t>
            </w:r>
            <w:r>
              <w:rPr>
                <w:rFonts w:hint="eastAsia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4317A3">
            <w:pPr>
              <w:jc w:val="center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266345">
            <w:pPr>
              <w:jc w:val="center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624F9BEC">
            <w:pPr>
              <w:jc w:val="center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考查</w:t>
            </w:r>
          </w:p>
        </w:tc>
      </w:tr>
      <w:tr w14:paraId="4A2BE1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1A65666E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shd w:val="clear" w:color="auto" w:fill="auto"/>
            <w:vAlign w:val="center"/>
          </w:tcPr>
          <w:p w14:paraId="68A2DABC">
            <w:pPr>
              <w:adjustRightInd w:val="0"/>
              <w:snapToGrid w:val="0"/>
              <w:spacing w:line="240" w:lineRule="auto"/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国际经济理论与政策方向</w:t>
            </w:r>
            <w: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选修课</w:t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31573CBC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国际经济学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2ED1929F">
            <w:pPr>
              <w:spacing w:line="360" w:lineRule="auto"/>
              <w:jc w:val="center"/>
              <w:rPr>
                <w:rFonts w:hint="eastAsia" w:ascii="宋体" w:hAnsi="宋体" w:eastAsia="宋体" w:cs="宋体"/>
                <w:i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4E4B1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B074B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1045" w:type="dxa"/>
            <w:vMerge w:val="restart"/>
            <w:shd w:val="clear" w:color="auto" w:fill="auto"/>
            <w:vAlign w:val="center"/>
          </w:tcPr>
          <w:p w14:paraId="485454A3">
            <w:pPr>
              <w:adjustRightInd w:val="0"/>
              <w:snapToGrid w:val="0"/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本方向研究生至少选修</w:t>
            </w:r>
          </w:p>
          <w:p w14:paraId="0EEF163F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学分</w:t>
            </w:r>
          </w:p>
        </w:tc>
      </w:tr>
      <w:tr w14:paraId="705A00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5DF8C594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40ECFD0C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6D00478C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国际贸易学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165D7C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E14AA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ABCEF18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6943A2F1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59F798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571" w:type="dxa"/>
            <w:vMerge w:val="continue"/>
          </w:tcPr>
          <w:p w14:paraId="130BFEB7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27A4CB42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298EE56F">
            <w:pPr>
              <w:rPr>
                <w:rFonts w:hint="eastAsia" w:ascii="宋体" w:hAnsi="宋体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宋体" w:hAnsi="宋体" w:eastAsia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国际</w:t>
            </w:r>
            <w:r>
              <w:rPr>
                <w:rFonts w:hint="eastAsia" w:ascii="宋体" w:hAnsi="宋体" w:eastAsia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经济</w:t>
            </w:r>
            <w:r>
              <w:rPr>
                <w:rFonts w:ascii="宋体" w:hAnsi="宋体" w:eastAsia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前沿问题研究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25A5EBC0">
            <w:pPr>
              <w:jc w:val="center"/>
              <w:rPr>
                <w:rFonts w:hint="eastAsia" w:ascii="Times New Roman" w:hAnsi="Times New Roman" w:eastAsia="Times New Roman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0307202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6EEEEF">
            <w:pPr>
              <w:jc w:val="center"/>
              <w:rPr>
                <w:rFonts w:hint="eastAsia" w:ascii="Times New Roman" w:hAnsi="Times New Roman" w:eastAsia="Times New Roman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Times New Roman" w:hAnsi="Times New Roman" w:eastAsia="Times New Roman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1FF517">
            <w:pPr>
              <w:jc w:val="center"/>
              <w:rPr>
                <w:rFonts w:hint="default"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02B6FFF5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3356F5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571" w:type="dxa"/>
            <w:vMerge w:val="continue"/>
          </w:tcPr>
          <w:p w14:paraId="49F02A40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5E0A1EF0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1CFE70E7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日本经济专题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335D5941">
            <w:pPr>
              <w:spacing w:line="360" w:lineRule="auto"/>
              <w:jc w:val="center"/>
              <w:rPr>
                <w:rFonts w:hint="eastAsia" w:ascii="宋体" w:hAnsi="宋体" w:eastAsia="宋体" w:cs="宋体"/>
                <w:i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030720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4F01E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5555F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41B4F26E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5B1F45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571" w:type="dxa"/>
            <w:vMerge w:val="continue"/>
          </w:tcPr>
          <w:p w14:paraId="2A4F3A0F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6FBA1408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22EF2A82">
            <w:pPr>
              <w:rPr>
                <w:rFonts w:ascii="宋体" w:hAnsi="宋体" w:eastAsia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Cs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数字贸易与全球价值链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7C522A5A">
            <w:pPr>
              <w:jc w:val="center"/>
              <w:rPr>
                <w:rFonts w:hint="eastAsia" w:ascii="Times New Roman" w:hAnsi="Times New Roman" w:eastAsia="Times New Roman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030720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A0B75F">
            <w:pPr>
              <w:jc w:val="center"/>
              <w:rPr>
                <w:rFonts w:hint="eastAsia" w:ascii="Times New Roman" w:hAnsi="Times New Roman" w:eastAsia="Times New Roman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Times New Roman" w:hAnsi="Times New Roman" w:eastAsia="Times New Roman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6D3F1E">
            <w:pPr>
              <w:jc w:val="center"/>
              <w:rPr>
                <w:rFonts w:hint="eastAsia"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075221E3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193B8F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57593E72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shd w:val="clear" w:color="auto" w:fill="auto"/>
            <w:vAlign w:val="center"/>
          </w:tcPr>
          <w:p w14:paraId="07A22120">
            <w:pPr>
              <w:adjustRightInd w:val="0"/>
              <w:snapToGrid w:val="0"/>
              <w:spacing w:line="240" w:lineRule="auto"/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金融市场与制度创新方向</w:t>
            </w:r>
            <w: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选修课</w:t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799F134B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金融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2F6EF47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0302102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940B3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583BE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1045" w:type="dxa"/>
            <w:vMerge w:val="restart"/>
            <w:shd w:val="clear" w:color="auto" w:fill="auto"/>
            <w:vAlign w:val="center"/>
          </w:tcPr>
          <w:p w14:paraId="2C6496CC">
            <w:pPr>
              <w:adjustRightInd w:val="0"/>
              <w:snapToGrid w:val="0"/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本方向研究生至少选修</w:t>
            </w:r>
          </w:p>
          <w:p w14:paraId="28E20FD7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学分</w:t>
            </w:r>
          </w:p>
        </w:tc>
      </w:tr>
      <w:tr w14:paraId="7401259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09B6805F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26DA2106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1FF5CF4A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金融理论与研究方法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B30616C">
            <w:pPr>
              <w:spacing w:line="360" w:lineRule="auto"/>
              <w:jc w:val="center"/>
              <w:rPr>
                <w:rFonts w:hint="eastAsia" w:ascii="宋体" w:hAnsi="宋体" w:eastAsia="宋体" w:cs="宋体"/>
                <w:i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030720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2CC563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A155F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7853F1EB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394219E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51B86CE9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05EDDD32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6D45DC33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宋体" w:hAnsi="宋体" w:eastAsia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金融市场与证券投资分析</w:t>
            </w:r>
            <w:r>
              <w:rPr>
                <w:rFonts w:ascii="Times New Roman" w:hAnsi="Times New Roman" w:eastAsia="Times New Roman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117EE5C7">
            <w:pPr>
              <w:spacing w:line="360" w:lineRule="auto"/>
              <w:jc w:val="center"/>
              <w:rPr>
                <w:rFonts w:hint="eastAsia" w:ascii="宋体" w:hAnsi="宋体" w:eastAsia="宋体" w:cs="宋体"/>
                <w:i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030720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603473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1715C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4A3FF0B2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3755D8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1FC461CB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52E70AF4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78ADAA58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国际金融专题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2BD1899D">
            <w:pPr>
              <w:spacing w:line="360" w:lineRule="auto"/>
              <w:jc w:val="center"/>
              <w:rPr>
                <w:rFonts w:hint="eastAsia" w:ascii="宋体" w:hAnsi="宋体" w:eastAsia="宋体" w:cs="宋体"/>
                <w:i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030720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46C3C0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FE5AB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29DE3DBB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703F88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7A842C61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2BEEEB4B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10872E64">
            <w:pPr>
              <w:spacing w:line="360" w:lineRule="auto"/>
              <w:jc w:val="left"/>
              <w:rPr>
                <w:rFonts w:ascii="宋体" w:hAnsi="宋体" w:eastAsia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金融计量经济学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63C12BC4">
            <w:pPr>
              <w:spacing w:line="360" w:lineRule="auto"/>
              <w:jc w:val="center"/>
              <w:rPr>
                <w:rFonts w:hint="eastAsia" w:ascii="宋体" w:hAnsi="宋体" w:eastAsia="宋体" w:cs="宋体"/>
                <w:i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030720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42FC1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7CEA6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591E9530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5064269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43F6F21B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shd w:val="clear" w:color="auto" w:fill="auto"/>
            <w:vAlign w:val="center"/>
          </w:tcPr>
          <w:p w14:paraId="2B92DE9A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0D0D0D" w:themeColor="text1" w:themeTint="F2"/>
                <w:sz w:val="18"/>
                <w:szCs w:val="18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区域经济政策与可持续发展</w:t>
            </w:r>
            <w:r>
              <w:rPr>
                <w:rFonts w:hint="eastAsia" w:ascii="宋体" w:hAnsi="宋体" w:eastAsia="宋体" w:cs="宋体"/>
                <w:b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方</w:t>
            </w:r>
            <w:r>
              <w:rPr>
                <w:rFonts w:hint="eastAsia" w:ascii="宋体" w:hAnsi="宋体" w:eastAsia="宋体" w:cs="宋体"/>
                <w:b/>
                <w:color w:val="0D0D0D" w:themeColor="text1" w:themeTint="F2"/>
                <w:sz w:val="18"/>
                <w:szCs w:val="18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向</w:t>
            </w:r>
          </w:p>
          <w:p w14:paraId="491B86A2">
            <w:pPr>
              <w:adjustRightInd w:val="0"/>
              <w:snapToGrid w:val="0"/>
              <w:spacing w:line="240" w:lineRule="auto"/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选修课</w:t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2868CFB1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区域经济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7EBCE68">
            <w:pPr>
              <w:spacing w:line="360" w:lineRule="auto"/>
              <w:jc w:val="center"/>
              <w:rPr>
                <w:rFonts w:hint="eastAsia" w:ascii="宋体" w:hAnsi="宋体" w:eastAsia="宋体" w:cs="宋体"/>
                <w:i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0307103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6B565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BEEA9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1045" w:type="dxa"/>
            <w:vMerge w:val="restart"/>
            <w:shd w:val="clear" w:color="auto" w:fill="auto"/>
            <w:vAlign w:val="center"/>
          </w:tcPr>
          <w:p w14:paraId="5381C8FB">
            <w:pPr>
              <w:adjustRightInd w:val="0"/>
              <w:snapToGrid w:val="0"/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本方向研究生至少选修</w:t>
            </w:r>
          </w:p>
          <w:p w14:paraId="463D04F3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学分</w:t>
            </w:r>
          </w:p>
        </w:tc>
      </w:tr>
      <w:tr w14:paraId="5472714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30A5E8D1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0B3B8C08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572CDADB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区域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经济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发展与城市群问题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62FBACB1">
            <w:pPr>
              <w:spacing w:line="360" w:lineRule="auto"/>
              <w:jc w:val="center"/>
              <w:rPr>
                <w:rFonts w:hint="eastAsia" w:ascii="宋体" w:hAnsi="宋体" w:eastAsia="宋体" w:cs="宋体"/>
                <w:i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030720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B00783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F29C0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6B2301A3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5F16BD3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0D78D431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734620B2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2FA6C13B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宋体" w:hAnsi="宋体" w:eastAsia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区域经济实证研究方法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5A229572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03072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B557B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D44DFE8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791A8BEC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33E263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7EEC742F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1134345B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0178D0BA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资源环境与区域经济发展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2BF6CAF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03072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5EEA6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E8C88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51C57C64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42B3B2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53AC76AD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2BCCEF52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2950F690">
            <w:pPr>
              <w:spacing w:line="360" w:lineRule="auto"/>
              <w:jc w:val="left"/>
              <w:rPr>
                <w:rFonts w:ascii="宋体" w:hAnsi="宋体" w:eastAsia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宋体" w:hAnsi="宋体" w:cs="宋体"/>
                <w:color w:val="0D0D0D" w:themeColor="text1" w:themeTint="F2"/>
                <w:sz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空间数据分析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7EFBACC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03072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BECA9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FEA183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11446A5B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3AF6EE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34EEA8EE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shd w:val="clear" w:color="auto" w:fill="auto"/>
            <w:vAlign w:val="center"/>
          </w:tcPr>
          <w:p w14:paraId="32760850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劳动与人口经济理论</w:t>
            </w:r>
            <w:r>
              <w:rPr>
                <w:rFonts w:hint="eastAsia" w:ascii="宋体" w:hAnsi="宋体" w:cs="宋体"/>
                <w:b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和</w:t>
            </w:r>
            <w:r>
              <w:rPr>
                <w:rFonts w:hint="eastAsia" w:ascii="宋体" w:hAnsi="宋体" w:eastAsia="宋体" w:cs="宋体"/>
                <w:b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政策</w:t>
            </w:r>
            <w:r>
              <w:rPr>
                <w:rFonts w:hint="eastAsia" w:ascii="宋体" w:hAnsi="宋体" w:eastAsia="宋体" w:cs="宋体"/>
                <w:b/>
                <w:color w:val="0D0D0D" w:themeColor="text1" w:themeTint="F2"/>
                <w:sz w:val="18"/>
                <w:szCs w:val="18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方向课</w:t>
            </w:r>
          </w:p>
          <w:p w14:paraId="7E77217A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该方向</w:t>
            </w:r>
          </w:p>
          <w:p w14:paraId="47476FB3">
            <w:pPr>
              <w:adjustRightInd w:val="0"/>
              <w:snapToGrid w:val="0"/>
              <w:spacing w:line="240" w:lineRule="auto"/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选修课</w:t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2491ADBD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劳动经济学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5B8F0E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0307104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9F94D4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0FAD2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1045" w:type="dxa"/>
            <w:vMerge w:val="restart"/>
            <w:shd w:val="clear" w:color="auto" w:fill="auto"/>
            <w:vAlign w:val="center"/>
          </w:tcPr>
          <w:p w14:paraId="21DFB24A">
            <w:pPr>
              <w:adjustRightInd w:val="0"/>
              <w:snapToGrid w:val="0"/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本方向研究生至少选修</w:t>
            </w:r>
          </w:p>
          <w:p w14:paraId="2E659398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学分</w:t>
            </w:r>
          </w:p>
        </w:tc>
      </w:tr>
      <w:tr w14:paraId="5003E2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641DD3CE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503E2FDE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01BE19EC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人力资本理论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743DAD54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03072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4FE00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CED8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495AD850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3EB0E0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34BBC9C6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16D5CD3F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6472040E">
            <w:pPr>
              <w:rPr>
                <w:rFonts w:hint="default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iCs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人口经济学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4F7DB102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03072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962FF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2EB1D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5ABBEBB1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2A6E657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570F7877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53BA6EBB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6726FE5B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人口与劳动经济学前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沿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486A6BF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03072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49AED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89A006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22A08B7E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1D8DCA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3358D28B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739F77F3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4E8E4239">
            <w:pPr>
              <w:rPr>
                <w:rFonts w:ascii="宋体" w:hAnsi="宋体" w:eastAsia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iCs/>
                <w:color w:val="0D0D0D" w:themeColor="text1" w:themeTint="F2"/>
                <w:sz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劳动就业与收入分配专题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3641712B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03072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0C9A8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388ED5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2F2CC6B0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4AF8C2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21AA2CA2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shd w:val="clear" w:color="auto" w:fill="auto"/>
            <w:vAlign w:val="center"/>
          </w:tcPr>
          <w:p w14:paraId="6C5ACB56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数据与经济统计应用</w:t>
            </w:r>
            <w:r>
              <w:rPr>
                <w:rFonts w:hint="eastAsia" w:ascii="宋体" w:hAnsi="宋体" w:eastAsia="宋体" w:cs="宋体"/>
                <w:b/>
                <w:color w:val="0D0D0D" w:themeColor="text1" w:themeTint="F2"/>
                <w:sz w:val="18"/>
                <w:szCs w:val="18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方向</w:t>
            </w:r>
            <w: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选修课</w:t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1751AC0E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国民经济统计与投入产出分析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4CDC115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0307105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58355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754E0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1045" w:type="dxa"/>
            <w:vMerge w:val="restart"/>
            <w:shd w:val="clear" w:color="auto" w:fill="auto"/>
            <w:vAlign w:val="center"/>
          </w:tcPr>
          <w:p w14:paraId="241808E0">
            <w:pPr>
              <w:adjustRightInd w:val="0"/>
              <w:snapToGrid w:val="0"/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本方向研究生至少选修</w:t>
            </w:r>
          </w:p>
          <w:p w14:paraId="3240F2D2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学分</w:t>
            </w:r>
          </w:p>
        </w:tc>
      </w:tr>
      <w:tr w14:paraId="678550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1542A36A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7C2D70F4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2CB77E94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经济领域大数据理论及应用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1B588382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03072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3528A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790A90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6F7650B5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5D71E4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2022BBFD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46AB3538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4A61DECA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i w:val="0"/>
                <w:iCs/>
                <w:color w:val="auto"/>
                <w:sz w:val="18"/>
                <w:szCs w:val="18"/>
                <w:highlight w:val="none"/>
                <w:lang w:eastAsia="zh-CN"/>
              </w:rPr>
              <w:t>宏观经济统计分析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05355AA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XB0307218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2A891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6E393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52BE1DB2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064562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7FAAF70B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2EC972AC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30BFD0B9">
            <w:pPr>
              <w:spacing w:line="360" w:lineRule="auto"/>
              <w:jc w:val="left"/>
              <w:rPr>
                <w:rFonts w:hint="default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数理经济学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3ABC52C6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XB0307219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4A983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8C422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08A4B871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2443F8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4E650C39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11E78293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655DFDEC">
            <w:pPr>
              <w:spacing w:line="360" w:lineRule="auto"/>
              <w:jc w:val="left"/>
              <w:rPr>
                <w:rFonts w:hint="eastAsia" w:cs="Times New Roman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cs="Times New Roman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非参数计量建模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BD33565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XB0307220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35A504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083766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11DF131E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793782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571" w:type="dxa"/>
            <w:vMerge w:val="restart"/>
            <w:vAlign w:val="center"/>
          </w:tcPr>
          <w:p w14:paraId="46C28E86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必修环节</w:t>
            </w:r>
          </w:p>
          <w:p w14:paraId="5A2E2BB5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1A370606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素质拓展</w:t>
            </w:r>
          </w:p>
        </w:tc>
        <w:tc>
          <w:tcPr>
            <w:tcW w:w="3516" w:type="dxa"/>
            <w:vAlign w:val="center"/>
          </w:tcPr>
          <w:p w14:paraId="486010AA">
            <w:pP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入学教育</w:t>
            </w:r>
          </w:p>
        </w:tc>
        <w:tc>
          <w:tcPr>
            <w:tcW w:w="1081" w:type="dxa"/>
            <w:vAlign w:val="center"/>
          </w:tcPr>
          <w:p w14:paraId="14DBC343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1A4A33BF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490F88D8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10A2CA57">
            <w:pPr>
              <w:jc w:val="center"/>
              <w:rPr>
                <w:i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4F3970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1" w:type="dxa"/>
            <w:vMerge w:val="continue"/>
            <w:vAlign w:val="center"/>
          </w:tcPr>
          <w:p w14:paraId="1D9C6819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FB53261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5B22403D">
            <w:pP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学术活动</w:t>
            </w:r>
          </w:p>
        </w:tc>
        <w:tc>
          <w:tcPr>
            <w:tcW w:w="1081" w:type="dxa"/>
            <w:vAlign w:val="center"/>
          </w:tcPr>
          <w:p w14:paraId="1D684243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7516D9A6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3B3F57BB">
            <w:pPr>
              <w:jc w:val="center"/>
              <w:rPr>
                <w:rFonts w:hint="default" w:eastAsia="宋体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1-7</w:t>
            </w:r>
          </w:p>
        </w:tc>
        <w:tc>
          <w:tcPr>
            <w:tcW w:w="1045" w:type="dxa"/>
            <w:vMerge w:val="continue"/>
            <w:vAlign w:val="center"/>
          </w:tcPr>
          <w:p w14:paraId="5ADBB776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52AC21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571" w:type="dxa"/>
            <w:vMerge w:val="continue"/>
            <w:vAlign w:val="center"/>
          </w:tcPr>
          <w:p w14:paraId="1696E1F3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5C95A35D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6C8DC657">
            <w:pPr>
              <w:adjustRightInd w:val="0"/>
              <w:snapToGrid w:val="0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竞赛活动（</w:t>
            </w:r>
            <w:r>
              <w:rPr>
                <w:rFonts w:hint="eastAsia"/>
                <w:color w:val="0D0D0D" w:themeColor="text1" w:themeTint="F2"/>
                <w:sz w:val="18"/>
                <w:szCs w:val="1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“</w:t>
            </w:r>
            <w:r>
              <w:rPr>
                <w:rFonts w:hint="eastAsia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挑战杯”大学生课外学术科技作品竞赛</w:t>
            </w:r>
            <w:r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等学校认定的C级及以上学术科技竞赛获校级及以上奖励）</w:t>
            </w:r>
          </w:p>
        </w:tc>
        <w:tc>
          <w:tcPr>
            <w:tcW w:w="1081" w:type="dxa"/>
            <w:vAlign w:val="center"/>
          </w:tcPr>
          <w:p w14:paraId="06288637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6D8F48CB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146EAA49">
            <w:pPr>
              <w:jc w:val="center"/>
              <w:rPr>
                <w:rFonts w:hint="default" w:eastAsia="宋体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1-8</w:t>
            </w:r>
          </w:p>
        </w:tc>
        <w:tc>
          <w:tcPr>
            <w:tcW w:w="1045" w:type="dxa"/>
            <w:vMerge w:val="continue"/>
            <w:vAlign w:val="center"/>
          </w:tcPr>
          <w:p w14:paraId="0932C110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3806640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571" w:type="dxa"/>
            <w:vMerge w:val="continue"/>
            <w:vAlign w:val="center"/>
          </w:tcPr>
          <w:p w14:paraId="3435121D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929F7AF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4090F4C3">
            <w:pPr>
              <w:adjustRightInd w:val="0"/>
              <w:snapToGrid w:val="0"/>
              <w:rPr>
                <w:rFonts w:hint="default" w:eastAsia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高级微宏观经济学专题报告与学术前沿</w:t>
            </w:r>
          </w:p>
        </w:tc>
        <w:tc>
          <w:tcPr>
            <w:tcW w:w="1081" w:type="dxa"/>
            <w:vAlign w:val="center"/>
          </w:tcPr>
          <w:p w14:paraId="131A74CE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4688F8D0">
            <w:pPr>
              <w:jc w:val="center"/>
              <w:rPr>
                <w:rFonts w:hint="eastAsia" w:eastAsia="宋体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9A89965">
            <w:pPr>
              <w:jc w:val="center"/>
              <w:rPr>
                <w:rFonts w:hint="default" w:eastAsia="宋体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45" w:type="dxa"/>
            <w:vMerge w:val="continue"/>
            <w:vAlign w:val="center"/>
          </w:tcPr>
          <w:p w14:paraId="6B3C2CEE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6D101D4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571" w:type="dxa"/>
            <w:vMerge w:val="continue"/>
            <w:vAlign w:val="center"/>
          </w:tcPr>
          <w:p w14:paraId="585C086D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30F2B83E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006B4479">
            <w:pPr>
              <w:adjustRightInd w:val="0"/>
              <w:snapToGrid w:val="0"/>
              <w:rPr>
                <w:rFonts w:hint="eastAsia"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学科前沿研讨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2090E183">
            <w:pPr>
              <w:jc w:val="center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F5826E">
            <w:pPr>
              <w:jc w:val="center"/>
              <w:rPr>
                <w:rFonts w:hint="eastAsia"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33D33B">
            <w:pPr>
              <w:jc w:val="center"/>
              <w:rPr>
                <w:rFonts w:hint="eastAsia"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45" w:type="dxa"/>
            <w:vMerge w:val="continue"/>
            <w:vAlign w:val="center"/>
          </w:tcPr>
          <w:p w14:paraId="3B77B120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2A3698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571" w:type="dxa"/>
            <w:vMerge w:val="continue"/>
            <w:vAlign w:val="center"/>
          </w:tcPr>
          <w:p w14:paraId="090E1EB5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6AE2FFDB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70DABADC">
            <w:pPr>
              <w:adjustRightInd w:val="0"/>
              <w:snapToGrid w:val="0"/>
              <w:rPr>
                <w:rFonts w:hint="eastAsia" w:ascii="Times New Roman" w:hAnsi="Times New Roman" w:cs="Times New Roman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文献分析报告</w:t>
            </w:r>
          </w:p>
        </w:tc>
        <w:tc>
          <w:tcPr>
            <w:tcW w:w="1081" w:type="dxa"/>
            <w:vAlign w:val="center"/>
          </w:tcPr>
          <w:p w14:paraId="45CCB08A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110FCE28">
            <w:pPr>
              <w:jc w:val="center"/>
              <w:rPr>
                <w:rFonts w:hint="eastAsia" w:eastAsia="宋体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4373CE42">
            <w:pPr>
              <w:jc w:val="center"/>
              <w:rPr>
                <w:rFonts w:hint="default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45" w:type="dxa"/>
            <w:vMerge w:val="continue"/>
            <w:vAlign w:val="center"/>
          </w:tcPr>
          <w:p w14:paraId="6FE9DEA3">
            <w:pPr>
              <w:jc w:val="center"/>
              <w:rPr>
                <w:rFonts w:hint="eastAsia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718028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479B5A5C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7C8C2B39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学术训练</w:t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116C62BA">
            <w:pPr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中期筛选</w:t>
            </w:r>
          </w:p>
        </w:tc>
        <w:tc>
          <w:tcPr>
            <w:tcW w:w="1081" w:type="dxa"/>
            <w:vAlign w:val="center"/>
          </w:tcPr>
          <w:p w14:paraId="15D1AB72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4218A42C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0EA2039C">
            <w:pPr>
              <w:jc w:val="center"/>
              <w:rPr>
                <w:rFonts w:hint="default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2-3</w:t>
            </w:r>
          </w:p>
        </w:tc>
        <w:tc>
          <w:tcPr>
            <w:tcW w:w="1045" w:type="dxa"/>
            <w:vMerge w:val="restart"/>
            <w:vAlign w:val="center"/>
          </w:tcPr>
          <w:p w14:paraId="5A73DCD0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过程管理</w:t>
            </w:r>
          </w:p>
          <w:p w14:paraId="3A048E06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无学分</w:t>
            </w:r>
          </w:p>
        </w:tc>
      </w:tr>
      <w:tr w14:paraId="6B79889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1DAB89D6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591138E3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092EB195">
            <w:pPr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论文开题</w:t>
            </w:r>
          </w:p>
        </w:tc>
        <w:tc>
          <w:tcPr>
            <w:tcW w:w="1081" w:type="dxa"/>
            <w:vAlign w:val="center"/>
          </w:tcPr>
          <w:p w14:paraId="170CC24A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0FB214FB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2A61258B">
            <w:pPr>
              <w:jc w:val="center"/>
              <w:rPr>
                <w:rFonts w:hint="default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3-4</w:t>
            </w:r>
          </w:p>
        </w:tc>
        <w:tc>
          <w:tcPr>
            <w:tcW w:w="1045" w:type="dxa"/>
            <w:vMerge w:val="continue"/>
            <w:vAlign w:val="center"/>
          </w:tcPr>
          <w:p w14:paraId="03D5E945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1D2F19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422CE5E1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604BDF9D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4016609B">
            <w:pPr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论文中期进展报告</w:t>
            </w:r>
          </w:p>
        </w:tc>
        <w:tc>
          <w:tcPr>
            <w:tcW w:w="1081" w:type="dxa"/>
            <w:vAlign w:val="center"/>
          </w:tcPr>
          <w:p w14:paraId="76A1A44C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2663C2F5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3A4CCDEB">
            <w:pPr>
              <w:jc w:val="center"/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45" w:type="dxa"/>
            <w:vMerge w:val="continue"/>
          </w:tcPr>
          <w:p w14:paraId="1E6F0EE7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5DBFB5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5AFA51C4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2B3D1A69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75BE231A">
            <w:pPr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论文预答辩</w:t>
            </w:r>
          </w:p>
        </w:tc>
        <w:tc>
          <w:tcPr>
            <w:tcW w:w="1081" w:type="dxa"/>
            <w:vAlign w:val="center"/>
          </w:tcPr>
          <w:p w14:paraId="154EB64E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0E1D46B5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72F868B">
            <w:pPr>
              <w:jc w:val="center"/>
              <w:rPr>
                <w:rFonts w:hint="default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</w:t>
            </w:r>
          </w:p>
        </w:tc>
        <w:tc>
          <w:tcPr>
            <w:tcW w:w="1045" w:type="dxa"/>
            <w:vMerge w:val="continue"/>
          </w:tcPr>
          <w:p w14:paraId="1BF6AB51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1B9636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2A1AEC7E">
            <w:pP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7F33289B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62AC4074">
            <w:pPr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论文评审</w:t>
            </w:r>
          </w:p>
        </w:tc>
        <w:tc>
          <w:tcPr>
            <w:tcW w:w="1081" w:type="dxa"/>
            <w:vAlign w:val="center"/>
          </w:tcPr>
          <w:p w14:paraId="0C956D8B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4F37BACD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229341C1">
            <w:pPr>
              <w:jc w:val="center"/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</w:t>
            </w:r>
          </w:p>
        </w:tc>
        <w:tc>
          <w:tcPr>
            <w:tcW w:w="1045" w:type="dxa"/>
            <w:vMerge w:val="continue"/>
          </w:tcPr>
          <w:p w14:paraId="5EBE13B9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77A9EC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61F7A6A0">
            <w:pP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23EE2010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2E2A056B">
            <w:pPr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论文答辩</w:t>
            </w:r>
          </w:p>
        </w:tc>
        <w:tc>
          <w:tcPr>
            <w:tcW w:w="1081" w:type="dxa"/>
            <w:vAlign w:val="center"/>
          </w:tcPr>
          <w:p w14:paraId="43530FC6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4F432A9C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9702058">
            <w:pPr>
              <w:jc w:val="center"/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</w:t>
            </w:r>
          </w:p>
        </w:tc>
        <w:tc>
          <w:tcPr>
            <w:tcW w:w="1045" w:type="dxa"/>
            <w:vMerge w:val="continue"/>
          </w:tcPr>
          <w:p w14:paraId="0FD433A7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</w:tbl>
    <w:p w14:paraId="5B0159A9">
      <w:pPr>
        <w:spacing w:line="440" w:lineRule="exact"/>
        <w:ind w:firstLine="480" w:firstLineChars="200"/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*公共外语课程按入学时的外国语考试科目修读相关语种。</w:t>
      </w:r>
    </w:p>
    <w:p w14:paraId="3A1AF469">
      <w:pPr>
        <w:spacing w:line="440" w:lineRule="exact"/>
        <w:ind w:firstLine="560" w:firstLineChars="200"/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十</w:t>
      </w:r>
      <w:r>
        <w:rPr>
          <w:rFonts w:hint="eastAsia"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三</w:t>
      </w:r>
      <w:r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、其他需要说明事项</w:t>
      </w:r>
    </w:p>
    <w:p w14:paraId="287AC3D5">
      <w:pPr>
        <w:spacing w:line="440" w:lineRule="exact"/>
        <w:ind w:firstLine="480" w:firstLineChars="200"/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1. 非学位课中的方向选修课模块由各培养单位自行设置，并给出具体选修学分要求。</w:t>
      </w:r>
    </w:p>
    <w:p w14:paraId="35006610">
      <w:pPr>
        <w:spacing w:line="440" w:lineRule="exact"/>
        <w:ind w:firstLine="480" w:firstLineChars="200"/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2. 毕业总学分：</w:t>
      </w:r>
      <w:r>
        <w:rPr>
          <w:rFonts w:hint="eastAsia"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学位课</w:t>
      </w:r>
      <w:r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+</w:t>
      </w:r>
      <w:r>
        <w:rPr>
          <w:rFonts w:hint="eastAsia"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非学位课</w:t>
      </w:r>
      <w:r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+必修环节。</w:t>
      </w:r>
    </w:p>
    <w:p w14:paraId="31998E84">
      <w:pPr>
        <w:ind w:left="321" w:leftChars="153" w:right="227"/>
        <w:jc w:val="center"/>
        <w:rPr>
          <w:rFonts w:eastAsia="黑体"/>
          <w:b/>
          <w:bCs/>
          <w:i/>
          <w:color w:val="0D0D0D" w:themeColor="text1" w:themeTint="F2"/>
          <w:sz w:val="36"/>
          <w:szCs w:val="36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sectPr>
      <w:pgSz w:w="11906" w:h="16838"/>
      <w:pgMar w:top="1418" w:right="1418" w:bottom="1247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B0B"/>
    <w:rsid w:val="00000F48"/>
    <w:rsid w:val="000017BB"/>
    <w:rsid w:val="00002A1A"/>
    <w:rsid w:val="00003AB1"/>
    <w:rsid w:val="000045F0"/>
    <w:rsid w:val="00004834"/>
    <w:rsid w:val="000051FF"/>
    <w:rsid w:val="00005540"/>
    <w:rsid w:val="00005A23"/>
    <w:rsid w:val="00006E04"/>
    <w:rsid w:val="0000780D"/>
    <w:rsid w:val="00011169"/>
    <w:rsid w:val="00011E8C"/>
    <w:rsid w:val="00012EFE"/>
    <w:rsid w:val="0001365A"/>
    <w:rsid w:val="000136E9"/>
    <w:rsid w:val="00013F55"/>
    <w:rsid w:val="00015266"/>
    <w:rsid w:val="000154B5"/>
    <w:rsid w:val="00015E88"/>
    <w:rsid w:val="000165A8"/>
    <w:rsid w:val="0002007B"/>
    <w:rsid w:val="000229B8"/>
    <w:rsid w:val="000253FB"/>
    <w:rsid w:val="0002553A"/>
    <w:rsid w:val="00025715"/>
    <w:rsid w:val="00025D34"/>
    <w:rsid w:val="000266E2"/>
    <w:rsid w:val="00026ED3"/>
    <w:rsid w:val="00026F8F"/>
    <w:rsid w:val="00027376"/>
    <w:rsid w:val="000312C8"/>
    <w:rsid w:val="00031719"/>
    <w:rsid w:val="00031B61"/>
    <w:rsid w:val="00032C19"/>
    <w:rsid w:val="0003428C"/>
    <w:rsid w:val="00034692"/>
    <w:rsid w:val="00035A07"/>
    <w:rsid w:val="0003630A"/>
    <w:rsid w:val="0003798D"/>
    <w:rsid w:val="00037AC5"/>
    <w:rsid w:val="0004067E"/>
    <w:rsid w:val="000420E7"/>
    <w:rsid w:val="00042271"/>
    <w:rsid w:val="00042ED8"/>
    <w:rsid w:val="0004377A"/>
    <w:rsid w:val="0004455C"/>
    <w:rsid w:val="000445C9"/>
    <w:rsid w:val="0004468A"/>
    <w:rsid w:val="000446F6"/>
    <w:rsid w:val="00044B1B"/>
    <w:rsid w:val="00045490"/>
    <w:rsid w:val="00045566"/>
    <w:rsid w:val="000462ED"/>
    <w:rsid w:val="00046784"/>
    <w:rsid w:val="00046EFF"/>
    <w:rsid w:val="00047780"/>
    <w:rsid w:val="00050525"/>
    <w:rsid w:val="000517AD"/>
    <w:rsid w:val="0005309E"/>
    <w:rsid w:val="00053173"/>
    <w:rsid w:val="00054712"/>
    <w:rsid w:val="00054F25"/>
    <w:rsid w:val="00060C9E"/>
    <w:rsid w:val="00060E5A"/>
    <w:rsid w:val="00061443"/>
    <w:rsid w:val="00061DCD"/>
    <w:rsid w:val="000627FF"/>
    <w:rsid w:val="00065525"/>
    <w:rsid w:val="00065668"/>
    <w:rsid w:val="00065862"/>
    <w:rsid w:val="00067DA2"/>
    <w:rsid w:val="00070FB5"/>
    <w:rsid w:val="00073226"/>
    <w:rsid w:val="000773B4"/>
    <w:rsid w:val="000777E4"/>
    <w:rsid w:val="00080077"/>
    <w:rsid w:val="0008043C"/>
    <w:rsid w:val="000808AC"/>
    <w:rsid w:val="000819A1"/>
    <w:rsid w:val="00081ED3"/>
    <w:rsid w:val="00082A32"/>
    <w:rsid w:val="000846F8"/>
    <w:rsid w:val="00084EE7"/>
    <w:rsid w:val="00085ED4"/>
    <w:rsid w:val="000865C0"/>
    <w:rsid w:val="00086A2D"/>
    <w:rsid w:val="000877D8"/>
    <w:rsid w:val="00087BB6"/>
    <w:rsid w:val="000903CF"/>
    <w:rsid w:val="00091106"/>
    <w:rsid w:val="00093E55"/>
    <w:rsid w:val="00094EF5"/>
    <w:rsid w:val="00095FAE"/>
    <w:rsid w:val="000A0C3E"/>
    <w:rsid w:val="000A1577"/>
    <w:rsid w:val="000A1769"/>
    <w:rsid w:val="000A227E"/>
    <w:rsid w:val="000A422B"/>
    <w:rsid w:val="000A46F4"/>
    <w:rsid w:val="000A47A2"/>
    <w:rsid w:val="000A48BC"/>
    <w:rsid w:val="000A59A1"/>
    <w:rsid w:val="000A5AEB"/>
    <w:rsid w:val="000A6B0F"/>
    <w:rsid w:val="000A6FBD"/>
    <w:rsid w:val="000A7196"/>
    <w:rsid w:val="000A73F2"/>
    <w:rsid w:val="000A7E9B"/>
    <w:rsid w:val="000B10CA"/>
    <w:rsid w:val="000B1176"/>
    <w:rsid w:val="000B3404"/>
    <w:rsid w:val="000B36CF"/>
    <w:rsid w:val="000B3A32"/>
    <w:rsid w:val="000B3F63"/>
    <w:rsid w:val="000B4084"/>
    <w:rsid w:val="000B596C"/>
    <w:rsid w:val="000B5B40"/>
    <w:rsid w:val="000C1C39"/>
    <w:rsid w:val="000C1DF1"/>
    <w:rsid w:val="000C229D"/>
    <w:rsid w:val="000C684D"/>
    <w:rsid w:val="000C7109"/>
    <w:rsid w:val="000C7B56"/>
    <w:rsid w:val="000D0856"/>
    <w:rsid w:val="000D0CA9"/>
    <w:rsid w:val="000D21C4"/>
    <w:rsid w:val="000D2324"/>
    <w:rsid w:val="000D3BAB"/>
    <w:rsid w:val="000D3D52"/>
    <w:rsid w:val="000D41D0"/>
    <w:rsid w:val="000D6149"/>
    <w:rsid w:val="000D6CC0"/>
    <w:rsid w:val="000D6CD9"/>
    <w:rsid w:val="000D71B2"/>
    <w:rsid w:val="000E0380"/>
    <w:rsid w:val="000E2728"/>
    <w:rsid w:val="000E51AE"/>
    <w:rsid w:val="000E5229"/>
    <w:rsid w:val="000E58F5"/>
    <w:rsid w:val="000F12FD"/>
    <w:rsid w:val="000F21F3"/>
    <w:rsid w:val="000F238B"/>
    <w:rsid w:val="000F2DCE"/>
    <w:rsid w:val="000F2E11"/>
    <w:rsid w:val="000F3134"/>
    <w:rsid w:val="000F335A"/>
    <w:rsid w:val="000F3809"/>
    <w:rsid w:val="000F4E87"/>
    <w:rsid w:val="001004D8"/>
    <w:rsid w:val="00100A1C"/>
    <w:rsid w:val="001015A9"/>
    <w:rsid w:val="00101F57"/>
    <w:rsid w:val="00104300"/>
    <w:rsid w:val="00104B89"/>
    <w:rsid w:val="00104BB1"/>
    <w:rsid w:val="0010579B"/>
    <w:rsid w:val="00105E20"/>
    <w:rsid w:val="001101F5"/>
    <w:rsid w:val="00110577"/>
    <w:rsid w:val="00110911"/>
    <w:rsid w:val="00110D6C"/>
    <w:rsid w:val="00111BCA"/>
    <w:rsid w:val="0011294E"/>
    <w:rsid w:val="00112E68"/>
    <w:rsid w:val="00113B61"/>
    <w:rsid w:val="00114345"/>
    <w:rsid w:val="00115E4B"/>
    <w:rsid w:val="00116DAF"/>
    <w:rsid w:val="00116ED7"/>
    <w:rsid w:val="0011773A"/>
    <w:rsid w:val="00117E96"/>
    <w:rsid w:val="00120046"/>
    <w:rsid w:val="001200D3"/>
    <w:rsid w:val="001201FC"/>
    <w:rsid w:val="00123074"/>
    <w:rsid w:val="001252CE"/>
    <w:rsid w:val="0012572F"/>
    <w:rsid w:val="00127001"/>
    <w:rsid w:val="00127186"/>
    <w:rsid w:val="0012727D"/>
    <w:rsid w:val="001305B0"/>
    <w:rsid w:val="00130B1A"/>
    <w:rsid w:val="0013275E"/>
    <w:rsid w:val="0013293E"/>
    <w:rsid w:val="0013294F"/>
    <w:rsid w:val="001330A5"/>
    <w:rsid w:val="00133EFF"/>
    <w:rsid w:val="00134042"/>
    <w:rsid w:val="001340D6"/>
    <w:rsid w:val="001340EE"/>
    <w:rsid w:val="001342C9"/>
    <w:rsid w:val="0013523E"/>
    <w:rsid w:val="00135DD4"/>
    <w:rsid w:val="00136E0A"/>
    <w:rsid w:val="0014145D"/>
    <w:rsid w:val="00141A90"/>
    <w:rsid w:val="00141C03"/>
    <w:rsid w:val="00141D33"/>
    <w:rsid w:val="00142AE5"/>
    <w:rsid w:val="001434A0"/>
    <w:rsid w:val="0014508B"/>
    <w:rsid w:val="001452F2"/>
    <w:rsid w:val="00150EC3"/>
    <w:rsid w:val="001513DE"/>
    <w:rsid w:val="001519AB"/>
    <w:rsid w:val="00153B3C"/>
    <w:rsid w:val="001548B0"/>
    <w:rsid w:val="001559E7"/>
    <w:rsid w:val="00155AAE"/>
    <w:rsid w:val="001566EB"/>
    <w:rsid w:val="00156DDA"/>
    <w:rsid w:val="00160DA3"/>
    <w:rsid w:val="0016181D"/>
    <w:rsid w:val="00162151"/>
    <w:rsid w:val="00162801"/>
    <w:rsid w:val="0016284B"/>
    <w:rsid w:val="00163A5C"/>
    <w:rsid w:val="00165D55"/>
    <w:rsid w:val="00166596"/>
    <w:rsid w:val="00167C56"/>
    <w:rsid w:val="00171332"/>
    <w:rsid w:val="001715BD"/>
    <w:rsid w:val="00172299"/>
    <w:rsid w:val="0017260D"/>
    <w:rsid w:val="00172DEF"/>
    <w:rsid w:val="00173690"/>
    <w:rsid w:val="00173BBC"/>
    <w:rsid w:val="00174672"/>
    <w:rsid w:val="001749C9"/>
    <w:rsid w:val="00175F90"/>
    <w:rsid w:val="00175FDB"/>
    <w:rsid w:val="0017600D"/>
    <w:rsid w:val="001770BE"/>
    <w:rsid w:val="001774C8"/>
    <w:rsid w:val="00181B98"/>
    <w:rsid w:val="001827EC"/>
    <w:rsid w:val="00190742"/>
    <w:rsid w:val="0019270C"/>
    <w:rsid w:val="00192C94"/>
    <w:rsid w:val="00192FFB"/>
    <w:rsid w:val="00193EB1"/>
    <w:rsid w:val="001944A6"/>
    <w:rsid w:val="00194BD6"/>
    <w:rsid w:val="00196101"/>
    <w:rsid w:val="0019611A"/>
    <w:rsid w:val="00196623"/>
    <w:rsid w:val="00196830"/>
    <w:rsid w:val="00196F50"/>
    <w:rsid w:val="00197D7B"/>
    <w:rsid w:val="001A0657"/>
    <w:rsid w:val="001A567C"/>
    <w:rsid w:val="001A6029"/>
    <w:rsid w:val="001A7229"/>
    <w:rsid w:val="001A78CF"/>
    <w:rsid w:val="001B0D85"/>
    <w:rsid w:val="001B2A51"/>
    <w:rsid w:val="001B30C4"/>
    <w:rsid w:val="001B465A"/>
    <w:rsid w:val="001B4FF4"/>
    <w:rsid w:val="001B62AC"/>
    <w:rsid w:val="001B66AF"/>
    <w:rsid w:val="001C2996"/>
    <w:rsid w:val="001C30DC"/>
    <w:rsid w:val="001C45C2"/>
    <w:rsid w:val="001C481C"/>
    <w:rsid w:val="001C5480"/>
    <w:rsid w:val="001C6211"/>
    <w:rsid w:val="001C7066"/>
    <w:rsid w:val="001C752D"/>
    <w:rsid w:val="001D1C64"/>
    <w:rsid w:val="001D1E43"/>
    <w:rsid w:val="001D2313"/>
    <w:rsid w:val="001D28BB"/>
    <w:rsid w:val="001D3EA6"/>
    <w:rsid w:val="001D45FC"/>
    <w:rsid w:val="001D599A"/>
    <w:rsid w:val="001D621F"/>
    <w:rsid w:val="001D690F"/>
    <w:rsid w:val="001D6A65"/>
    <w:rsid w:val="001D78A6"/>
    <w:rsid w:val="001D7AE8"/>
    <w:rsid w:val="001E0FD8"/>
    <w:rsid w:val="001E149A"/>
    <w:rsid w:val="001E1523"/>
    <w:rsid w:val="001E173F"/>
    <w:rsid w:val="001E2472"/>
    <w:rsid w:val="001E339C"/>
    <w:rsid w:val="001E47AA"/>
    <w:rsid w:val="001E4A22"/>
    <w:rsid w:val="001E5492"/>
    <w:rsid w:val="001E57D0"/>
    <w:rsid w:val="001F03A6"/>
    <w:rsid w:val="001F0AE0"/>
    <w:rsid w:val="001F11BA"/>
    <w:rsid w:val="001F1A8A"/>
    <w:rsid w:val="001F1F2E"/>
    <w:rsid w:val="001F1F8B"/>
    <w:rsid w:val="001F2B47"/>
    <w:rsid w:val="001F431F"/>
    <w:rsid w:val="001F5B93"/>
    <w:rsid w:val="001F61D1"/>
    <w:rsid w:val="001F65A4"/>
    <w:rsid w:val="00200099"/>
    <w:rsid w:val="00200505"/>
    <w:rsid w:val="00202151"/>
    <w:rsid w:val="0020278D"/>
    <w:rsid w:val="002027B9"/>
    <w:rsid w:val="00202B64"/>
    <w:rsid w:val="00202C05"/>
    <w:rsid w:val="00202D87"/>
    <w:rsid w:val="002036EE"/>
    <w:rsid w:val="00203900"/>
    <w:rsid w:val="00204685"/>
    <w:rsid w:val="002056DB"/>
    <w:rsid w:val="00205814"/>
    <w:rsid w:val="00206236"/>
    <w:rsid w:val="00206FD9"/>
    <w:rsid w:val="002072D0"/>
    <w:rsid w:val="002106EB"/>
    <w:rsid w:val="002120B8"/>
    <w:rsid w:val="002120E9"/>
    <w:rsid w:val="00212267"/>
    <w:rsid w:val="00215A41"/>
    <w:rsid w:val="0021662C"/>
    <w:rsid w:val="00216D4F"/>
    <w:rsid w:val="00217554"/>
    <w:rsid w:val="00217A8B"/>
    <w:rsid w:val="0022264F"/>
    <w:rsid w:val="00222A5E"/>
    <w:rsid w:val="002231B6"/>
    <w:rsid w:val="002249A4"/>
    <w:rsid w:val="00226F23"/>
    <w:rsid w:val="0023080B"/>
    <w:rsid w:val="002309EB"/>
    <w:rsid w:val="00230D9E"/>
    <w:rsid w:val="002311D2"/>
    <w:rsid w:val="00231C36"/>
    <w:rsid w:val="00232528"/>
    <w:rsid w:val="002325BF"/>
    <w:rsid w:val="00234212"/>
    <w:rsid w:val="002344D2"/>
    <w:rsid w:val="00234A5A"/>
    <w:rsid w:val="00235208"/>
    <w:rsid w:val="002356C5"/>
    <w:rsid w:val="00236353"/>
    <w:rsid w:val="00236568"/>
    <w:rsid w:val="00236AF5"/>
    <w:rsid w:val="002379CB"/>
    <w:rsid w:val="0024086B"/>
    <w:rsid w:val="00240DCC"/>
    <w:rsid w:val="002417EA"/>
    <w:rsid w:val="002419A5"/>
    <w:rsid w:val="002421DE"/>
    <w:rsid w:val="0024310F"/>
    <w:rsid w:val="00247400"/>
    <w:rsid w:val="002477E4"/>
    <w:rsid w:val="0025208A"/>
    <w:rsid w:val="00252753"/>
    <w:rsid w:val="0025480C"/>
    <w:rsid w:val="00254838"/>
    <w:rsid w:val="00255288"/>
    <w:rsid w:val="002558BC"/>
    <w:rsid w:val="00257241"/>
    <w:rsid w:val="002573A9"/>
    <w:rsid w:val="00260797"/>
    <w:rsid w:val="00260E68"/>
    <w:rsid w:val="002636A1"/>
    <w:rsid w:val="0026401B"/>
    <w:rsid w:val="00265C89"/>
    <w:rsid w:val="00265F6A"/>
    <w:rsid w:val="002661C1"/>
    <w:rsid w:val="002666C6"/>
    <w:rsid w:val="00266F5D"/>
    <w:rsid w:val="00267515"/>
    <w:rsid w:val="00274D29"/>
    <w:rsid w:val="00277EA4"/>
    <w:rsid w:val="002801E8"/>
    <w:rsid w:val="00281891"/>
    <w:rsid w:val="002819AD"/>
    <w:rsid w:val="00281A0D"/>
    <w:rsid w:val="00281AB7"/>
    <w:rsid w:val="0028271C"/>
    <w:rsid w:val="0028441E"/>
    <w:rsid w:val="00290488"/>
    <w:rsid w:val="00290F6D"/>
    <w:rsid w:val="00291095"/>
    <w:rsid w:val="00292687"/>
    <w:rsid w:val="0029299A"/>
    <w:rsid w:val="002930F5"/>
    <w:rsid w:val="00293466"/>
    <w:rsid w:val="00293784"/>
    <w:rsid w:val="00293972"/>
    <w:rsid w:val="00295013"/>
    <w:rsid w:val="002950C9"/>
    <w:rsid w:val="002956DA"/>
    <w:rsid w:val="00296D8B"/>
    <w:rsid w:val="002A112F"/>
    <w:rsid w:val="002A159F"/>
    <w:rsid w:val="002A2616"/>
    <w:rsid w:val="002A5F35"/>
    <w:rsid w:val="002A71B9"/>
    <w:rsid w:val="002A7921"/>
    <w:rsid w:val="002B0A99"/>
    <w:rsid w:val="002B293A"/>
    <w:rsid w:val="002B2A1B"/>
    <w:rsid w:val="002B3394"/>
    <w:rsid w:val="002B5583"/>
    <w:rsid w:val="002B63CC"/>
    <w:rsid w:val="002B72BE"/>
    <w:rsid w:val="002B7EFB"/>
    <w:rsid w:val="002C0D99"/>
    <w:rsid w:val="002C10F7"/>
    <w:rsid w:val="002C27CC"/>
    <w:rsid w:val="002C44BA"/>
    <w:rsid w:val="002C4D22"/>
    <w:rsid w:val="002C531D"/>
    <w:rsid w:val="002C5839"/>
    <w:rsid w:val="002C5D7C"/>
    <w:rsid w:val="002C68F2"/>
    <w:rsid w:val="002C6CF4"/>
    <w:rsid w:val="002C7D60"/>
    <w:rsid w:val="002D2E9E"/>
    <w:rsid w:val="002D326B"/>
    <w:rsid w:val="002D34C1"/>
    <w:rsid w:val="002D4DCD"/>
    <w:rsid w:val="002D5BB0"/>
    <w:rsid w:val="002D6382"/>
    <w:rsid w:val="002D6BA6"/>
    <w:rsid w:val="002D7162"/>
    <w:rsid w:val="002E22E4"/>
    <w:rsid w:val="002E2365"/>
    <w:rsid w:val="002E2C47"/>
    <w:rsid w:val="002E497F"/>
    <w:rsid w:val="002E51D1"/>
    <w:rsid w:val="002E5BED"/>
    <w:rsid w:val="002E639B"/>
    <w:rsid w:val="002E704A"/>
    <w:rsid w:val="002E716E"/>
    <w:rsid w:val="002E7E9B"/>
    <w:rsid w:val="002E7F9D"/>
    <w:rsid w:val="002F12E0"/>
    <w:rsid w:val="002F2797"/>
    <w:rsid w:val="002F3877"/>
    <w:rsid w:val="002F3C9A"/>
    <w:rsid w:val="002F4122"/>
    <w:rsid w:val="002F417B"/>
    <w:rsid w:val="002F4833"/>
    <w:rsid w:val="002F5579"/>
    <w:rsid w:val="002F6B84"/>
    <w:rsid w:val="002F71E6"/>
    <w:rsid w:val="0030052A"/>
    <w:rsid w:val="003015B0"/>
    <w:rsid w:val="00302150"/>
    <w:rsid w:val="003030A7"/>
    <w:rsid w:val="00305644"/>
    <w:rsid w:val="003056A8"/>
    <w:rsid w:val="00307635"/>
    <w:rsid w:val="0031041D"/>
    <w:rsid w:val="00311DA8"/>
    <w:rsid w:val="003127B0"/>
    <w:rsid w:val="00312822"/>
    <w:rsid w:val="00313F81"/>
    <w:rsid w:val="00314BE3"/>
    <w:rsid w:val="00314D3C"/>
    <w:rsid w:val="00316174"/>
    <w:rsid w:val="0031623B"/>
    <w:rsid w:val="00316326"/>
    <w:rsid w:val="00316470"/>
    <w:rsid w:val="00316817"/>
    <w:rsid w:val="00317FDF"/>
    <w:rsid w:val="00321FD1"/>
    <w:rsid w:val="00322D53"/>
    <w:rsid w:val="00323D0D"/>
    <w:rsid w:val="00325D12"/>
    <w:rsid w:val="003267DB"/>
    <w:rsid w:val="00326A2C"/>
    <w:rsid w:val="003279B0"/>
    <w:rsid w:val="00331123"/>
    <w:rsid w:val="00331B4B"/>
    <w:rsid w:val="00331D3B"/>
    <w:rsid w:val="00332C98"/>
    <w:rsid w:val="00334F71"/>
    <w:rsid w:val="00335BB9"/>
    <w:rsid w:val="00336751"/>
    <w:rsid w:val="00336778"/>
    <w:rsid w:val="003374FD"/>
    <w:rsid w:val="00337DD6"/>
    <w:rsid w:val="003416AA"/>
    <w:rsid w:val="003416BC"/>
    <w:rsid w:val="00345BF6"/>
    <w:rsid w:val="00350E12"/>
    <w:rsid w:val="00351789"/>
    <w:rsid w:val="00352485"/>
    <w:rsid w:val="00352525"/>
    <w:rsid w:val="003539D7"/>
    <w:rsid w:val="00353D6B"/>
    <w:rsid w:val="003617F2"/>
    <w:rsid w:val="00361966"/>
    <w:rsid w:val="00362BF4"/>
    <w:rsid w:val="00364D73"/>
    <w:rsid w:val="00367064"/>
    <w:rsid w:val="00371E5D"/>
    <w:rsid w:val="00371F36"/>
    <w:rsid w:val="00372023"/>
    <w:rsid w:val="00374191"/>
    <w:rsid w:val="0037679D"/>
    <w:rsid w:val="00376F53"/>
    <w:rsid w:val="003825C6"/>
    <w:rsid w:val="00382F33"/>
    <w:rsid w:val="00383F4C"/>
    <w:rsid w:val="00383FF4"/>
    <w:rsid w:val="00384607"/>
    <w:rsid w:val="00386FF4"/>
    <w:rsid w:val="00387621"/>
    <w:rsid w:val="0039122B"/>
    <w:rsid w:val="003916C3"/>
    <w:rsid w:val="0039293A"/>
    <w:rsid w:val="00392FBD"/>
    <w:rsid w:val="00393220"/>
    <w:rsid w:val="00397184"/>
    <w:rsid w:val="003A0041"/>
    <w:rsid w:val="003A1028"/>
    <w:rsid w:val="003A3458"/>
    <w:rsid w:val="003A42FD"/>
    <w:rsid w:val="003A4D10"/>
    <w:rsid w:val="003A562E"/>
    <w:rsid w:val="003A59AE"/>
    <w:rsid w:val="003A62E4"/>
    <w:rsid w:val="003A6828"/>
    <w:rsid w:val="003A6BA2"/>
    <w:rsid w:val="003A7FDB"/>
    <w:rsid w:val="003B02F6"/>
    <w:rsid w:val="003B11EC"/>
    <w:rsid w:val="003B1809"/>
    <w:rsid w:val="003B1C29"/>
    <w:rsid w:val="003B21FD"/>
    <w:rsid w:val="003B38C6"/>
    <w:rsid w:val="003B3945"/>
    <w:rsid w:val="003B50B1"/>
    <w:rsid w:val="003B5EF2"/>
    <w:rsid w:val="003B5FCD"/>
    <w:rsid w:val="003B765B"/>
    <w:rsid w:val="003C1B16"/>
    <w:rsid w:val="003C2368"/>
    <w:rsid w:val="003C2B6F"/>
    <w:rsid w:val="003C3387"/>
    <w:rsid w:val="003C43AE"/>
    <w:rsid w:val="003C4CF4"/>
    <w:rsid w:val="003C4F53"/>
    <w:rsid w:val="003C5F9F"/>
    <w:rsid w:val="003D13E5"/>
    <w:rsid w:val="003D1899"/>
    <w:rsid w:val="003D18A7"/>
    <w:rsid w:val="003D354D"/>
    <w:rsid w:val="003D35E3"/>
    <w:rsid w:val="003D3974"/>
    <w:rsid w:val="003D3996"/>
    <w:rsid w:val="003D3BD9"/>
    <w:rsid w:val="003D51E0"/>
    <w:rsid w:val="003D7A97"/>
    <w:rsid w:val="003E0503"/>
    <w:rsid w:val="003E1FE7"/>
    <w:rsid w:val="003E42F3"/>
    <w:rsid w:val="003E5315"/>
    <w:rsid w:val="003E5423"/>
    <w:rsid w:val="003E5A1E"/>
    <w:rsid w:val="003E5BF2"/>
    <w:rsid w:val="003E5F3F"/>
    <w:rsid w:val="003E6CB3"/>
    <w:rsid w:val="003E7512"/>
    <w:rsid w:val="003F1009"/>
    <w:rsid w:val="003F1C70"/>
    <w:rsid w:val="003F1F1D"/>
    <w:rsid w:val="003F261F"/>
    <w:rsid w:val="003F3531"/>
    <w:rsid w:val="003F3BF4"/>
    <w:rsid w:val="003F42A8"/>
    <w:rsid w:val="003F5B64"/>
    <w:rsid w:val="003F71EB"/>
    <w:rsid w:val="003F7640"/>
    <w:rsid w:val="003F7B27"/>
    <w:rsid w:val="0040267E"/>
    <w:rsid w:val="00405CBD"/>
    <w:rsid w:val="004072EC"/>
    <w:rsid w:val="004106FF"/>
    <w:rsid w:val="004109A1"/>
    <w:rsid w:val="00410E30"/>
    <w:rsid w:val="00411D94"/>
    <w:rsid w:val="004124A9"/>
    <w:rsid w:val="004130E5"/>
    <w:rsid w:val="00413304"/>
    <w:rsid w:val="00413674"/>
    <w:rsid w:val="00414FF5"/>
    <w:rsid w:val="00416E29"/>
    <w:rsid w:val="00416F54"/>
    <w:rsid w:val="0042019B"/>
    <w:rsid w:val="004210EC"/>
    <w:rsid w:val="00421AB0"/>
    <w:rsid w:val="00424002"/>
    <w:rsid w:val="00424D58"/>
    <w:rsid w:val="00426083"/>
    <w:rsid w:val="00431329"/>
    <w:rsid w:val="0043229B"/>
    <w:rsid w:val="00432B06"/>
    <w:rsid w:val="00432D6A"/>
    <w:rsid w:val="00437442"/>
    <w:rsid w:val="00441446"/>
    <w:rsid w:val="00442209"/>
    <w:rsid w:val="004424CB"/>
    <w:rsid w:val="00444DA6"/>
    <w:rsid w:val="004507E2"/>
    <w:rsid w:val="0045095A"/>
    <w:rsid w:val="00450E8F"/>
    <w:rsid w:val="00451601"/>
    <w:rsid w:val="004517DC"/>
    <w:rsid w:val="0045466A"/>
    <w:rsid w:val="00454F3D"/>
    <w:rsid w:val="00455910"/>
    <w:rsid w:val="0045607C"/>
    <w:rsid w:val="0045658D"/>
    <w:rsid w:val="00456D50"/>
    <w:rsid w:val="004573A6"/>
    <w:rsid w:val="0045759A"/>
    <w:rsid w:val="00457865"/>
    <w:rsid w:val="004607E7"/>
    <w:rsid w:val="004611E3"/>
    <w:rsid w:val="00461D4C"/>
    <w:rsid w:val="004641AB"/>
    <w:rsid w:val="00464A9E"/>
    <w:rsid w:val="0046737A"/>
    <w:rsid w:val="00467BDC"/>
    <w:rsid w:val="004701C4"/>
    <w:rsid w:val="00470B65"/>
    <w:rsid w:val="00470D45"/>
    <w:rsid w:val="00470DBA"/>
    <w:rsid w:val="004725F0"/>
    <w:rsid w:val="00472F60"/>
    <w:rsid w:val="00473CFA"/>
    <w:rsid w:val="0047503D"/>
    <w:rsid w:val="00475BA4"/>
    <w:rsid w:val="00476DE5"/>
    <w:rsid w:val="00477592"/>
    <w:rsid w:val="004778A0"/>
    <w:rsid w:val="00477B5B"/>
    <w:rsid w:val="00477F9D"/>
    <w:rsid w:val="0048109C"/>
    <w:rsid w:val="00481ED3"/>
    <w:rsid w:val="0048303D"/>
    <w:rsid w:val="00483D42"/>
    <w:rsid w:val="0048401B"/>
    <w:rsid w:val="00484694"/>
    <w:rsid w:val="00484F01"/>
    <w:rsid w:val="004858F1"/>
    <w:rsid w:val="00487311"/>
    <w:rsid w:val="004878D5"/>
    <w:rsid w:val="00487F90"/>
    <w:rsid w:val="00492DCD"/>
    <w:rsid w:val="004930BE"/>
    <w:rsid w:val="00493360"/>
    <w:rsid w:val="00493865"/>
    <w:rsid w:val="00493E56"/>
    <w:rsid w:val="00493F33"/>
    <w:rsid w:val="00494F54"/>
    <w:rsid w:val="00495360"/>
    <w:rsid w:val="00495791"/>
    <w:rsid w:val="004960EE"/>
    <w:rsid w:val="004A07FE"/>
    <w:rsid w:val="004A1039"/>
    <w:rsid w:val="004A2DF9"/>
    <w:rsid w:val="004A3097"/>
    <w:rsid w:val="004A4867"/>
    <w:rsid w:val="004A53C4"/>
    <w:rsid w:val="004A5EB7"/>
    <w:rsid w:val="004A6125"/>
    <w:rsid w:val="004A671E"/>
    <w:rsid w:val="004A6A44"/>
    <w:rsid w:val="004A6E8A"/>
    <w:rsid w:val="004B0DD9"/>
    <w:rsid w:val="004B25BE"/>
    <w:rsid w:val="004B3E96"/>
    <w:rsid w:val="004B4ED3"/>
    <w:rsid w:val="004B6394"/>
    <w:rsid w:val="004B6494"/>
    <w:rsid w:val="004B6B41"/>
    <w:rsid w:val="004B7C1D"/>
    <w:rsid w:val="004C0AA3"/>
    <w:rsid w:val="004C23AA"/>
    <w:rsid w:val="004C48C8"/>
    <w:rsid w:val="004C4F07"/>
    <w:rsid w:val="004C7469"/>
    <w:rsid w:val="004C7690"/>
    <w:rsid w:val="004C77C2"/>
    <w:rsid w:val="004D17F5"/>
    <w:rsid w:val="004D1952"/>
    <w:rsid w:val="004D495A"/>
    <w:rsid w:val="004D5F79"/>
    <w:rsid w:val="004D62EC"/>
    <w:rsid w:val="004D685B"/>
    <w:rsid w:val="004E0437"/>
    <w:rsid w:val="004E0F0B"/>
    <w:rsid w:val="004E0F12"/>
    <w:rsid w:val="004E1823"/>
    <w:rsid w:val="004E32D6"/>
    <w:rsid w:val="004E6028"/>
    <w:rsid w:val="004E7FBD"/>
    <w:rsid w:val="004F0A81"/>
    <w:rsid w:val="004F163E"/>
    <w:rsid w:val="004F2A3F"/>
    <w:rsid w:val="004F3283"/>
    <w:rsid w:val="004F3D77"/>
    <w:rsid w:val="004F4562"/>
    <w:rsid w:val="004F7534"/>
    <w:rsid w:val="00501096"/>
    <w:rsid w:val="0050152F"/>
    <w:rsid w:val="00501D66"/>
    <w:rsid w:val="00502BCF"/>
    <w:rsid w:val="00503CA3"/>
    <w:rsid w:val="005064A0"/>
    <w:rsid w:val="00506B23"/>
    <w:rsid w:val="00507E05"/>
    <w:rsid w:val="00510950"/>
    <w:rsid w:val="00511113"/>
    <w:rsid w:val="00512343"/>
    <w:rsid w:val="0051322C"/>
    <w:rsid w:val="00514279"/>
    <w:rsid w:val="0051684C"/>
    <w:rsid w:val="00517A47"/>
    <w:rsid w:val="00521257"/>
    <w:rsid w:val="00523001"/>
    <w:rsid w:val="005236DA"/>
    <w:rsid w:val="00524602"/>
    <w:rsid w:val="00525953"/>
    <w:rsid w:val="00525BB6"/>
    <w:rsid w:val="005273F8"/>
    <w:rsid w:val="0053033A"/>
    <w:rsid w:val="00531271"/>
    <w:rsid w:val="00531E63"/>
    <w:rsid w:val="00534727"/>
    <w:rsid w:val="00534F23"/>
    <w:rsid w:val="00535263"/>
    <w:rsid w:val="00536540"/>
    <w:rsid w:val="00536C95"/>
    <w:rsid w:val="00537027"/>
    <w:rsid w:val="00537257"/>
    <w:rsid w:val="00540173"/>
    <w:rsid w:val="00540EFC"/>
    <w:rsid w:val="005412AC"/>
    <w:rsid w:val="00541337"/>
    <w:rsid w:val="00541865"/>
    <w:rsid w:val="00542C37"/>
    <w:rsid w:val="00543869"/>
    <w:rsid w:val="00543A5B"/>
    <w:rsid w:val="00543C36"/>
    <w:rsid w:val="0054528D"/>
    <w:rsid w:val="00546A2E"/>
    <w:rsid w:val="00546BF3"/>
    <w:rsid w:val="00550217"/>
    <w:rsid w:val="005505E3"/>
    <w:rsid w:val="00553704"/>
    <w:rsid w:val="0055450C"/>
    <w:rsid w:val="0055562B"/>
    <w:rsid w:val="005559E3"/>
    <w:rsid w:val="00557ACE"/>
    <w:rsid w:val="00557D2F"/>
    <w:rsid w:val="005615AB"/>
    <w:rsid w:val="00561D63"/>
    <w:rsid w:val="0056705B"/>
    <w:rsid w:val="0057028D"/>
    <w:rsid w:val="0057155B"/>
    <w:rsid w:val="005716D7"/>
    <w:rsid w:val="00571763"/>
    <w:rsid w:val="005719F2"/>
    <w:rsid w:val="00572349"/>
    <w:rsid w:val="00573048"/>
    <w:rsid w:val="005730C1"/>
    <w:rsid w:val="0057329D"/>
    <w:rsid w:val="0057526F"/>
    <w:rsid w:val="00575B8D"/>
    <w:rsid w:val="00575D5C"/>
    <w:rsid w:val="00576FF4"/>
    <w:rsid w:val="00577018"/>
    <w:rsid w:val="005805A8"/>
    <w:rsid w:val="005811BA"/>
    <w:rsid w:val="00581765"/>
    <w:rsid w:val="00582768"/>
    <w:rsid w:val="005838D9"/>
    <w:rsid w:val="00584184"/>
    <w:rsid w:val="005849DB"/>
    <w:rsid w:val="00585334"/>
    <w:rsid w:val="0058735A"/>
    <w:rsid w:val="00590C24"/>
    <w:rsid w:val="00590D93"/>
    <w:rsid w:val="00590F17"/>
    <w:rsid w:val="005912CC"/>
    <w:rsid w:val="00591901"/>
    <w:rsid w:val="00591D22"/>
    <w:rsid w:val="00591EB8"/>
    <w:rsid w:val="0059204A"/>
    <w:rsid w:val="0059257A"/>
    <w:rsid w:val="005928A7"/>
    <w:rsid w:val="00593FC2"/>
    <w:rsid w:val="00594940"/>
    <w:rsid w:val="005952E2"/>
    <w:rsid w:val="00595339"/>
    <w:rsid w:val="0059542A"/>
    <w:rsid w:val="0059770B"/>
    <w:rsid w:val="005A008F"/>
    <w:rsid w:val="005A27CF"/>
    <w:rsid w:val="005A3159"/>
    <w:rsid w:val="005A411E"/>
    <w:rsid w:val="005A5206"/>
    <w:rsid w:val="005A62AC"/>
    <w:rsid w:val="005A746C"/>
    <w:rsid w:val="005A7800"/>
    <w:rsid w:val="005B1189"/>
    <w:rsid w:val="005B1E31"/>
    <w:rsid w:val="005B386E"/>
    <w:rsid w:val="005B478B"/>
    <w:rsid w:val="005B58D6"/>
    <w:rsid w:val="005B5B92"/>
    <w:rsid w:val="005B6260"/>
    <w:rsid w:val="005C1099"/>
    <w:rsid w:val="005C12CA"/>
    <w:rsid w:val="005C1E3A"/>
    <w:rsid w:val="005C2037"/>
    <w:rsid w:val="005C2DF0"/>
    <w:rsid w:val="005C2F1A"/>
    <w:rsid w:val="005C3B60"/>
    <w:rsid w:val="005C4432"/>
    <w:rsid w:val="005C4953"/>
    <w:rsid w:val="005C6CBD"/>
    <w:rsid w:val="005D14BA"/>
    <w:rsid w:val="005D17B7"/>
    <w:rsid w:val="005D22F5"/>
    <w:rsid w:val="005D32A3"/>
    <w:rsid w:val="005D3952"/>
    <w:rsid w:val="005D3E43"/>
    <w:rsid w:val="005D40D4"/>
    <w:rsid w:val="005D5C84"/>
    <w:rsid w:val="005D79EF"/>
    <w:rsid w:val="005D7BE7"/>
    <w:rsid w:val="005E1061"/>
    <w:rsid w:val="005E1B84"/>
    <w:rsid w:val="005E2A0E"/>
    <w:rsid w:val="005E5DC2"/>
    <w:rsid w:val="005E62E3"/>
    <w:rsid w:val="005E64E5"/>
    <w:rsid w:val="005F06F9"/>
    <w:rsid w:val="005F7CA5"/>
    <w:rsid w:val="005F7CAF"/>
    <w:rsid w:val="00600FC3"/>
    <w:rsid w:val="006016AC"/>
    <w:rsid w:val="00601816"/>
    <w:rsid w:val="0060199C"/>
    <w:rsid w:val="00602977"/>
    <w:rsid w:val="00602B90"/>
    <w:rsid w:val="006032FB"/>
    <w:rsid w:val="00603D83"/>
    <w:rsid w:val="00604183"/>
    <w:rsid w:val="00604613"/>
    <w:rsid w:val="00604FB0"/>
    <w:rsid w:val="006051A3"/>
    <w:rsid w:val="00605CD5"/>
    <w:rsid w:val="0060743F"/>
    <w:rsid w:val="00607847"/>
    <w:rsid w:val="00607B2B"/>
    <w:rsid w:val="00610327"/>
    <w:rsid w:val="00614102"/>
    <w:rsid w:val="00614D9A"/>
    <w:rsid w:val="00614F47"/>
    <w:rsid w:val="006153A0"/>
    <w:rsid w:val="00615AAC"/>
    <w:rsid w:val="00615D8E"/>
    <w:rsid w:val="0061788D"/>
    <w:rsid w:val="0062070F"/>
    <w:rsid w:val="00621A28"/>
    <w:rsid w:val="00621C0C"/>
    <w:rsid w:val="0062244F"/>
    <w:rsid w:val="006232A6"/>
    <w:rsid w:val="0062342A"/>
    <w:rsid w:val="00623798"/>
    <w:rsid w:val="006237BB"/>
    <w:rsid w:val="00623EBA"/>
    <w:rsid w:val="0062553E"/>
    <w:rsid w:val="0062578A"/>
    <w:rsid w:val="0062593D"/>
    <w:rsid w:val="00626DFE"/>
    <w:rsid w:val="00627702"/>
    <w:rsid w:val="00630AD7"/>
    <w:rsid w:val="00632BBB"/>
    <w:rsid w:val="006331DA"/>
    <w:rsid w:val="00633326"/>
    <w:rsid w:val="0063461B"/>
    <w:rsid w:val="00634736"/>
    <w:rsid w:val="00634DBA"/>
    <w:rsid w:val="006350A1"/>
    <w:rsid w:val="00635BA0"/>
    <w:rsid w:val="00635EF3"/>
    <w:rsid w:val="00640097"/>
    <w:rsid w:val="006406F4"/>
    <w:rsid w:val="00640F18"/>
    <w:rsid w:val="006416DA"/>
    <w:rsid w:val="006417EC"/>
    <w:rsid w:val="00642498"/>
    <w:rsid w:val="006437FE"/>
    <w:rsid w:val="00644B5B"/>
    <w:rsid w:val="00645DF9"/>
    <w:rsid w:val="00646A84"/>
    <w:rsid w:val="00650B81"/>
    <w:rsid w:val="00652415"/>
    <w:rsid w:val="0065255B"/>
    <w:rsid w:val="0065365A"/>
    <w:rsid w:val="00654AD2"/>
    <w:rsid w:val="0065608D"/>
    <w:rsid w:val="00656274"/>
    <w:rsid w:val="00656AB8"/>
    <w:rsid w:val="006572C3"/>
    <w:rsid w:val="006577F2"/>
    <w:rsid w:val="00657E10"/>
    <w:rsid w:val="00657E58"/>
    <w:rsid w:val="00660EB5"/>
    <w:rsid w:val="00662212"/>
    <w:rsid w:val="0066335C"/>
    <w:rsid w:val="00665497"/>
    <w:rsid w:val="00665E28"/>
    <w:rsid w:val="006661B6"/>
    <w:rsid w:val="00666F41"/>
    <w:rsid w:val="00667011"/>
    <w:rsid w:val="0067029E"/>
    <w:rsid w:val="00671196"/>
    <w:rsid w:val="00671444"/>
    <w:rsid w:val="00671E7A"/>
    <w:rsid w:val="00672487"/>
    <w:rsid w:val="006753AE"/>
    <w:rsid w:val="00675723"/>
    <w:rsid w:val="006765DE"/>
    <w:rsid w:val="0067664E"/>
    <w:rsid w:val="00676D4F"/>
    <w:rsid w:val="00677B42"/>
    <w:rsid w:val="00680C1B"/>
    <w:rsid w:val="00682468"/>
    <w:rsid w:val="0068254D"/>
    <w:rsid w:val="00682C73"/>
    <w:rsid w:val="00683088"/>
    <w:rsid w:val="00683966"/>
    <w:rsid w:val="00683ECB"/>
    <w:rsid w:val="00684095"/>
    <w:rsid w:val="0068580C"/>
    <w:rsid w:val="00687FF2"/>
    <w:rsid w:val="0069100C"/>
    <w:rsid w:val="0069124C"/>
    <w:rsid w:val="00691926"/>
    <w:rsid w:val="00697E04"/>
    <w:rsid w:val="006A06EB"/>
    <w:rsid w:val="006A2469"/>
    <w:rsid w:val="006A28CE"/>
    <w:rsid w:val="006A29EA"/>
    <w:rsid w:val="006A2D59"/>
    <w:rsid w:val="006A593C"/>
    <w:rsid w:val="006A63AD"/>
    <w:rsid w:val="006A75EB"/>
    <w:rsid w:val="006A7D05"/>
    <w:rsid w:val="006B06AF"/>
    <w:rsid w:val="006B138B"/>
    <w:rsid w:val="006B1FA0"/>
    <w:rsid w:val="006B2503"/>
    <w:rsid w:val="006B2D38"/>
    <w:rsid w:val="006B348B"/>
    <w:rsid w:val="006B36E1"/>
    <w:rsid w:val="006B6B5A"/>
    <w:rsid w:val="006B6C53"/>
    <w:rsid w:val="006C1073"/>
    <w:rsid w:val="006C10AB"/>
    <w:rsid w:val="006C1A84"/>
    <w:rsid w:val="006C1CC1"/>
    <w:rsid w:val="006C250B"/>
    <w:rsid w:val="006C420C"/>
    <w:rsid w:val="006C54A4"/>
    <w:rsid w:val="006C6CA5"/>
    <w:rsid w:val="006C6E36"/>
    <w:rsid w:val="006C703A"/>
    <w:rsid w:val="006C72E5"/>
    <w:rsid w:val="006C7478"/>
    <w:rsid w:val="006C77EC"/>
    <w:rsid w:val="006D30FE"/>
    <w:rsid w:val="006D3C95"/>
    <w:rsid w:val="006D7FDA"/>
    <w:rsid w:val="006E0CA3"/>
    <w:rsid w:val="006E1B6D"/>
    <w:rsid w:val="006E22EE"/>
    <w:rsid w:val="006E2BCE"/>
    <w:rsid w:val="006E3DA0"/>
    <w:rsid w:val="006E6EA0"/>
    <w:rsid w:val="006E77C4"/>
    <w:rsid w:val="006E7C40"/>
    <w:rsid w:val="006F08A3"/>
    <w:rsid w:val="006F0E36"/>
    <w:rsid w:val="006F1462"/>
    <w:rsid w:val="006F1B05"/>
    <w:rsid w:val="006F342D"/>
    <w:rsid w:val="006F3FD5"/>
    <w:rsid w:val="006F44CB"/>
    <w:rsid w:val="006F4E9A"/>
    <w:rsid w:val="006F56D8"/>
    <w:rsid w:val="0070093D"/>
    <w:rsid w:val="007009E3"/>
    <w:rsid w:val="00701AF0"/>
    <w:rsid w:val="00702631"/>
    <w:rsid w:val="007028F7"/>
    <w:rsid w:val="00704290"/>
    <w:rsid w:val="00705E4A"/>
    <w:rsid w:val="00706115"/>
    <w:rsid w:val="007065C5"/>
    <w:rsid w:val="007066D8"/>
    <w:rsid w:val="0071285B"/>
    <w:rsid w:val="00712891"/>
    <w:rsid w:val="00713960"/>
    <w:rsid w:val="00715D11"/>
    <w:rsid w:val="00716989"/>
    <w:rsid w:val="007212C9"/>
    <w:rsid w:val="00721724"/>
    <w:rsid w:val="0072202E"/>
    <w:rsid w:val="007223D6"/>
    <w:rsid w:val="00724CA4"/>
    <w:rsid w:val="0072681F"/>
    <w:rsid w:val="00726B86"/>
    <w:rsid w:val="00727001"/>
    <w:rsid w:val="0072766F"/>
    <w:rsid w:val="00731ACF"/>
    <w:rsid w:val="00732B3F"/>
    <w:rsid w:val="007330EA"/>
    <w:rsid w:val="007340C9"/>
    <w:rsid w:val="0073618E"/>
    <w:rsid w:val="00737217"/>
    <w:rsid w:val="00737C29"/>
    <w:rsid w:val="00737F53"/>
    <w:rsid w:val="0074076C"/>
    <w:rsid w:val="00742652"/>
    <w:rsid w:val="00743615"/>
    <w:rsid w:val="00743BB8"/>
    <w:rsid w:val="007470C4"/>
    <w:rsid w:val="007500A4"/>
    <w:rsid w:val="007522EC"/>
    <w:rsid w:val="00753336"/>
    <w:rsid w:val="00754A9F"/>
    <w:rsid w:val="00754B70"/>
    <w:rsid w:val="00755EC4"/>
    <w:rsid w:val="0075725A"/>
    <w:rsid w:val="00757690"/>
    <w:rsid w:val="00760479"/>
    <w:rsid w:val="0076580C"/>
    <w:rsid w:val="00766B4F"/>
    <w:rsid w:val="007678DA"/>
    <w:rsid w:val="0077281C"/>
    <w:rsid w:val="007728FC"/>
    <w:rsid w:val="00773AF5"/>
    <w:rsid w:val="0077498C"/>
    <w:rsid w:val="0077541C"/>
    <w:rsid w:val="007767CD"/>
    <w:rsid w:val="00777300"/>
    <w:rsid w:val="00777697"/>
    <w:rsid w:val="00780CD3"/>
    <w:rsid w:val="00781989"/>
    <w:rsid w:val="007824D1"/>
    <w:rsid w:val="00782601"/>
    <w:rsid w:val="00782FAA"/>
    <w:rsid w:val="00785273"/>
    <w:rsid w:val="0078654A"/>
    <w:rsid w:val="00786EE7"/>
    <w:rsid w:val="007870A8"/>
    <w:rsid w:val="0078771C"/>
    <w:rsid w:val="00787ACB"/>
    <w:rsid w:val="00790718"/>
    <w:rsid w:val="00794CA2"/>
    <w:rsid w:val="00795991"/>
    <w:rsid w:val="00796724"/>
    <w:rsid w:val="007A10E9"/>
    <w:rsid w:val="007A137D"/>
    <w:rsid w:val="007A14FB"/>
    <w:rsid w:val="007A26CC"/>
    <w:rsid w:val="007A2EF8"/>
    <w:rsid w:val="007A41B9"/>
    <w:rsid w:val="007A4377"/>
    <w:rsid w:val="007A4BFC"/>
    <w:rsid w:val="007A4FE0"/>
    <w:rsid w:val="007A5155"/>
    <w:rsid w:val="007A58DB"/>
    <w:rsid w:val="007A5F61"/>
    <w:rsid w:val="007A6814"/>
    <w:rsid w:val="007A6C13"/>
    <w:rsid w:val="007B0007"/>
    <w:rsid w:val="007B0E8A"/>
    <w:rsid w:val="007B18A7"/>
    <w:rsid w:val="007B22B4"/>
    <w:rsid w:val="007B2541"/>
    <w:rsid w:val="007B477E"/>
    <w:rsid w:val="007B6936"/>
    <w:rsid w:val="007B7735"/>
    <w:rsid w:val="007C0DFC"/>
    <w:rsid w:val="007C3199"/>
    <w:rsid w:val="007C335B"/>
    <w:rsid w:val="007C39C6"/>
    <w:rsid w:val="007C4671"/>
    <w:rsid w:val="007C5480"/>
    <w:rsid w:val="007C596C"/>
    <w:rsid w:val="007C6489"/>
    <w:rsid w:val="007C6642"/>
    <w:rsid w:val="007C7B20"/>
    <w:rsid w:val="007D0362"/>
    <w:rsid w:val="007D10C7"/>
    <w:rsid w:val="007D1900"/>
    <w:rsid w:val="007D324B"/>
    <w:rsid w:val="007D4B00"/>
    <w:rsid w:val="007D6195"/>
    <w:rsid w:val="007D6EC1"/>
    <w:rsid w:val="007D7AA5"/>
    <w:rsid w:val="007E024F"/>
    <w:rsid w:val="007E1960"/>
    <w:rsid w:val="007E1BAB"/>
    <w:rsid w:val="007E2A57"/>
    <w:rsid w:val="007E2E21"/>
    <w:rsid w:val="007E2FC6"/>
    <w:rsid w:val="007E4420"/>
    <w:rsid w:val="007E44BA"/>
    <w:rsid w:val="007E5D21"/>
    <w:rsid w:val="007E5EB9"/>
    <w:rsid w:val="007F003C"/>
    <w:rsid w:val="007F09CD"/>
    <w:rsid w:val="007F23CF"/>
    <w:rsid w:val="007F3D46"/>
    <w:rsid w:val="007F3EA4"/>
    <w:rsid w:val="007F56C1"/>
    <w:rsid w:val="007F6C56"/>
    <w:rsid w:val="007F7069"/>
    <w:rsid w:val="0080018D"/>
    <w:rsid w:val="00800422"/>
    <w:rsid w:val="008017DD"/>
    <w:rsid w:val="00801847"/>
    <w:rsid w:val="008029A2"/>
    <w:rsid w:val="00803F4B"/>
    <w:rsid w:val="00804D47"/>
    <w:rsid w:val="00805502"/>
    <w:rsid w:val="008072D0"/>
    <w:rsid w:val="00810A7C"/>
    <w:rsid w:val="00810F43"/>
    <w:rsid w:val="008116F4"/>
    <w:rsid w:val="00813262"/>
    <w:rsid w:val="00814CA9"/>
    <w:rsid w:val="00815004"/>
    <w:rsid w:val="00815987"/>
    <w:rsid w:val="00815BA8"/>
    <w:rsid w:val="0081685B"/>
    <w:rsid w:val="00816FEC"/>
    <w:rsid w:val="00817E4C"/>
    <w:rsid w:val="00821603"/>
    <w:rsid w:val="0082256B"/>
    <w:rsid w:val="0082266C"/>
    <w:rsid w:val="00822CB9"/>
    <w:rsid w:val="00825096"/>
    <w:rsid w:val="0082606C"/>
    <w:rsid w:val="00826699"/>
    <w:rsid w:val="00831257"/>
    <w:rsid w:val="0083140F"/>
    <w:rsid w:val="00834A04"/>
    <w:rsid w:val="008376C2"/>
    <w:rsid w:val="008377F9"/>
    <w:rsid w:val="00840242"/>
    <w:rsid w:val="008407D9"/>
    <w:rsid w:val="00841C9C"/>
    <w:rsid w:val="00842714"/>
    <w:rsid w:val="00843F7B"/>
    <w:rsid w:val="0084438E"/>
    <w:rsid w:val="0084492D"/>
    <w:rsid w:val="00844D1E"/>
    <w:rsid w:val="00844EE4"/>
    <w:rsid w:val="00847E50"/>
    <w:rsid w:val="008500A1"/>
    <w:rsid w:val="008501A9"/>
    <w:rsid w:val="00855613"/>
    <w:rsid w:val="0085641A"/>
    <w:rsid w:val="00857405"/>
    <w:rsid w:val="008634C1"/>
    <w:rsid w:val="0086368E"/>
    <w:rsid w:val="00863785"/>
    <w:rsid w:val="00864B60"/>
    <w:rsid w:val="008657A9"/>
    <w:rsid w:val="008658D6"/>
    <w:rsid w:val="00865AFC"/>
    <w:rsid w:val="00865FC3"/>
    <w:rsid w:val="00866D7F"/>
    <w:rsid w:val="00866FB1"/>
    <w:rsid w:val="008707CE"/>
    <w:rsid w:val="00870F59"/>
    <w:rsid w:val="00871138"/>
    <w:rsid w:val="008715FB"/>
    <w:rsid w:val="00872D83"/>
    <w:rsid w:val="00873461"/>
    <w:rsid w:val="0087407C"/>
    <w:rsid w:val="0087489D"/>
    <w:rsid w:val="0087548B"/>
    <w:rsid w:val="00875C08"/>
    <w:rsid w:val="00876770"/>
    <w:rsid w:val="00876DEE"/>
    <w:rsid w:val="00880526"/>
    <w:rsid w:val="00881840"/>
    <w:rsid w:val="00881CEC"/>
    <w:rsid w:val="008820B5"/>
    <w:rsid w:val="008823CE"/>
    <w:rsid w:val="00882442"/>
    <w:rsid w:val="00882478"/>
    <w:rsid w:val="00882A60"/>
    <w:rsid w:val="00885125"/>
    <w:rsid w:val="0088638D"/>
    <w:rsid w:val="008863D9"/>
    <w:rsid w:val="0088649E"/>
    <w:rsid w:val="00886785"/>
    <w:rsid w:val="00886AF7"/>
    <w:rsid w:val="008900E7"/>
    <w:rsid w:val="0089136B"/>
    <w:rsid w:val="00891FAA"/>
    <w:rsid w:val="008928BB"/>
    <w:rsid w:val="008932CD"/>
    <w:rsid w:val="00893FB3"/>
    <w:rsid w:val="00894DCD"/>
    <w:rsid w:val="00895924"/>
    <w:rsid w:val="00896342"/>
    <w:rsid w:val="00897079"/>
    <w:rsid w:val="00897B81"/>
    <w:rsid w:val="00897C19"/>
    <w:rsid w:val="008A0D84"/>
    <w:rsid w:val="008A17EB"/>
    <w:rsid w:val="008A1B70"/>
    <w:rsid w:val="008A3112"/>
    <w:rsid w:val="008A4792"/>
    <w:rsid w:val="008A4D0B"/>
    <w:rsid w:val="008A5E65"/>
    <w:rsid w:val="008A6619"/>
    <w:rsid w:val="008A6B9B"/>
    <w:rsid w:val="008A7CAD"/>
    <w:rsid w:val="008B09E1"/>
    <w:rsid w:val="008B1010"/>
    <w:rsid w:val="008B1918"/>
    <w:rsid w:val="008B3160"/>
    <w:rsid w:val="008B3608"/>
    <w:rsid w:val="008B4C7A"/>
    <w:rsid w:val="008B6A84"/>
    <w:rsid w:val="008B79F0"/>
    <w:rsid w:val="008C0847"/>
    <w:rsid w:val="008C0CD5"/>
    <w:rsid w:val="008C3036"/>
    <w:rsid w:val="008C35AC"/>
    <w:rsid w:val="008C3DA2"/>
    <w:rsid w:val="008C6307"/>
    <w:rsid w:val="008D02C0"/>
    <w:rsid w:val="008D050B"/>
    <w:rsid w:val="008D1674"/>
    <w:rsid w:val="008D169C"/>
    <w:rsid w:val="008D28EB"/>
    <w:rsid w:val="008D3790"/>
    <w:rsid w:val="008D505D"/>
    <w:rsid w:val="008D57A3"/>
    <w:rsid w:val="008D5B96"/>
    <w:rsid w:val="008D5D80"/>
    <w:rsid w:val="008D6259"/>
    <w:rsid w:val="008D68AE"/>
    <w:rsid w:val="008D7BB3"/>
    <w:rsid w:val="008E0764"/>
    <w:rsid w:val="008E165B"/>
    <w:rsid w:val="008E191D"/>
    <w:rsid w:val="008E3835"/>
    <w:rsid w:val="008E4D6E"/>
    <w:rsid w:val="008E545B"/>
    <w:rsid w:val="008F11C2"/>
    <w:rsid w:val="008F1554"/>
    <w:rsid w:val="008F2DD5"/>
    <w:rsid w:val="008F3868"/>
    <w:rsid w:val="008F54C5"/>
    <w:rsid w:val="008F56BF"/>
    <w:rsid w:val="008F59B6"/>
    <w:rsid w:val="008F63EB"/>
    <w:rsid w:val="008F7883"/>
    <w:rsid w:val="00900779"/>
    <w:rsid w:val="00900A9C"/>
    <w:rsid w:val="00900D1A"/>
    <w:rsid w:val="00901380"/>
    <w:rsid w:val="00901726"/>
    <w:rsid w:val="00901CFA"/>
    <w:rsid w:val="00903019"/>
    <w:rsid w:val="009043B5"/>
    <w:rsid w:val="0090557B"/>
    <w:rsid w:val="00905AC8"/>
    <w:rsid w:val="009062FB"/>
    <w:rsid w:val="0091015C"/>
    <w:rsid w:val="00910B32"/>
    <w:rsid w:val="00910C3B"/>
    <w:rsid w:val="00911AC4"/>
    <w:rsid w:val="00911D0A"/>
    <w:rsid w:val="00911ED2"/>
    <w:rsid w:val="009120C5"/>
    <w:rsid w:val="0091611D"/>
    <w:rsid w:val="00916C60"/>
    <w:rsid w:val="00917D69"/>
    <w:rsid w:val="009205AF"/>
    <w:rsid w:val="00921AA0"/>
    <w:rsid w:val="00921ABD"/>
    <w:rsid w:val="00921B45"/>
    <w:rsid w:val="00922498"/>
    <w:rsid w:val="009237EC"/>
    <w:rsid w:val="009238CF"/>
    <w:rsid w:val="00923DB7"/>
    <w:rsid w:val="00924443"/>
    <w:rsid w:val="00924EDF"/>
    <w:rsid w:val="00926233"/>
    <w:rsid w:val="00933D53"/>
    <w:rsid w:val="00935634"/>
    <w:rsid w:val="00937654"/>
    <w:rsid w:val="00937D4A"/>
    <w:rsid w:val="00942771"/>
    <w:rsid w:val="00942BE1"/>
    <w:rsid w:val="009435A3"/>
    <w:rsid w:val="00943C58"/>
    <w:rsid w:val="0094726C"/>
    <w:rsid w:val="00950D50"/>
    <w:rsid w:val="00951639"/>
    <w:rsid w:val="009516C2"/>
    <w:rsid w:val="009529E7"/>
    <w:rsid w:val="0095369B"/>
    <w:rsid w:val="009538AA"/>
    <w:rsid w:val="00954815"/>
    <w:rsid w:val="0095554C"/>
    <w:rsid w:val="00957BFA"/>
    <w:rsid w:val="0096054A"/>
    <w:rsid w:val="0096210B"/>
    <w:rsid w:val="00962613"/>
    <w:rsid w:val="00962FE9"/>
    <w:rsid w:val="00964911"/>
    <w:rsid w:val="009651C0"/>
    <w:rsid w:val="00965222"/>
    <w:rsid w:val="00965987"/>
    <w:rsid w:val="009660FC"/>
    <w:rsid w:val="00967005"/>
    <w:rsid w:val="0097176E"/>
    <w:rsid w:val="00973AB8"/>
    <w:rsid w:val="00973B69"/>
    <w:rsid w:val="00974E7A"/>
    <w:rsid w:val="00975E01"/>
    <w:rsid w:val="00976415"/>
    <w:rsid w:val="00976556"/>
    <w:rsid w:val="00976751"/>
    <w:rsid w:val="00977BC6"/>
    <w:rsid w:val="0098110A"/>
    <w:rsid w:val="009811C7"/>
    <w:rsid w:val="00982395"/>
    <w:rsid w:val="009834D2"/>
    <w:rsid w:val="00983B63"/>
    <w:rsid w:val="00984149"/>
    <w:rsid w:val="00984C61"/>
    <w:rsid w:val="00986D28"/>
    <w:rsid w:val="00987C0E"/>
    <w:rsid w:val="0099073F"/>
    <w:rsid w:val="00991AC7"/>
    <w:rsid w:val="00993897"/>
    <w:rsid w:val="00994E88"/>
    <w:rsid w:val="00994F7D"/>
    <w:rsid w:val="00995A88"/>
    <w:rsid w:val="0099791C"/>
    <w:rsid w:val="009A2000"/>
    <w:rsid w:val="009A3455"/>
    <w:rsid w:val="009A3A70"/>
    <w:rsid w:val="009A489E"/>
    <w:rsid w:val="009A524E"/>
    <w:rsid w:val="009A63F7"/>
    <w:rsid w:val="009A7D3D"/>
    <w:rsid w:val="009B2552"/>
    <w:rsid w:val="009B343F"/>
    <w:rsid w:val="009B3B09"/>
    <w:rsid w:val="009B4870"/>
    <w:rsid w:val="009B50A6"/>
    <w:rsid w:val="009B59D2"/>
    <w:rsid w:val="009B6D1E"/>
    <w:rsid w:val="009C087E"/>
    <w:rsid w:val="009C16DC"/>
    <w:rsid w:val="009C1750"/>
    <w:rsid w:val="009C24BF"/>
    <w:rsid w:val="009C2B08"/>
    <w:rsid w:val="009C32AD"/>
    <w:rsid w:val="009C5114"/>
    <w:rsid w:val="009C5C7D"/>
    <w:rsid w:val="009C6559"/>
    <w:rsid w:val="009C6582"/>
    <w:rsid w:val="009C691B"/>
    <w:rsid w:val="009C6DD7"/>
    <w:rsid w:val="009C7345"/>
    <w:rsid w:val="009C7C71"/>
    <w:rsid w:val="009D0C3F"/>
    <w:rsid w:val="009D1A26"/>
    <w:rsid w:val="009D29AE"/>
    <w:rsid w:val="009D321B"/>
    <w:rsid w:val="009D3F96"/>
    <w:rsid w:val="009D4FC9"/>
    <w:rsid w:val="009D5778"/>
    <w:rsid w:val="009D5E25"/>
    <w:rsid w:val="009D6235"/>
    <w:rsid w:val="009D641E"/>
    <w:rsid w:val="009D6E18"/>
    <w:rsid w:val="009E0045"/>
    <w:rsid w:val="009E0122"/>
    <w:rsid w:val="009E0509"/>
    <w:rsid w:val="009E205F"/>
    <w:rsid w:val="009E432B"/>
    <w:rsid w:val="009E4EE1"/>
    <w:rsid w:val="009E52AD"/>
    <w:rsid w:val="009E549C"/>
    <w:rsid w:val="009E54FA"/>
    <w:rsid w:val="009E6F99"/>
    <w:rsid w:val="009E753E"/>
    <w:rsid w:val="009F1134"/>
    <w:rsid w:val="009F1A70"/>
    <w:rsid w:val="009F26E5"/>
    <w:rsid w:val="009F48B2"/>
    <w:rsid w:val="009F5E43"/>
    <w:rsid w:val="009F65B7"/>
    <w:rsid w:val="009F68A2"/>
    <w:rsid w:val="009F7492"/>
    <w:rsid w:val="009F74A9"/>
    <w:rsid w:val="009F7FA4"/>
    <w:rsid w:val="00A01B1A"/>
    <w:rsid w:val="00A01FA4"/>
    <w:rsid w:val="00A031A6"/>
    <w:rsid w:val="00A03894"/>
    <w:rsid w:val="00A03F42"/>
    <w:rsid w:val="00A04CB1"/>
    <w:rsid w:val="00A04F1A"/>
    <w:rsid w:val="00A0573F"/>
    <w:rsid w:val="00A05B58"/>
    <w:rsid w:val="00A0606F"/>
    <w:rsid w:val="00A07E4A"/>
    <w:rsid w:val="00A102C5"/>
    <w:rsid w:val="00A11799"/>
    <w:rsid w:val="00A11877"/>
    <w:rsid w:val="00A11C1D"/>
    <w:rsid w:val="00A134A8"/>
    <w:rsid w:val="00A134DF"/>
    <w:rsid w:val="00A13705"/>
    <w:rsid w:val="00A13D1E"/>
    <w:rsid w:val="00A151F1"/>
    <w:rsid w:val="00A16D51"/>
    <w:rsid w:val="00A17C96"/>
    <w:rsid w:val="00A17FF3"/>
    <w:rsid w:val="00A2049F"/>
    <w:rsid w:val="00A20609"/>
    <w:rsid w:val="00A20A72"/>
    <w:rsid w:val="00A21E4B"/>
    <w:rsid w:val="00A22E5F"/>
    <w:rsid w:val="00A230DB"/>
    <w:rsid w:val="00A2341F"/>
    <w:rsid w:val="00A23A00"/>
    <w:rsid w:val="00A23EE4"/>
    <w:rsid w:val="00A24FB3"/>
    <w:rsid w:val="00A25403"/>
    <w:rsid w:val="00A268F0"/>
    <w:rsid w:val="00A30A5F"/>
    <w:rsid w:val="00A32582"/>
    <w:rsid w:val="00A32C78"/>
    <w:rsid w:val="00A3536F"/>
    <w:rsid w:val="00A36261"/>
    <w:rsid w:val="00A36557"/>
    <w:rsid w:val="00A366A1"/>
    <w:rsid w:val="00A36D91"/>
    <w:rsid w:val="00A37BC4"/>
    <w:rsid w:val="00A438A1"/>
    <w:rsid w:val="00A43B69"/>
    <w:rsid w:val="00A440C7"/>
    <w:rsid w:val="00A45643"/>
    <w:rsid w:val="00A45AC3"/>
    <w:rsid w:val="00A53FB7"/>
    <w:rsid w:val="00A54190"/>
    <w:rsid w:val="00A565B8"/>
    <w:rsid w:val="00A604EA"/>
    <w:rsid w:val="00A60F28"/>
    <w:rsid w:val="00A611DA"/>
    <w:rsid w:val="00A61879"/>
    <w:rsid w:val="00A621C1"/>
    <w:rsid w:val="00A624D8"/>
    <w:rsid w:val="00A6293C"/>
    <w:rsid w:val="00A62BA5"/>
    <w:rsid w:val="00A62E1B"/>
    <w:rsid w:val="00A62FC8"/>
    <w:rsid w:val="00A6454D"/>
    <w:rsid w:val="00A6471E"/>
    <w:rsid w:val="00A66503"/>
    <w:rsid w:val="00A67889"/>
    <w:rsid w:val="00A6789B"/>
    <w:rsid w:val="00A7026A"/>
    <w:rsid w:val="00A703EA"/>
    <w:rsid w:val="00A736E7"/>
    <w:rsid w:val="00A74F32"/>
    <w:rsid w:val="00A76287"/>
    <w:rsid w:val="00A767BE"/>
    <w:rsid w:val="00A77B5A"/>
    <w:rsid w:val="00A77FA7"/>
    <w:rsid w:val="00A80F5F"/>
    <w:rsid w:val="00A82558"/>
    <w:rsid w:val="00A82898"/>
    <w:rsid w:val="00A82B39"/>
    <w:rsid w:val="00A82F52"/>
    <w:rsid w:val="00A83F2C"/>
    <w:rsid w:val="00A84154"/>
    <w:rsid w:val="00A8428C"/>
    <w:rsid w:val="00A85906"/>
    <w:rsid w:val="00A86F2A"/>
    <w:rsid w:val="00A8720B"/>
    <w:rsid w:val="00A919DB"/>
    <w:rsid w:val="00A91A23"/>
    <w:rsid w:val="00A921F5"/>
    <w:rsid w:val="00A95CF2"/>
    <w:rsid w:val="00A96EC4"/>
    <w:rsid w:val="00A97B47"/>
    <w:rsid w:val="00AA06F4"/>
    <w:rsid w:val="00AA0AC2"/>
    <w:rsid w:val="00AA28EA"/>
    <w:rsid w:val="00AA2CB5"/>
    <w:rsid w:val="00AA4222"/>
    <w:rsid w:val="00AA4EDC"/>
    <w:rsid w:val="00AA6AAB"/>
    <w:rsid w:val="00AA6C65"/>
    <w:rsid w:val="00AA7D8E"/>
    <w:rsid w:val="00AB1BB4"/>
    <w:rsid w:val="00AB3714"/>
    <w:rsid w:val="00AB4970"/>
    <w:rsid w:val="00AB4A4F"/>
    <w:rsid w:val="00AB4DF5"/>
    <w:rsid w:val="00AB4E3D"/>
    <w:rsid w:val="00AB4F86"/>
    <w:rsid w:val="00AB52BB"/>
    <w:rsid w:val="00AB5FD3"/>
    <w:rsid w:val="00AB7374"/>
    <w:rsid w:val="00AC00AE"/>
    <w:rsid w:val="00AC12AF"/>
    <w:rsid w:val="00AC1A7A"/>
    <w:rsid w:val="00AC201F"/>
    <w:rsid w:val="00AC2797"/>
    <w:rsid w:val="00AC2C87"/>
    <w:rsid w:val="00AC328B"/>
    <w:rsid w:val="00AC4374"/>
    <w:rsid w:val="00AC7A04"/>
    <w:rsid w:val="00AC7F64"/>
    <w:rsid w:val="00AD0411"/>
    <w:rsid w:val="00AD070E"/>
    <w:rsid w:val="00AD0BC2"/>
    <w:rsid w:val="00AD2597"/>
    <w:rsid w:val="00AD25F3"/>
    <w:rsid w:val="00AD26EF"/>
    <w:rsid w:val="00AD4E99"/>
    <w:rsid w:val="00AD58AF"/>
    <w:rsid w:val="00AD699F"/>
    <w:rsid w:val="00AE13FA"/>
    <w:rsid w:val="00AE18BE"/>
    <w:rsid w:val="00AE24CE"/>
    <w:rsid w:val="00AE2CB4"/>
    <w:rsid w:val="00AE31DF"/>
    <w:rsid w:val="00AE4374"/>
    <w:rsid w:val="00AE4888"/>
    <w:rsid w:val="00AE55ED"/>
    <w:rsid w:val="00AE57CA"/>
    <w:rsid w:val="00AE61FF"/>
    <w:rsid w:val="00AE68F5"/>
    <w:rsid w:val="00AE78CA"/>
    <w:rsid w:val="00AF00D9"/>
    <w:rsid w:val="00AF04E1"/>
    <w:rsid w:val="00AF0ED6"/>
    <w:rsid w:val="00AF1764"/>
    <w:rsid w:val="00AF1CC9"/>
    <w:rsid w:val="00AF25DB"/>
    <w:rsid w:val="00AF37FC"/>
    <w:rsid w:val="00AF3B45"/>
    <w:rsid w:val="00AF40A5"/>
    <w:rsid w:val="00AF5B5F"/>
    <w:rsid w:val="00AF7F25"/>
    <w:rsid w:val="00B000B0"/>
    <w:rsid w:val="00B00164"/>
    <w:rsid w:val="00B00561"/>
    <w:rsid w:val="00B00F1B"/>
    <w:rsid w:val="00B0211F"/>
    <w:rsid w:val="00B035FC"/>
    <w:rsid w:val="00B03B19"/>
    <w:rsid w:val="00B03B1F"/>
    <w:rsid w:val="00B03F49"/>
    <w:rsid w:val="00B0533C"/>
    <w:rsid w:val="00B053B0"/>
    <w:rsid w:val="00B0794D"/>
    <w:rsid w:val="00B10337"/>
    <w:rsid w:val="00B108D6"/>
    <w:rsid w:val="00B10BF6"/>
    <w:rsid w:val="00B115A2"/>
    <w:rsid w:val="00B12840"/>
    <w:rsid w:val="00B12C80"/>
    <w:rsid w:val="00B12EC0"/>
    <w:rsid w:val="00B15E94"/>
    <w:rsid w:val="00B16947"/>
    <w:rsid w:val="00B16F56"/>
    <w:rsid w:val="00B20C1E"/>
    <w:rsid w:val="00B20ECF"/>
    <w:rsid w:val="00B21407"/>
    <w:rsid w:val="00B214A5"/>
    <w:rsid w:val="00B21F14"/>
    <w:rsid w:val="00B2244D"/>
    <w:rsid w:val="00B22F92"/>
    <w:rsid w:val="00B239F4"/>
    <w:rsid w:val="00B243AF"/>
    <w:rsid w:val="00B2463B"/>
    <w:rsid w:val="00B254E4"/>
    <w:rsid w:val="00B274FB"/>
    <w:rsid w:val="00B27BF4"/>
    <w:rsid w:val="00B311FD"/>
    <w:rsid w:val="00B3467F"/>
    <w:rsid w:val="00B364FB"/>
    <w:rsid w:val="00B40173"/>
    <w:rsid w:val="00B40564"/>
    <w:rsid w:val="00B40843"/>
    <w:rsid w:val="00B41C97"/>
    <w:rsid w:val="00B435F3"/>
    <w:rsid w:val="00B43794"/>
    <w:rsid w:val="00B44677"/>
    <w:rsid w:val="00B44B31"/>
    <w:rsid w:val="00B4730A"/>
    <w:rsid w:val="00B47F6D"/>
    <w:rsid w:val="00B47FF4"/>
    <w:rsid w:val="00B51402"/>
    <w:rsid w:val="00B52270"/>
    <w:rsid w:val="00B52808"/>
    <w:rsid w:val="00B52CB7"/>
    <w:rsid w:val="00B5398F"/>
    <w:rsid w:val="00B53D54"/>
    <w:rsid w:val="00B55411"/>
    <w:rsid w:val="00B55EB0"/>
    <w:rsid w:val="00B6099F"/>
    <w:rsid w:val="00B60EAA"/>
    <w:rsid w:val="00B625F3"/>
    <w:rsid w:val="00B64732"/>
    <w:rsid w:val="00B65BCA"/>
    <w:rsid w:val="00B66183"/>
    <w:rsid w:val="00B66D67"/>
    <w:rsid w:val="00B66FC5"/>
    <w:rsid w:val="00B67703"/>
    <w:rsid w:val="00B73199"/>
    <w:rsid w:val="00B7337D"/>
    <w:rsid w:val="00B73397"/>
    <w:rsid w:val="00B7595E"/>
    <w:rsid w:val="00B75D73"/>
    <w:rsid w:val="00B7628E"/>
    <w:rsid w:val="00B77328"/>
    <w:rsid w:val="00B775AF"/>
    <w:rsid w:val="00B8038C"/>
    <w:rsid w:val="00B83EE0"/>
    <w:rsid w:val="00B865F2"/>
    <w:rsid w:val="00B8733E"/>
    <w:rsid w:val="00B93B91"/>
    <w:rsid w:val="00B93BED"/>
    <w:rsid w:val="00B94EDF"/>
    <w:rsid w:val="00B9515D"/>
    <w:rsid w:val="00B95A7C"/>
    <w:rsid w:val="00B96D79"/>
    <w:rsid w:val="00B973FF"/>
    <w:rsid w:val="00BA077E"/>
    <w:rsid w:val="00BA563B"/>
    <w:rsid w:val="00BA5997"/>
    <w:rsid w:val="00BA7014"/>
    <w:rsid w:val="00BA7EF7"/>
    <w:rsid w:val="00BA7F51"/>
    <w:rsid w:val="00BB04A8"/>
    <w:rsid w:val="00BB0FDF"/>
    <w:rsid w:val="00BB1345"/>
    <w:rsid w:val="00BB19F5"/>
    <w:rsid w:val="00BB641F"/>
    <w:rsid w:val="00BB6A0D"/>
    <w:rsid w:val="00BB7B30"/>
    <w:rsid w:val="00BB7E7A"/>
    <w:rsid w:val="00BC0029"/>
    <w:rsid w:val="00BC04CF"/>
    <w:rsid w:val="00BC31C9"/>
    <w:rsid w:val="00BC488E"/>
    <w:rsid w:val="00BC6E39"/>
    <w:rsid w:val="00BD0109"/>
    <w:rsid w:val="00BD1BDB"/>
    <w:rsid w:val="00BD2A25"/>
    <w:rsid w:val="00BD3BB8"/>
    <w:rsid w:val="00BD4272"/>
    <w:rsid w:val="00BD4491"/>
    <w:rsid w:val="00BD44CA"/>
    <w:rsid w:val="00BD6FF3"/>
    <w:rsid w:val="00BD761F"/>
    <w:rsid w:val="00BE00E7"/>
    <w:rsid w:val="00BE0144"/>
    <w:rsid w:val="00BE1BEF"/>
    <w:rsid w:val="00BE1D77"/>
    <w:rsid w:val="00BE21C2"/>
    <w:rsid w:val="00BE2E66"/>
    <w:rsid w:val="00BE3B3F"/>
    <w:rsid w:val="00BE51C7"/>
    <w:rsid w:val="00BE55C3"/>
    <w:rsid w:val="00BE68C1"/>
    <w:rsid w:val="00BF0D9D"/>
    <w:rsid w:val="00BF128E"/>
    <w:rsid w:val="00BF1792"/>
    <w:rsid w:val="00BF49C7"/>
    <w:rsid w:val="00BF4E0C"/>
    <w:rsid w:val="00BF5A2E"/>
    <w:rsid w:val="00BF6770"/>
    <w:rsid w:val="00BF6F0C"/>
    <w:rsid w:val="00BF76BC"/>
    <w:rsid w:val="00BF7C26"/>
    <w:rsid w:val="00C0054E"/>
    <w:rsid w:val="00C016B0"/>
    <w:rsid w:val="00C01D98"/>
    <w:rsid w:val="00C037E6"/>
    <w:rsid w:val="00C03F50"/>
    <w:rsid w:val="00C03F67"/>
    <w:rsid w:val="00C04449"/>
    <w:rsid w:val="00C04E94"/>
    <w:rsid w:val="00C0653F"/>
    <w:rsid w:val="00C07244"/>
    <w:rsid w:val="00C07C99"/>
    <w:rsid w:val="00C10723"/>
    <w:rsid w:val="00C15458"/>
    <w:rsid w:val="00C155C6"/>
    <w:rsid w:val="00C15991"/>
    <w:rsid w:val="00C15D7B"/>
    <w:rsid w:val="00C16989"/>
    <w:rsid w:val="00C16CF8"/>
    <w:rsid w:val="00C17836"/>
    <w:rsid w:val="00C17BAF"/>
    <w:rsid w:val="00C21AA7"/>
    <w:rsid w:val="00C21C6A"/>
    <w:rsid w:val="00C21F9D"/>
    <w:rsid w:val="00C235CE"/>
    <w:rsid w:val="00C313F0"/>
    <w:rsid w:val="00C3281F"/>
    <w:rsid w:val="00C328C5"/>
    <w:rsid w:val="00C330FB"/>
    <w:rsid w:val="00C345CC"/>
    <w:rsid w:val="00C345FE"/>
    <w:rsid w:val="00C34DB1"/>
    <w:rsid w:val="00C37C24"/>
    <w:rsid w:val="00C37D24"/>
    <w:rsid w:val="00C37E20"/>
    <w:rsid w:val="00C37E42"/>
    <w:rsid w:val="00C44575"/>
    <w:rsid w:val="00C45568"/>
    <w:rsid w:val="00C46780"/>
    <w:rsid w:val="00C46BAD"/>
    <w:rsid w:val="00C46FFC"/>
    <w:rsid w:val="00C47BDB"/>
    <w:rsid w:val="00C5117B"/>
    <w:rsid w:val="00C5162D"/>
    <w:rsid w:val="00C51F76"/>
    <w:rsid w:val="00C520A8"/>
    <w:rsid w:val="00C52100"/>
    <w:rsid w:val="00C526BE"/>
    <w:rsid w:val="00C52B00"/>
    <w:rsid w:val="00C53813"/>
    <w:rsid w:val="00C54781"/>
    <w:rsid w:val="00C54EFC"/>
    <w:rsid w:val="00C55132"/>
    <w:rsid w:val="00C55167"/>
    <w:rsid w:val="00C5535D"/>
    <w:rsid w:val="00C55EB5"/>
    <w:rsid w:val="00C56BF8"/>
    <w:rsid w:val="00C61DF9"/>
    <w:rsid w:val="00C62268"/>
    <w:rsid w:val="00C634C1"/>
    <w:rsid w:val="00C64D96"/>
    <w:rsid w:val="00C65020"/>
    <w:rsid w:val="00C65974"/>
    <w:rsid w:val="00C66244"/>
    <w:rsid w:val="00C678C8"/>
    <w:rsid w:val="00C70229"/>
    <w:rsid w:val="00C704BB"/>
    <w:rsid w:val="00C7085F"/>
    <w:rsid w:val="00C71053"/>
    <w:rsid w:val="00C7193E"/>
    <w:rsid w:val="00C726C7"/>
    <w:rsid w:val="00C74341"/>
    <w:rsid w:val="00C76AA5"/>
    <w:rsid w:val="00C80343"/>
    <w:rsid w:val="00C80653"/>
    <w:rsid w:val="00C81AA5"/>
    <w:rsid w:val="00C81E33"/>
    <w:rsid w:val="00C82D7C"/>
    <w:rsid w:val="00C83623"/>
    <w:rsid w:val="00C862D0"/>
    <w:rsid w:val="00C87DB4"/>
    <w:rsid w:val="00C90D7B"/>
    <w:rsid w:val="00C91395"/>
    <w:rsid w:val="00C92365"/>
    <w:rsid w:val="00C927D7"/>
    <w:rsid w:val="00C934D3"/>
    <w:rsid w:val="00C9355C"/>
    <w:rsid w:val="00C93648"/>
    <w:rsid w:val="00C94E95"/>
    <w:rsid w:val="00C95BDF"/>
    <w:rsid w:val="00C95CB1"/>
    <w:rsid w:val="00C96184"/>
    <w:rsid w:val="00C96482"/>
    <w:rsid w:val="00C972EC"/>
    <w:rsid w:val="00CA153E"/>
    <w:rsid w:val="00CA32E6"/>
    <w:rsid w:val="00CA46CE"/>
    <w:rsid w:val="00CA525A"/>
    <w:rsid w:val="00CA540E"/>
    <w:rsid w:val="00CA6DCE"/>
    <w:rsid w:val="00CA7018"/>
    <w:rsid w:val="00CB0A42"/>
    <w:rsid w:val="00CB1865"/>
    <w:rsid w:val="00CB29E9"/>
    <w:rsid w:val="00CB3BAA"/>
    <w:rsid w:val="00CB4C98"/>
    <w:rsid w:val="00CB4F81"/>
    <w:rsid w:val="00CB597F"/>
    <w:rsid w:val="00CB5CBA"/>
    <w:rsid w:val="00CB6A1F"/>
    <w:rsid w:val="00CB720B"/>
    <w:rsid w:val="00CC130B"/>
    <w:rsid w:val="00CC34A7"/>
    <w:rsid w:val="00CC4638"/>
    <w:rsid w:val="00CC5612"/>
    <w:rsid w:val="00CC57AC"/>
    <w:rsid w:val="00CC5A8B"/>
    <w:rsid w:val="00CC5DF2"/>
    <w:rsid w:val="00CC647F"/>
    <w:rsid w:val="00CC72E4"/>
    <w:rsid w:val="00CC7BF9"/>
    <w:rsid w:val="00CD0382"/>
    <w:rsid w:val="00CD1A8E"/>
    <w:rsid w:val="00CD1E9A"/>
    <w:rsid w:val="00CD2C94"/>
    <w:rsid w:val="00CD2E49"/>
    <w:rsid w:val="00CD35BE"/>
    <w:rsid w:val="00CD368B"/>
    <w:rsid w:val="00CD3DCB"/>
    <w:rsid w:val="00CD4947"/>
    <w:rsid w:val="00CD4B8C"/>
    <w:rsid w:val="00CD4D45"/>
    <w:rsid w:val="00CD5598"/>
    <w:rsid w:val="00CD7797"/>
    <w:rsid w:val="00CE1586"/>
    <w:rsid w:val="00CE318E"/>
    <w:rsid w:val="00CE344D"/>
    <w:rsid w:val="00CE5494"/>
    <w:rsid w:val="00CE5BC2"/>
    <w:rsid w:val="00CE5FF0"/>
    <w:rsid w:val="00CE61F7"/>
    <w:rsid w:val="00CE62FD"/>
    <w:rsid w:val="00CF0C46"/>
    <w:rsid w:val="00CF2418"/>
    <w:rsid w:val="00CF501B"/>
    <w:rsid w:val="00CF7899"/>
    <w:rsid w:val="00D00C15"/>
    <w:rsid w:val="00D0114D"/>
    <w:rsid w:val="00D01D1A"/>
    <w:rsid w:val="00D02082"/>
    <w:rsid w:val="00D02606"/>
    <w:rsid w:val="00D03967"/>
    <w:rsid w:val="00D042F5"/>
    <w:rsid w:val="00D06384"/>
    <w:rsid w:val="00D06419"/>
    <w:rsid w:val="00D06A68"/>
    <w:rsid w:val="00D07459"/>
    <w:rsid w:val="00D12FC0"/>
    <w:rsid w:val="00D146A1"/>
    <w:rsid w:val="00D15AB1"/>
    <w:rsid w:val="00D16345"/>
    <w:rsid w:val="00D16FE0"/>
    <w:rsid w:val="00D175EE"/>
    <w:rsid w:val="00D22644"/>
    <w:rsid w:val="00D22B96"/>
    <w:rsid w:val="00D22D5C"/>
    <w:rsid w:val="00D22FC3"/>
    <w:rsid w:val="00D241DB"/>
    <w:rsid w:val="00D24A05"/>
    <w:rsid w:val="00D25828"/>
    <w:rsid w:val="00D25B0B"/>
    <w:rsid w:val="00D26335"/>
    <w:rsid w:val="00D266FF"/>
    <w:rsid w:val="00D274BE"/>
    <w:rsid w:val="00D27643"/>
    <w:rsid w:val="00D3012B"/>
    <w:rsid w:val="00D31605"/>
    <w:rsid w:val="00D325BC"/>
    <w:rsid w:val="00D3383B"/>
    <w:rsid w:val="00D35F2D"/>
    <w:rsid w:val="00D400EB"/>
    <w:rsid w:val="00D4130B"/>
    <w:rsid w:val="00D42201"/>
    <w:rsid w:val="00D4220F"/>
    <w:rsid w:val="00D42EA6"/>
    <w:rsid w:val="00D42FAB"/>
    <w:rsid w:val="00D46051"/>
    <w:rsid w:val="00D47B70"/>
    <w:rsid w:val="00D47B89"/>
    <w:rsid w:val="00D502B5"/>
    <w:rsid w:val="00D502BC"/>
    <w:rsid w:val="00D503B5"/>
    <w:rsid w:val="00D51E7B"/>
    <w:rsid w:val="00D51F4B"/>
    <w:rsid w:val="00D528E9"/>
    <w:rsid w:val="00D52F37"/>
    <w:rsid w:val="00D532AD"/>
    <w:rsid w:val="00D534D9"/>
    <w:rsid w:val="00D53B05"/>
    <w:rsid w:val="00D53DCF"/>
    <w:rsid w:val="00D5458B"/>
    <w:rsid w:val="00D5474E"/>
    <w:rsid w:val="00D54997"/>
    <w:rsid w:val="00D54B1D"/>
    <w:rsid w:val="00D551E9"/>
    <w:rsid w:val="00D56471"/>
    <w:rsid w:val="00D564BE"/>
    <w:rsid w:val="00D567EA"/>
    <w:rsid w:val="00D57D1E"/>
    <w:rsid w:val="00D60260"/>
    <w:rsid w:val="00D60EAF"/>
    <w:rsid w:val="00D61107"/>
    <w:rsid w:val="00D616B6"/>
    <w:rsid w:val="00D62555"/>
    <w:rsid w:val="00D628FB"/>
    <w:rsid w:val="00D64B18"/>
    <w:rsid w:val="00D64B40"/>
    <w:rsid w:val="00D662D3"/>
    <w:rsid w:val="00D67A93"/>
    <w:rsid w:val="00D7184A"/>
    <w:rsid w:val="00D71C62"/>
    <w:rsid w:val="00D7207A"/>
    <w:rsid w:val="00D72A80"/>
    <w:rsid w:val="00D72F86"/>
    <w:rsid w:val="00D7326E"/>
    <w:rsid w:val="00D73DC1"/>
    <w:rsid w:val="00D73F49"/>
    <w:rsid w:val="00D74548"/>
    <w:rsid w:val="00D745DF"/>
    <w:rsid w:val="00D74F57"/>
    <w:rsid w:val="00D75903"/>
    <w:rsid w:val="00D767A9"/>
    <w:rsid w:val="00D7688A"/>
    <w:rsid w:val="00D7710F"/>
    <w:rsid w:val="00D77F13"/>
    <w:rsid w:val="00D8018C"/>
    <w:rsid w:val="00D80F50"/>
    <w:rsid w:val="00D82563"/>
    <w:rsid w:val="00D82953"/>
    <w:rsid w:val="00D82B6B"/>
    <w:rsid w:val="00D82DEB"/>
    <w:rsid w:val="00D8324C"/>
    <w:rsid w:val="00D83419"/>
    <w:rsid w:val="00D83A59"/>
    <w:rsid w:val="00D83D50"/>
    <w:rsid w:val="00D87B30"/>
    <w:rsid w:val="00D9049A"/>
    <w:rsid w:val="00D90977"/>
    <w:rsid w:val="00D90BDE"/>
    <w:rsid w:val="00D90DE9"/>
    <w:rsid w:val="00D92BCE"/>
    <w:rsid w:val="00D93125"/>
    <w:rsid w:val="00D94A4F"/>
    <w:rsid w:val="00D9652D"/>
    <w:rsid w:val="00D967E9"/>
    <w:rsid w:val="00D968CE"/>
    <w:rsid w:val="00D973E0"/>
    <w:rsid w:val="00D9741A"/>
    <w:rsid w:val="00DA0C9A"/>
    <w:rsid w:val="00DA1246"/>
    <w:rsid w:val="00DA2F62"/>
    <w:rsid w:val="00DA31B1"/>
    <w:rsid w:val="00DA556E"/>
    <w:rsid w:val="00DA6F15"/>
    <w:rsid w:val="00DB1A6A"/>
    <w:rsid w:val="00DB2C18"/>
    <w:rsid w:val="00DB2FEE"/>
    <w:rsid w:val="00DB320C"/>
    <w:rsid w:val="00DB3CF7"/>
    <w:rsid w:val="00DB45CA"/>
    <w:rsid w:val="00DB53A8"/>
    <w:rsid w:val="00DB541C"/>
    <w:rsid w:val="00DB5468"/>
    <w:rsid w:val="00DB56D1"/>
    <w:rsid w:val="00DB5A64"/>
    <w:rsid w:val="00DB609E"/>
    <w:rsid w:val="00DB6268"/>
    <w:rsid w:val="00DC036A"/>
    <w:rsid w:val="00DC0970"/>
    <w:rsid w:val="00DC0EBF"/>
    <w:rsid w:val="00DC0FF3"/>
    <w:rsid w:val="00DC2318"/>
    <w:rsid w:val="00DC4C92"/>
    <w:rsid w:val="00DC4EDA"/>
    <w:rsid w:val="00DC57C5"/>
    <w:rsid w:val="00DC5B1C"/>
    <w:rsid w:val="00DC7593"/>
    <w:rsid w:val="00DC7EBA"/>
    <w:rsid w:val="00DD0C1A"/>
    <w:rsid w:val="00DD16B2"/>
    <w:rsid w:val="00DD2CBE"/>
    <w:rsid w:val="00DD3522"/>
    <w:rsid w:val="00DD4C58"/>
    <w:rsid w:val="00DD5D92"/>
    <w:rsid w:val="00DD63B4"/>
    <w:rsid w:val="00DD67AA"/>
    <w:rsid w:val="00DD7E8D"/>
    <w:rsid w:val="00DE0B6C"/>
    <w:rsid w:val="00DE1E6F"/>
    <w:rsid w:val="00DE2B34"/>
    <w:rsid w:val="00DE31EA"/>
    <w:rsid w:val="00DE358F"/>
    <w:rsid w:val="00DE36F5"/>
    <w:rsid w:val="00DE621A"/>
    <w:rsid w:val="00DF02E0"/>
    <w:rsid w:val="00DF06BF"/>
    <w:rsid w:val="00DF0F9E"/>
    <w:rsid w:val="00DF322F"/>
    <w:rsid w:val="00DF423B"/>
    <w:rsid w:val="00DF437F"/>
    <w:rsid w:val="00DF5591"/>
    <w:rsid w:val="00DF5ED5"/>
    <w:rsid w:val="00DF5F14"/>
    <w:rsid w:val="00E006F2"/>
    <w:rsid w:val="00E022CC"/>
    <w:rsid w:val="00E02E83"/>
    <w:rsid w:val="00E03347"/>
    <w:rsid w:val="00E03CC3"/>
    <w:rsid w:val="00E053D1"/>
    <w:rsid w:val="00E058D6"/>
    <w:rsid w:val="00E06137"/>
    <w:rsid w:val="00E0697E"/>
    <w:rsid w:val="00E07990"/>
    <w:rsid w:val="00E10492"/>
    <w:rsid w:val="00E10B9E"/>
    <w:rsid w:val="00E11840"/>
    <w:rsid w:val="00E138C6"/>
    <w:rsid w:val="00E139BA"/>
    <w:rsid w:val="00E158E2"/>
    <w:rsid w:val="00E16233"/>
    <w:rsid w:val="00E16BB2"/>
    <w:rsid w:val="00E17692"/>
    <w:rsid w:val="00E179F4"/>
    <w:rsid w:val="00E17DB2"/>
    <w:rsid w:val="00E234B0"/>
    <w:rsid w:val="00E23AB7"/>
    <w:rsid w:val="00E24642"/>
    <w:rsid w:val="00E25DE2"/>
    <w:rsid w:val="00E26174"/>
    <w:rsid w:val="00E26E11"/>
    <w:rsid w:val="00E31E3C"/>
    <w:rsid w:val="00E31F38"/>
    <w:rsid w:val="00E322B0"/>
    <w:rsid w:val="00E33A3A"/>
    <w:rsid w:val="00E413CB"/>
    <w:rsid w:val="00E4150E"/>
    <w:rsid w:val="00E42BA4"/>
    <w:rsid w:val="00E4687A"/>
    <w:rsid w:val="00E46A79"/>
    <w:rsid w:val="00E472F0"/>
    <w:rsid w:val="00E47C9F"/>
    <w:rsid w:val="00E51A3B"/>
    <w:rsid w:val="00E531FD"/>
    <w:rsid w:val="00E5419F"/>
    <w:rsid w:val="00E56AF2"/>
    <w:rsid w:val="00E57A55"/>
    <w:rsid w:val="00E60747"/>
    <w:rsid w:val="00E6194B"/>
    <w:rsid w:val="00E61BBD"/>
    <w:rsid w:val="00E62195"/>
    <w:rsid w:val="00E63207"/>
    <w:rsid w:val="00E63476"/>
    <w:rsid w:val="00E639F1"/>
    <w:rsid w:val="00E65CF5"/>
    <w:rsid w:val="00E65EC6"/>
    <w:rsid w:val="00E700FF"/>
    <w:rsid w:val="00E7013F"/>
    <w:rsid w:val="00E71046"/>
    <w:rsid w:val="00E755F0"/>
    <w:rsid w:val="00E769A4"/>
    <w:rsid w:val="00E76EF0"/>
    <w:rsid w:val="00E802AD"/>
    <w:rsid w:val="00E80F7F"/>
    <w:rsid w:val="00E81793"/>
    <w:rsid w:val="00E8261D"/>
    <w:rsid w:val="00E82DF9"/>
    <w:rsid w:val="00E83926"/>
    <w:rsid w:val="00E85061"/>
    <w:rsid w:val="00E85887"/>
    <w:rsid w:val="00E87130"/>
    <w:rsid w:val="00E9078D"/>
    <w:rsid w:val="00E912A3"/>
    <w:rsid w:val="00E92034"/>
    <w:rsid w:val="00E922F1"/>
    <w:rsid w:val="00E92E26"/>
    <w:rsid w:val="00E934FD"/>
    <w:rsid w:val="00E942D2"/>
    <w:rsid w:val="00E95301"/>
    <w:rsid w:val="00E954E0"/>
    <w:rsid w:val="00E95E2E"/>
    <w:rsid w:val="00E9677C"/>
    <w:rsid w:val="00E97E8D"/>
    <w:rsid w:val="00EA08EF"/>
    <w:rsid w:val="00EA35AE"/>
    <w:rsid w:val="00EA38DF"/>
    <w:rsid w:val="00EA423F"/>
    <w:rsid w:val="00EA4A18"/>
    <w:rsid w:val="00EA5247"/>
    <w:rsid w:val="00EA6406"/>
    <w:rsid w:val="00EA6C04"/>
    <w:rsid w:val="00EA714E"/>
    <w:rsid w:val="00EA7BC2"/>
    <w:rsid w:val="00EB2125"/>
    <w:rsid w:val="00EB3E9A"/>
    <w:rsid w:val="00EB47EF"/>
    <w:rsid w:val="00EB4C13"/>
    <w:rsid w:val="00EB5370"/>
    <w:rsid w:val="00EB739C"/>
    <w:rsid w:val="00EB7709"/>
    <w:rsid w:val="00EC0C6F"/>
    <w:rsid w:val="00EC1A58"/>
    <w:rsid w:val="00EC2709"/>
    <w:rsid w:val="00EC4E9E"/>
    <w:rsid w:val="00EC73B2"/>
    <w:rsid w:val="00EC7A77"/>
    <w:rsid w:val="00EC7BC5"/>
    <w:rsid w:val="00ED1213"/>
    <w:rsid w:val="00ED1EA6"/>
    <w:rsid w:val="00ED1F97"/>
    <w:rsid w:val="00ED296A"/>
    <w:rsid w:val="00ED454B"/>
    <w:rsid w:val="00ED4791"/>
    <w:rsid w:val="00ED4E9C"/>
    <w:rsid w:val="00ED539B"/>
    <w:rsid w:val="00ED5BC7"/>
    <w:rsid w:val="00ED7C59"/>
    <w:rsid w:val="00ED7DC7"/>
    <w:rsid w:val="00EE026D"/>
    <w:rsid w:val="00EE1467"/>
    <w:rsid w:val="00EE287E"/>
    <w:rsid w:val="00EE3F2F"/>
    <w:rsid w:val="00EE50A3"/>
    <w:rsid w:val="00EE6361"/>
    <w:rsid w:val="00EF06CD"/>
    <w:rsid w:val="00EF1311"/>
    <w:rsid w:val="00EF1F73"/>
    <w:rsid w:val="00EF2AC1"/>
    <w:rsid w:val="00EF4087"/>
    <w:rsid w:val="00EF415C"/>
    <w:rsid w:val="00EF4317"/>
    <w:rsid w:val="00EF49BB"/>
    <w:rsid w:val="00EF5367"/>
    <w:rsid w:val="00EF5D19"/>
    <w:rsid w:val="00EF792C"/>
    <w:rsid w:val="00F00078"/>
    <w:rsid w:val="00F0101F"/>
    <w:rsid w:val="00F014A6"/>
    <w:rsid w:val="00F019E7"/>
    <w:rsid w:val="00F020D8"/>
    <w:rsid w:val="00F03465"/>
    <w:rsid w:val="00F03509"/>
    <w:rsid w:val="00F039F6"/>
    <w:rsid w:val="00F039F9"/>
    <w:rsid w:val="00F03A26"/>
    <w:rsid w:val="00F041CE"/>
    <w:rsid w:val="00F041E0"/>
    <w:rsid w:val="00F052F1"/>
    <w:rsid w:val="00F05345"/>
    <w:rsid w:val="00F055F6"/>
    <w:rsid w:val="00F05B41"/>
    <w:rsid w:val="00F0693E"/>
    <w:rsid w:val="00F07DEA"/>
    <w:rsid w:val="00F10D70"/>
    <w:rsid w:val="00F11158"/>
    <w:rsid w:val="00F1478F"/>
    <w:rsid w:val="00F147B2"/>
    <w:rsid w:val="00F15066"/>
    <w:rsid w:val="00F157D2"/>
    <w:rsid w:val="00F17D4A"/>
    <w:rsid w:val="00F206A9"/>
    <w:rsid w:val="00F219A5"/>
    <w:rsid w:val="00F22C36"/>
    <w:rsid w:val="00F230F4"/>
    <w:rsid w:val="00F23433"/>
    <w:rsid w:val="00F23490"/>
    <w:rsid w:val="00F24DE8"/>
    <w:rsid w:val="00F2541C"/>
    <w:rsid w:val="00F25EC3"/>
    <w:rsid w:val="00F26C37"/>
    <w:rsid w:val="00F30376"/>
    <w:rsid w:val="00F314FA"/>
    <w:rsid w:val="00F31ED1"/>
    <w:rsid w:val="00F32EB3"/>
    <w:rsid w:val="00F35EF6"/>
    <w:rsid w:val="00F40FDE"/>
    <w:rsid w:val="00F415B1"/>
    <w:rsid w:val="00F42341"/>
    <w:rsid w:val="00F45E65"/>
    <w:rsid w:val="00F461CE"/>
    <w:rsid w:val="00F46832"/>
    <w:rsid w:val="00F47115"/>
    <w:rsid w:val="00F47291"/>
    <w:rsid w:val="00F50525"/>
    <w:rsid w:val="00F50557"/>
    <w:rsid w:val="00F50BA9"/>
    <w:rsid w:val="00F50F2F"/>
    <w:rsid w:val="00F52658"/>
    <w:rsid w:val="00F53D17"/>
    <w:rsid w:val="00F54445"/>
    <w:rsid w:val="00F552A9"/>
    <w:rsid w:val="00F5628B"/>
    <w:rsid w:val="00F56688"/>
    <w:rsid w:val="00F572B1"/>
    <w:rsid w:val="00F60448"/>
    <w:rsid w:val="00F60B18"/>
    <w:rsid w:val="00F611B3"/>
    <w:rsid w:val="00F63AAF"/>
    <w:rsid w:val="00F63E0A"/>
    <w:rsid w:val="00F644DD"/>
    <w:rsid w:val="00F65330"/>
    <w:rsid w:val="00F7096E"/>
    <w:rsid w:val="00F71D06"/>
    <w:rsid w:val="00F741E3"/>
    <w:rsid w:val="00F75C54"/>
    <w:rsid w:val="00F800B7"/>
    <w:rsid w:val="00F80AE7"/>
    <w:rsid w:val="00F83DF2"/>
    <w:rsid w:val="00F84195"/>
    <w:rsid w:val="00F843F8"/>
    <w:rsid w:val="00F84665"/>
    <w:rsid w:val="00F8482C"/>
    <w:rsid w:val="00F86280"/>
    <w:rsid w:val="00F87824"/>
    <w:rsid w:val="00F878F0"/>
    <w:rsid w:val="00F90852"/>
    <w:rsid w:val="00F910A7"/>
    <w:rsid w:val="00F916B8"/>
    <w:rsid w:val="00F91D1B"/>
    <w:rsid w:val="00F91DF7"/>
    <w:rsid w:val="00F92634"/>
    <w:rsid w:val="00F92683"/>
    <w:rsid w:val="00F942A2"/>
    <w:rsid w:val="00F950EB"/>
    <w:rsid w:val="00F953AE"/>
    <w:rsid w:val="00F9545A"/>
    <w:rsid w:val="00F956C9"/>
    <w:rsid w:val="00F96B84"/>
    <w:rsid w:val="00F96F5A"/>
    <w:rsid w:val="00F974F0"/>
    <w:rsid w:val="00FA1E0D"/>
    <w:rsid w:val="00FA55CF"/>
    <w:rsid w:val="00FA59DD"/>
    <w:rsid w:val="00FA6372"/>
    <w:rsid w:val="00FA669F"/>
    <w:rsid w:val="00FA7771"/>
    <w:rsid w:val="00FB167D"/>
    <w:rsid w:val="00FB1C2E"/>
    <w:rsid w:val="00FB3165"/>
    <w:rsid w:val="00FB457A"/>
    <w:rsid w:val="00FB673B"/>
    <w:rsid w:val="00FB6BCD"/>
    <w:rsid w:val="00FB74E8"/>
    <w:rsid w:val="00FC04DE"/>
    <w:rsid w:val="00FC1D6A"/>
    <w:rsid w:val="00FC22A4"/>
    <w:rsid w:val="00FC29BF"/>
    <w:rsid w:val="00FC3997"/>
    <w:rsid w:val="00FC41FF"/>
    <w:rsid w:val="00FC421C"/>
    <w:rsid w:val="00FC4791"/>
    <w:rsid w:val="00FC4BFE"/>
    <w:rsid w:val="00FC5E8A"/>
    <w:rsid w:val="00FC75C9"/>
    <w:rsid w:val="00FD0159"/>
    <w:rsid w:val="00FD0BBA"/>
    <w:rsid w:val="00FD20E1"/>
    <w:rsid w:val="00FD2818"/>
    <w:rsid w:val="00FD4A30"/>
    <w:rsid w:val="00FD5808"/>
    <w:rsid w:val="00FD625A"/>
    <w:rsid w:val="00FD627D"/>
    <w:rsid w:val="00FD6382"/>
    <w:rsid w:val="00FD74CE"/>
    <w:rsid w:val="00FE0E81"/>
    <w:rsid w:val="00FE3004"/>
    <w:rsid w:val="00FE32AF"/>
    <w:rsid w:val="00FE3CF4"/>
    <w:rsid w:val="00FE6A1E"/>
    <w:rsid w:val="00FE6B2A"/>
    <w:rsid w:val="00FE7F66"/>
    <w:rsid w:val="00FF0343"/>
    <w:rsid w:val="00FF0CF7"/>
    <w:rsid w:val="00FF1F8D"/>
    <w:rsid w:val="00FF2D9D"/>
    <w:rsid w:val="00FF40BB"/>
    <w:rsid w:val="00FF5CED"/>
    <w:rsid w:val="00FF7300"/>
    <w:rsid w:val="00FF735B"/>
    <w:rsid w:val="0C6768D7"/>
    <w:rsid w:val="1B0E1C2F"/>
    <w:rsid w:val="1FE96C05"/>
    <w:rsid w:val="2E06778F"/>
    <w:rsid w:val="3705204F"/>
    <w:rsid w:val="48D711DD"/>
    <w:rsid w:val="4D376F4B"/>
    <w:rsid w:val="53852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eastAsia="华文行楷"/>
      <w:kern w:val="44"/>
      <w:sz w:val="44"/>
      <w:szCs w:val="20"/>
    </w:rPr>
  </w:style>
  <w:style w:type="paragraph" w:styleId="3">
    <w:name w:val="heading 2"/>
    <w:basedOn w:val="1"/>
    <w:next w:val="1"/>
    <w:link w:val="17"/>
    <w:qFormat/>
    <w:uiPriority w:val="99"/>
    <w:pPr>
      <w:keepNext/>
      <w:keepLines/>
      <w:spacing w:line="360" w:lineRule="auto"/>
      <w:jc w:val="center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4"/>
    <w:basedOn w:val="1"/>
    <w:next w:val="1"/>
    <w:link w:val="27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0"/>
    <w:semiHidden/>
    <w:unhideWhenUsed/>
    <w:qFormat/>
    <w:uiPriority w:val="99"/>
    <w:pPr>
      <w:jc w:val="left"/>
    </w:pPr>
  </w:style>
  <w:style w:type="paragraph" w:styleId="6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5"/>
    <w:next w:val="5"/>
    <w:link w:val="21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Hyperlink"/>
    <w:basedOn w:val="13"/>
    <w:semiHidden/>
    <w:unhideWhenUsed/>
    <w:qFormat/>
    <w:uiPriority w:val="99"/>
    <w:rPr>
      <w:color w:val="0000FF"/>
      <w:u w:val="single"/>
    </w:rPr>
  </w:style>
  <w:style w:type="character" w:styleId="16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7">
    <w:name w:val="标题 2 Char"/>
    <w:basedOn w:val="13"/>
    <w:link w:val="3"/>
    <w:qFormat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8">
    <w:name w:val="标题 1 Char"/>
    <w:basedOn w:val="13"/>
    <w:link w:val="2"/>
    <w:qFormat/>
    <w:uiPriority w:val="0"/>
    <w:rPr>
      <w:rFonts w:ascii="Times New Roman" w:hAnsi="Times New Roman" w:eastAsia="华文行楷" w:cs="Times New Roman"/>
      <w:kern w:val="44"/>
      <w:sz w:val="44"/>
      <w:szCs w:val="20"/>
    </w:rPr>
  </w:style>
  <w:style w:type="paragraph" w:customStyle="1" w:styleId="19">
    <w:name w:val="Default"/>
    <w:qFormat/>
    <w:uiPriority w:val="0"/>
    <w:pPr>
      <w:autoSpaceDE w:val="0"/>
      <w:autoSpaceDN w:val="0"/>
      <w:adjustRightInd w:val="0"/>
    </w:pPr>
    <w:rPr>
      <w:rFonts w:ascii="Georgia" w:hAnsi="Georgia" w:eastAsia="宋体" w:cs="Georgia"/>
      <w:color w:val="000000"/>
      <w:sz w:val="24"/>
      <w:szCs w:val="24"/>
      <w:lang w:val="en-US" w:eastAsia="zh-CN" w:bidi="ar-SA"/>
    </w:rPr>
  </w:style>
  <w:style w:type="character" w:customStyle="1" w:styleId="20">
    <w:name w:val="批注文字 Char"/>
    <w:basedOn w:val="13"/>
    <w:link w:val="5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1">
    <w:name w:val="批注主题 Char"/>
    <w:basedOn w:val="20"/>
    <w:link w:val="10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22">
    <w:name w:val="批注框文本 Char"/>
    <w:basedOn w:val="13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页眉 Char"/>
    <w:basedOn w:val="13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页脚 Char"/>
    <w:basedOn w:val="13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25">
    <w:name w:val="vsbcontent_end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6">
    <w:name w:val="List Paragraph"/>
    <w:basedOn w:val="1"/>
    <w:qFormat/>
    <w:uiPriority w:val="99"/>
    <w:pPr>
      <w:ind w:firstLine="420" w:firstLineChars="200"/>
    </w:pPr>
  </w:style>
  <w:style w:type="character" w:customStyle="1" w:styleId="27">
    <w:name w:val="标题 4 Char"/>
    <w:basedOn w:val="13"/>
    <w:link w:val="4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33F283-EA02-4CAB-B7D9-8B6BED356CB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yanjiushengyuan</Company>
  <Pages>8</Pages>
  <Words>5820</Words>
  <Characters>6191</Characters>
  <Lines>137</Lines>
  <Paragraphs>38</Paragraphs>
  <TotalTime>0</TotalTime>
  <ScaleCrop>false</ScaleCrop>
  <LinksUpToDate>false</LinksUpToDate>
  <CharactersWithSpaces>6212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2025-03-05T06:47:00Z</dcterms:created>
  <dc:creator>刘明旭</dc:creator>
  <cp:lastModifiedBy>HBU</cp:lastModifiedBy>
  <cp:lastPrinted>2025-06-12T09:20:00Z</cp:lastPrinted>
  <dcterms:modified xsi:type="dcterms:W3CDTF">2025-06-12T13:42:34Z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eyJoZGlkIjoiNDIxNWE0MjhkM2VhM2U5MzIwMTc5MDY5N2Q1ZTUyZDQifQ==</vt:lpwstr>
  </property>
  <property fmtid="{D5CDD505-2E9C-101B-9397-08002B2CF9AE}" pid="4" name="ICV">
    <vt:lpwstr>45D35024E3054271986F70BA64187358_13</vt:lpwstr>
  </property>
</Properties>
</file>