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835D19">
      <w:pPr>
        <w:ind w:left="321" w:leftChars="153" w:right="227"/>
        <w:jc w:val="center"/>
        <w:rPr>
          <w:rFonts w:eastAsia="黑体"/>
          <w:b/>
          <w:bCs/>
          <w:color w:val="0D0D0D" w:themeColor="text1" w:themeTint="F2"/>
          <w:sz w:val="36"/>
          <w:szCs w:val="36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Times New Roman" w:hAnsi="Times New Roman" w:eastAsia="黑体" w:cs="Times New Roman"/>
          <w:b/>
          <w:bCs/>
          <w:color w:val="0D0D0D" w:themeColor="text1" w:themeTint="F2"/>
          <w:sz w:val="36"/>
          <w:szCs w:val="36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应用经济学</w:t>
      </w:r>
      <w:r>
        <w:rPr>
          <w:rFonts w:eastAsia="黑体"/>
          <w:b/>
          <w:bCs/>
          <w:color w:val="0D0D0D" w:themeColor="text1" w:themeTint="F2"/>
          <w:sz w:val="36"/>
          <w:szCs w:val="36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专业学术学位博士研究生培养方案</w:t>
      </w:r>
    </w:p>
    <w:p w14:paraId="3699D2FC">
      <w:pPr>
        <w:ind w:left="321" w:leftChars="153" w:right="227"/>
        <w:jc w:val="center"/>
        <w:rPr>
          <w:rFonts w:eastAsia="黑体"/>
          <w:b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eastAsia="黑体"/>
          <w:b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</w:t>
      </w:r>
      <w:r>
        <w:rPr>
          <w:rFonts w:hint="eastAsia" w:eastAsia="黑体"/>
          <w:b/>
          <w:bCs/>
          <w:color w:val="0D0D0D" w:themeColor="text1" w:themeTint="F2"/>
          <w:sz w:val="28"/>
          <w:szCs w:val="28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经济</w:t>
      </w:r>
      <w:r>
        <w:rPr>
          <w:rFonts w:eastAsia="黑体"/>
          <w:b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学院)</w:t>
      </w:r>
    </w:p>
    <w:p w14:paraId="51FB28B1">
      <w:pPr>
        <w:spacing w:line="440" w:lineRule="exact"/>
        <w:ind w:firstLine="560"/>
        <w:rPr>
          <w:rFonts w:eastAsia="黑体"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eastAsia="黑体"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一、专业名称、代码</w:t>
      </w:r>
    </w:p>
    <w:p w14:paraId="73842D46">
      <w:pPr>
        <w:widowControl/>
        <w:spacing w:before="100" w:beforeAutospacing="1" w:after="100" w:afterAutospacing="1" w:line="270" w:lineRule="atLeast"/>
        <w:ind w:firstLine="960" w:firstLineChars="400"/>
        <w:jc w:val="left"/>
        <w:rPr>
          <w:color w:val="0D0D0D" w:themeColor="text1" w:themeTint="F2"/>
          <w:kern w:val="0"/>
          <w:sz w:val="18"/>
          <w:szCs w:val="1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color w:val="0D0D0D" w:themeColor="text1" w:themeTint="F2"/>
          <w:kern w:val="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专业名称：</w:t>
      </w:r>
      <w:r>
        <w:rPr>
          <w:rFonts w:hint="eastAsia"/>
          <w:color w:val="0D0D0D" w:themeColor="text1" w:themeTint="F2"/>
          <w:kern w:val="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应用经济学</w:t>
      </w:r>
    </w:p>
    <w:p w14:paraId="32CC5E9F">
      <w:pPr>
        <w:widowControl/>
        <w:spacing w:before="100" w:beforeAutospacing="1" w:after="100" w:afterAutospacing="1" w:line="270" w:lineRule="atLeast"/>
        <w:ind w:firstLine="960" w:firstLineChars="400"/>
        <w:jc w:val="left"/>
        <w:rPr>
          <w:color w:val="0D0D0D" w:themeColor="text1" w:themeTint="F2"/>
          <w:kern w:val="0"/>
          <w:sz w:val="18"/>
          <w:szCs w:val="1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color w:val="0D0D0D" w:themeColor="text1" w:themeTint="F2"/>
          <w:kern w:val="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专业代码：</w:t>
      </w:r>
      <w:r>
        <w:rPr>
          <w:rFonts w:hint="eastAsia"/>
          <w:color w:val="0D0D0D" w:themeColor="text1" w:themeTint="F2"/>
          <w:kern w:val="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0202</w:t>
      </w:r>
    </w:p>
    <w:p w14:paraId="1CBAD95B">
      <w:pPr>
        <w:spacing w:line="440" w:lineRule="exact"/>
        <w:ind w:firstLine="560" w:firstLineChars="200"/>
        <w:rPr>
          <w:rFonts w:eastAsia="黑体"/>
          <w:bCs/>
          <w:i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eastAsia="黑体"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二、专业简介</w:t>
      </w:r>
    </w:p>
    <w:p w14:paraId="483B427C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color w:val="0D0D0D" w:themeColor="text1" w:themeTint="F2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应用经济学是以马克思主义为指导、运用经济学基本原理和分析方法，研究经济活动各相关领域的理论、运行机制和规律，或对非经济活动领域的经济效益与社会效益进行分析和评价的学科，具有理论联系实际、应用性强，直接服务于经济建设的特点。应用经济学学科具有明显的实践导向特征，致力于解决社会经济活动中的现实问题。其研究内容主要包括:</w:t>
      </w:r>
      <w:r>
        <w:rPr>
          <w:rFonts w:hint="eastAsia" w:ascii="宋体" w:hAnsi="宋体" w:cs="宋体"/>
          <w:color w:val="0D0D0D" w:themeColor="text1" w:themeTint="F2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（</w:t>
      </w:r>
      <w:r>
        <w:rPr>
          <w:rFonts w:hint="eastAsia" w:ascii="宋体" w:hAnsi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</w:t>
      </w:r>
      <w:r>
        <w:rPr>
          <w:rFonts w:hint="eastAsia" w:ascii="宋体" w:hAnsi="宋体" w:cs="宋体"/>
          <w:color w:val="0D0D0D" w:themeColor="text1" w:themeTint="F2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</w:t>
      </w:r>
      <w:r>
        <w:rPr>
          <w:rFonts w:hint="eastAsia" w:ascii="宋体" w:hAnsi="宋体" w:eastAsia="宋体" w:cs="宋体"/>
          <w:color w:val="0D0D0D" w:themeColor="text1" w:themeTint="F2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揭示社会经济运行中资源配置的运行规律和经济关系，指导社会经济实践活动，提高生产效率</w:t>
      </w:r>
      <w:r>
        <w:rPr>
          <w:rFonts w:hint="eastAsia" w:ascii="宋体" w:hAnsi="宋体" w:cs="宋体"/>
          <w:color w:val="0D0D0D" w:themeColor="text1" w:themeTint="F2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；（</w:t>
      </w:r>
      <w:r>
        <w:rPr>
          <w:rFonts w:hint="eastAsia" w:ascii="宋体" w:hAnsi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</w:t>
      </w:r>
      <w:r>
        <w:rPr>
          <w:rFonts w:hint="eastAsia" w:ascii="宋体" w:hAnsi="宋体" w:cs="宋体"/>
          <w:color w:val="0D0D0D" w:themeColor="text1" w:themeTint="F2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</w:t>
      </w:r>
      <w:r>
        <w:rPr>
          <w:rFonts w:hint="eastAsia" w:ascii="宋体" w:hAnsi="宋体" w:eastAsia="宋体" w:cs="宋体"/>
          <w:color w:val="0D0D0D" w:themeColor="text1" w:themeTint="F2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在关注各学科之间相互联系、相互渗透的基础上，强调学科的专业性和特殊性</w:t>
      </w:r>
      <w:r>
        <w:rPr>
          <w:rFonts w:hint="eastAsia" w:ascii="宋体" w:hAnsi="宋体" w:cs="宋体"/>
          <w:color w:val="0D0D0D" w:themeColor="text1" w:themeTint="F2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；（</w:t>
      </w:r>
      <w:r>
        <w:rPr>
          <w:rFonts w:hint="eastAsia" w:ascii="宋体" w:hAnsi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</w:t>
      </w:r>
      <w:r>
        <w:rPr>
          <w:rFonts w:hint="eastAsia" w:ascii="宋体" w:hAnsi="宋体" w:cs="宋体"/>
          <w:color w:val="0D0D0D" w:themeColor="text1" w:themeTint="F2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</w:t>
      </w:r>
      <w:r>
        <w:rPr>
          <w:rFonts w:hint="eastAsia" w:ascii="宋体" w:hAnsi="宋体" w:eastAsia="宋体" w:cs="宋体"/>
          <w:color w:val="0D0D0D" w:themeColor="text1" w:themeTint="F2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运用数据进行经验分析，从而验证经济理论。</w:t>
      </w:r>
      <w:r>
        <w:rPr>
          <w:rFonts w:hint="eastAsia" w:ascii="宋体" w:hAnsi="宋体" w:eastAsia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本学科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要求具备深厚的经济学理论基础</w:t>
      </w:r>
      <w:r>
        <w:rPr>
          <w:rFonts w:hint="eastAsia" w:ascii="宋体" w:hAnsi="宋体" w:eastAsia="宋体" w:cs="宋体"/>
          <w:color w:val="0D0D0D" w:themeColor="text1" w:themeTint="F2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，并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具备一定的数学、统计学以及其他自然科学知识，能够熟练应用计量经济学对经济现象开展实证、预测、模拟能研究，对于现实问题能够提出可操作性的解决对策。</w:t>
      </w:r>
    </w:p>
    <w:p w14:paraId="01F8C2B4"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ascii="宋体" w:hAnsi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河北大学应用经济学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学科</w:t>
      </w:r>
      <w:r>
        <w:rPr>
          <w:rFonts w:hint="eastAsia" w:ascii="宋体" w:hAnsi="宋体" w:eastAsia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所依托的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前身</w:t>
      </w:r>
      <w:r>
        <w:rPr>
          <w:rFonts w:hint="eastAsia" w:ascii="宋体" w:hAnsi="宋体" w:eastAsia="宋体" w:cs="宋体"/>
          <w:color w:val="0D0D0D" w:themeColor="text1" w:themeTint="F2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为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1960年</w:t>
      </w:r>
      <w:r>
        <w:rPr>
          <w:rFonts w:hint="eastAsia" w:ascii="宋体" w:hAnsi="宋体" w:eastAsia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的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经济系，1992年成为河北高校第一个二级学院。2003年世界经济获批博士点，为河北省第一个经济学博士点；2016年动态调整为应用经济学</w:t>
      </w:r>
      <w:r>
        <w:rPr>
          <w:rFonts w:hint="eastAsia" w:ascii="宋体" w:hAnsi="宋体" w:eastAsia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一级学科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博士点。2020年金融学、经济统计学</w:t>
      </w:r>
      <w:r>
        <w:rPr>
          <w:rFonts w:hint="eastAsia" w:ascii="宋体" w:hAnsi="宋体" w:eastAsia="宋体" w:cs="宋体"/>
          <w:color w:val="0D0D0D" w:themeColor="text1" w:themeTint="F2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、国际经济与贸易三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个本科专业获批国家级一流本科专业建设点（“双万计划”）。世界经济（1994）、统计学（2005）获批为省级重点学科。</w:t>
      </w:r>
      <w:r>
        <w:rPr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2020-2024</w:t>
      </w:r>
      <w:r>
        <w:rPr>
          <w:rFonts w:ascii="宋体" w:hAnsi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年连续进入软科排名进入前</w:t>
      </w:r>
      <w:r>
        <w:rPr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20%</w:t>
      </w:r>
      <w:r>
        <w:rPr>
          <w:rFonts w:ascii="宋体" w:hAnsi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</w:p>
    <w:p w14:paraId="0E834D9A"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color w:val="0D0D0D" w:themeColor="text1" w:themeTint="F2"/>
          <w:kern w:val="0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本学科</w:t>
      </w:r>
      <w:r>
        <w:rPr>
          <w:rFonts w:hint="eastAsia" w:ascii="宋体" w:hAnsi="宋体" w:eastAsia="宋体" w:cs="宋体"/>
          <w:color w:val="0D0D0D" w:themeColor="text1" w:themeTint="F2"/>
          <w:kern w:val="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博士点是河北省内唯一的</w:t>
      </w:r>
      <w:r>
        <w:rPr>
          <w:rFonts w:hint="eastAsia" w:ascii="宋体" w:hAnsi="宋体" w:eastAsia="宋体" w:cs="宋体"/>
          <w:color w:val="0D0D0D" w:themeColor="text1" w:themeTint="F2"/>
          <w:kern w:val="0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经济类</w:t>
      </w:r>
      <w:r>
        <w:rPr>
          <w:rFonts w:hint="eastAsia" w:ascii="宋体" w:hAnsi="宋体" w:eastAsia="宋体" w:cs="宋体"/>
          <w:color w:val="0D0D0D" w:themeColor="text1" w:themeTint="F2"/>
          <w:kern w:val="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博士点，</w:t>
      </w:r>
      <w:r>
        <w:rPr>
          <w:rFonts w:hint="eastAsia" w:ascii="宋体" w:hAnsi="宋体" w:eastAsia="宋体" w:cs="宋体"/>
          <w:color w:val="0D0D0D" w:themeColor="text1" w:themeTint="F2"/>
          <w:kern w:val="0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学科积极</w:t>
      </w:r>
      <w:r>
        <w:rPr>
          <w:rFonts w:hint="eastAsia" w:ascii="宋体" w:hAnsi="宋体" w:eastAsia="宋体" w:cs="宋体"/>
          <w:color w:val="0D0D0D" w:themeColor="text1" w:themeTint="F2"/>
          <w:kern w:val="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服务京津冀协同发展、服务雄安新区建设</w:t>
      </w:r>
      <w:r>
        <w:rPr>
          <w:rFonts w:hint="eastAsia" w:ascii="宋体" w:hAnsi="宋体" w:eastAsia="宋体" w:cs="宋体"/>
          <w:color w:val="0D0D0D" w:themeColor="text1" w:themeTint="F2"/>
          <w:kern w:val="0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</w:t>
      </w:r>
      <w:r>
        <w:rPr>
          <w:rFonts w:hint="eastAsia" w:ascii="宋体" w:hAnsi="宋体" w:eastAsia="宋体" w:cs="宋体"/>
          <w:color w:val="0D0D0D" w:themeColor="text1" w:themeTint="F2"/>
          <w:kern w:val="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发挥在国际经济与贸易研究方面的优势，服务“一带一路”建设和</w:t>
      </w:r>
      <w:r>
        <w:rPr>
          <w:rFonts w:hint="eastAsia" w:ascii="宋体" w:hAnsi="宋体" w:eastAsia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研究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中美贸易摩擦</w:t>
      </w:r>
      <w:r>
        <w:rPr>
          <w:rFonts w:hint="eastAsia" w:ascii="宋体" w:hAnsi="宋体" w:eastAsia="宋体" w:cs="宋体"/>
          <w:color w:val="0D0D0D" w:themeColor="text1" w:themeTint="F2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等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问题</w:t>
      </w:r>
      <w:r>
        <w:rPr>
          <w:rFonts w:hint="eastAsia" w:ascii="宋体" w:hAnsi="宋体" w:eastAsia="宋体" w:cs="宋体"/>
          <w:color w:val="0D0D0D" w:themeColor="text1" w:themeTint="F2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，已</w:t>
      </w:r>
      <w:r>
        <w:rPr>
          <w:rFonts w:hint="eastAsia" w:ascii="宋体" w:hAnsi="宋体" w:eastAsia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形成鲜明的学科特色。本学科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依托应用经济学和理论经济学一级学科硕士点，涵盖国民经济学、金融学、国际贸易学、财政学、区域经济学、劳</w:t>
      </w:r>
      <w:r>
        <w:rPr>
          <w:rFonts w:hint="eastAsia" w:ascii="宋体" w:hAnsi="宋体" w:eastAsia="宋体" w:cs="宋体"/>
          <w:color w:val="0D0D0D" w:themeColor="text1" w:themeTint="F2"/>
          <w:kern w:val="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动经济学、数量经济学等二级学科</w:t>
      </w:r>
      <w:r>
        <w:rPr>
          <w:rFonts w:hint="eastAsia" w:ascii="宋体" w:hAnsi="宋体" w:eastAsia="宋体" w:cs="宋体"/>
          <w:color w:val="0D0D0D" w:themeColor="text1" w:themeTint="F2"/>
          <w:kern w:val="0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经过长期积累和发展，具备从本科、硕士到博士完整的高层次人才培养体系</w:t>
      </w:r>
      <w:r>
        <w:rPr>
          <w:rFonts w:hint="eastAsia" w:ascii="宋体" w:hAnsi="宋体" w:cs="宋体"/>
          <w:color w:val="0D0D0D" w:themeColor="text1" w:themeTint="F2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  <w:bookmarkStart w:id="0" w:name="_GoBack"/>
      <w:bookmarkEnd w:id="0"/>
      <w:r>
        <w:rPr>
          <w:rFonts w:hint="eastAsia" w:ascii="宋体" w:hAnsi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加强思政引领，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逐步形成特色鲜明、发展稳定、在国内具有较大影响力的学科方向。</w:t>
      </w:r>
    </w:p>
    <w:p w14:paraId="52B7F5DB"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本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学科师资实力雄厚</w:t>
      </w:r>
      <w:r>
        <w:rPr>
          <w:rFonts w:hint="eastAsia" w:ascii="宋体" w:hAnsi="宋体" w:eastAsia="宋体" w:cs="宋体"/>
          <w:color w:val="0D0D0D" w:themeColor="text1" w:themeTint="F2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拥有国家百千万人才工程、国务院特贴专家、国家有突出贡献中青年专家、教育部新世纪优秀人才支持计划等国家级优秀人才</w:t>
      </w:r>
      <w:r>
        <w:rPr>
          <w:rFonts w:hint="eastAsia" w:ascii="宋体" w:hAnsi="宋体" w:eastAsia="宋体" w:cs="宋体"/>
          <w:color w:val="0D0D0D" w:themeColor="text1" w:themeTint="F2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；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科研实力强劲</w:t>
      </w:r>
      <w:r>
        <w:rPr>
          <w:rFonts w:hint="eastAsia" w:ascii="宋体" w:hAnsi="宋体" w:eastAsia="宋体" w:cs="宋体"/>
          <w:color w:val="0D0D0D" w:themeColor="text1" w:themeTint="F2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社会服务成效显著</w:t>
      </w:r>
      <w:r>
        <w:rPr>
          <w:rFonts w:hint="eastAsia" w:ascii="宋体" w:hAnsi="宋体" w:eastAsia="宋体" w:cs="宋体"/>
          <w:color w:val="0D0D0D" w:themeColor="text1" w:themeTint="F2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；</w:t>
      </w:r>
      <w:r>
        <w:rPr>
          <w:rFonts w:hint="eastAsia" w:ascii="宋体" w:hAnsi="宋体" w:eastAsia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学科依托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有两个教育部研究中心、一个省级协同创新中心、</w:t>
      </w:r>
      <w:r>
        <w:rPr>
          <w:rFonts w:hint="eastAsia" w:ascii="宋体" w:hAnsi="宋体" w:eastAsia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一个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河北省新型智库</w:t>
      </w:r>
      <w:r>
        <w:rPr>
          <w:rFonts w:hint="eastAsia" w:ascii="宋体" w:hAnsi="宋体" w:eastAsia="宋体" w:cs="宋体"/>
          <w:color w:val="0D0D0D" w:themeColor="text1" w:themeTint="F2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宋体" w:hAnsi="宋体" w:eastAsia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两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个河北省人文社科重点研究基地</w:t>
      </w:r>
      <w:r>
        <w:rPr>
          <w:rFonts w:hint="eastAsia" w:ascii="宋体" w:hAnsi="宋体" w:eastAsia="宋体" w:cs="宋体"/>
          <w:color w:val="0D0D0D" w:themeColor="text1" w:themeTint="F2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河北省社科研究基地</w:t>
      </w:r>
      <w:r>
        <w:rPr>
          <w:rFonts w:hint="eastAsia" w:ascii="宋体" w:hAnsi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等</w:t>
      </w:r>
      <w:r>
        <w:rPr>
          <w:rFonts w:hint="eastAsia" w:ascii="宋体" w:hAnsi="宋体" w:eastAsia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。学科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注重国际化水平</w:t>
      </w:r>
      <w:r>
        <w:rPr>
          <w:rFonts w:hint="eastAsia" w:ascii="宋体" w:hAnsi="宋体" w:eastAsia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的不断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提升，</w:t>
      </w:r>
      <w:r>
        <w:rPr>
          <w:rFonts w:hint="eastAsia" w:ascii="宋体" w:hAnsi="宋体" w:eastAsia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如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获批</w:t>
      </w:r>
      <w:r>
        <w:rPr>
          <w:rFonts w:hint="eastAsia" w:ascii="宋体" w:hAnsi="宋体" w:eastAsia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以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诺奖克里斯托弗·皮萨里德斯为院长的区域经济研究院，成新轩教授被授予欧盟让·莫内讲席教授称号</w:t>
      </w:r>
      <w:r>
        <w:rPr>
          <w:rFonts w:hint="eastAsia" w:ascii="宋体" w:hAnsi="宋体" w:eastAsia="宋体" w:cs="宋体"/>
          <w:color w:val="0D0D0D" w:themeColor="text1" w:themeTint="F2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等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</w:p>
    <w:p w14:paraId="6132CCB0">
      <w:pPr>
        <w:spacing w:line="440" w:lineRule="exact"/>
        <w:ind w:firstLine="560" w:firstLineChars="200"/>
        <w:rPr>
          <w:rFonts w:eastAsia="黑体"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eastAsia="黑体"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三、研究方向</w:t>
      </w:r>
    </w:p>
    <w:p w14:paraId="6A608730"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本学位点学科发展契合经济和社会发展需求，遵循应用经济学学科发展规律，按照“严格质量标准、突出培养特色”原则，</w:t>
      </w:r>
      <w:r>
        <w:rPr>
          <w:rFonts w:hint="eastAsia" w:ascii="宋体" w:hAnsi="宋体" w:eastAsia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结合本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学科专业优势和特色</w:t>
      </w:r>
      <w:r>
        <w:rPr>
          <w:rFonts w:hint="eastAsia" w:ascii="宋体" w:hAnsi="宋体" w:eastAsia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设置以下五个研究方向</w:t>
      </w:r>
      <w:r>
        <w:rPr>
          <w:rFonts w:hint="eastAsia" w:ascii="宋体" w:hAnsi="宋体" w:eastAsia="宋体" w:cs="宋体"/>
          <w:color w:val="0D0D0D" w:themeColor="text1" w:themeTint="F2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：</w:t>
      </w:r>
    </w:p>
    <w:p w14:paraId="208BA6AC">
      <w:pPr>
        <w:widowControl w:val="0"/>
        <w:numPr>
          <w:ilvl w:val="0"/>
          <w:numId w:val="0"/>
        </w:numPr>
        <w:spacing w:line="360" w:lineRule="auto"/>
        <w:ind w:firstLine="482" w:firstLineChars="200"/>
        <w:jc w:val="both"/>
        <w:rPr>
          <w:rFonts w:hint="eastAsia" w:ascii="宋体" w:hAnsi="宋体" w:eastAsia="宋体" w:cs="宋体"/>
          <w:color w:val="0D0D0D" w:themeColor="text1" w:themeTint="F2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</w:t>
      </w:r>
      <w:r>
        <w:rPr>
          <w:rFonts w:hint="eastAsia" w:ascii="宋体" w:hAnsi="宋体" w:eastAsia="宋体" w:cs="宋体"/>
          <w:b/>
          <w:bCs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.</w:t>
      </w:r>
      <w:r>
        <w:rPr>
          <w:rFonts w:hint="eastAsia" w:ascii="宋体" w:hAnsi="宋体" w:eastAsia="宋体" w:cs="宋体"/>
          <w:b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国际经济理论与政策</w:t>
      </w:r>
    </w:p>
    <w:p w14:paraId="03582233">
      <w:pPr>
        <w:spacing w:line="360" w:lineRule="auto"/>
        <w:ind w:firstLine="480" w:firstLineChars="200"/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color w:val="0D0D0D" w:themeColor="text1" w:themeTint="F2"/>
          <w:sz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本方向属于</w:t>
      </w:r>
      <w:r>
        <w:rPr>
          <w:rFonts w:hint="eastAsia" w:ascii="宋体" w:hAnsi="宋体" w:eastAsia="宋体" w:cs="宋体"/>
          <w:color w:val="0D0D0D" w:themeColor="text1" w:themeTint="F2"/>
          <w:sz w:val="24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国际贸易</w:t>
      </w:r>
      <w:r>
        <w:rPr>
          <w:rFonts w:hint="eastAsia" w:ascii="宋体" w:hAnsi="宋体" w:eastAsia="宋体" w:cs="宋体"/>
          <w:color w:val="0D0D0D" w:themeColor="text1" w:themeTint="F2"/>
          <w:sz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学二级学科</w:t>
      </w:r>
      <w:r>
        <w:rPr>
          <w:rFonts w:hint="eastAsia" w:ascii="宋体" w:hAnsi="宋体" w:eastAsia="宋体" w:cs="宋体"/>
          <w:color w:val="0D0D0D" w:themeColor="text1" w:themeTint="F2"/>
          <w:sz w:val="24"/>
          <w:highlight w:val="none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</w:t>
      </w:r>
      <w:r>
        <w:rPr>
          <w:rFonts w:hint="eastAsia" w:ascii="宋体" w:hAnsi="宋体" w:eastAsia="宋体" w:cs="宋体"/>
          <w:color w:val="0D0D0D" w:themeColor="text1" w:themeTint="F2"/>
          <w:sz w:val="24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致力于</w:t>
      </w:r>
      <w:r>
        <w:rPr>
          <w:rFonts w:hint="eastAsia" w:ascii="宋体" w:hAnsi="宋体" w:eastAsia="宋体" w:cs="宋体"/>
          <w:color w:val="0D0D0D" w:themeColor="text1" w:themeTint="F2"/>
          <w:sz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培养掌握坚实的</w:t>
      </w:r>
      <w:r>
        <w:rPr>
          <w:rFonts w:hint="eastAsia" w:ascii="宋体" w:hAnsi="宋体" w:eastAsia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国际贸易学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理论基础和系统的专门知识，能够运用相关领域的前沿理论和现代方法，分析现实问题，从事科学研究或独立承担专门技术工作的高层次人才。主要研究领域</w:t>
      </w:r>
      <w:r>
        <w:rPr>
          <w:rFonts w:hint="eastAsia" w:ascii="宋体" w:hAnsi="宋体" w:eastAsia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包括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国际贸易理论与政策、区域经济一体化、跨国公司经营</w:t>
      </w:r>
      <w:r>
        <w:rPr>
          <w:rFonts w:hint="eastAsia" w:ascii="宋体" w:hAnsi="宋体" w:eastAsia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等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  <w:r>
        <w:rPr>
          <w:rFonts w:hint="eastAsia" w:ascii="宋体" w:hAnsi="宋体" w:eastAsia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本方向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以经济全球化和一体化为主线，围绕世界经济运行机制及其发展趋势、全球价值链</w:t>
      </w:r>
      <w:r>
        <w:rPr>
          <w:rFonts w:hint="eastAsia" w:ascii="宋体" w:hAnsi="宋体" w:eastAsia="宋体" w:cs="宋体"/>
          <w:color w:val="0D0D0D" w:themeColor="text1" w:themeTint="F2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国际经济协调与合作机制等，全面、系统跟踪研究国际经济发展问题，</w:t>
      </w:r>
      <w:r>
        <w:rPr>
          <w:rFonts w:hint="eastAsia" w:ascii="宋体" w:hAnsi="宋体" w:eastAsia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基于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世界经济发展趋势及其运行机制、国际经济协调与合作机制、国际经贸新秩序以及国别经济等方面的前沿研究、形成了以日、美、欧等为研究主体的国别经济及区域经济研究、国际贸易与生态环境效应研究、国际直接投资理论与政策研究为主要特色的领域和方向</w:t>
      </w:r>
      <w:r>
        <w:rPr>
          <w:rFonts w:hint="eastAsia" w:ascii="宋体" w:hAnsi="宋体" w:eastAsia="宋体" w:cs="宋体"/>
          <w:color w:val="0D0D0D" w:themeColor="text1" w:themeTint="F2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在东亚、欧盟区域经济和中国对外直接投资等领域</w:t>
      </w:r>
      <w:r>
        <w:rPr>
          <w:rFonts w:hint="eastAsia" w:ascii="宋体" w:hAnsi="宋体" w:eastAsia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已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取得了</w:t>
      </w:r>
      <w:r>
        <w:rPr>
          <w:rFonts w:hint="eastAsia" w:ascii="宋体" w:hAnsi="宋体" w:eastAsia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一系列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创新性高端成果。</w:t>
      </w:r>
    </w:p>
    <w:p w14:paraId="62F54D0E">
      <w:pPr>
        <w:widowControl w:val="0"/>
        <w:numPr>
          <w:ilvl w:val="0"/>
          <w:numId w:val="0"/>
        </w:numPr>
        <w:spacing w:line="360" w:lineRule="auto"/>
        <w:ind w:firstLine="482" w:firstLineChars="200"/>
        <w:jc w:val="both"/>
        <w:rPr>
          <w:rFonts w:hint="eastAsia" w:ascii="宋体" w:hAnsi="宋体" w:eastAsia="宋体" w:cs="宋体"/>
          <w:color w:val="0D0D0D" w:themeColor="text1" w:themeTint="F2"/>
          <w:sz w:val="24"/>
          <w:highlight w:val="yellow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2.</w:t>
      </w:r>
      <w:r>
        <w:rPr>
          <w:rFonts w:hint="eastAsia" w:ascii="宋体" w:hAnsi="宋体" w:eastAsia="宋体" w:cs="宋体"/>
          <w:b/>
          <w:color w:val="0D0D0D" w:themeColor="text1" w:themeTint="F2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金融市场与制度</w:t>
      </w:r>
      <w:r>
        <w:rPr>
          <w:rFonts w:hint="eastAsia" w:ascii="宋体" w:hAnsi="宋体" w:eastAsia="宋体" w:cs="宋体"/>
          <w:b/>
          <w:color w:val="0D0D0D" w:themeColor="text1" w:themeTint="F2"/>
          <w:sz w:val="24"/>
          <w:highlight w:val="none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创新</w:t>
      </w:r>
    </w:p>
    <w:p w14:paraId="26F0F0A0">
      <w:pPr>
        <w:widowControl w:val="0"/>
        <w:snapToGrid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D0D0D" w:themeColor="text1" w:themeTint="F2"/>
          <w:spacing w:val="0"/>
          <w:w w:val="100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D0D0D" w:themeColor="text1" w:themeTint="F2"/>
          <w:spacing w:val="0"/>
          <w:w w:val="100"/>
          <w:sz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本方向属于金融学二级学科</w:t>
      </w:r>
      <w:r>
        <w:rPr>
          <w:rFonts w:hint="eastAsia" w:ascii="宋体" w:hAnsi="宋体" w:eastAsia="宋体" w:cs="宋体"/>
          <w:b w:val="0"/>
          <w:i w:val="0"/>
          <w:caps w:val="0"/>
          <w:color w:val="0D0D0D" w:themeColor="text1" w:themeTint="F2"/>
          <w:spacing w:val="0"/>
          <w:w w:val="100"/>
          <w:sz w:val="24"/>
          <w:highlight w:val="none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i w:val="0"/>
          <w:caps w:val="0"/>
          <w:color w:val="0D0D0D" w:themeColor="text1" w:themeTint="F2"/>
          <w:spacing w:val="0"/>
          <w:w w:val="100"/>
          <w:sz w:val="24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致力于</w:t>
      </w:r>
      <w:r>
        <w:rPr>
          <w:rFonts w:hint="eastAsia" w:ascii="宋体" w:hAnsi="宋体" w:eastAsia="宋体" w:cs="宋体"/>
          <w:b w:val="0"/>
          <w:i w:val="0"/>
          <w:caps w:val="0"/>
          <w:color w:val="0D0D0D" w:themeColor="text1" w:themeTint="F2"/>
          <w:spacing w:val="0"/>
          <w:w w:val="100"/>
          <w:sz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培</w:t>
      </w:r>
      <w:r>
        <w:rPr>
          <w:rFonts w:hint="eastAsia" w:ascii="宋体" w:hAnsi="宋体" w:eastAsia="宋体" w:cs="宋体"/>
          <w:b w:val="0"/>
          <w:i w:val="0"/>
          <w:caps w:val="0"/>
          <w:color w:val="0D0D0D" w:themeColor="text1" w:themeTint="F2"/>
          <w:spacing w:val="0"/>
          <w:w w:val="10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养掌握现代金融理论与方法，熟悉金融专业技术，通晓金融发展前沿，具备运用金融学理论与相关知识分析金融领域问题的能力，能够在高校、科研机构及相关部门机构工作的高层次人才。主要研究领域</w:t>
      </w:r>
      <w:r>
        <w:rPr>
          <w:rFonts w:hint="eastAsia" w:ascii="宋体" w:hAnsi="宋体" w:eastAsia="宋体" w:cs="宋体"/>
          <w:b w:val="0"/>
          <w:i w:val="0"/>
          <w:caps w:val="0"/>
          <w:color w:val="0D0D0D" w:themeColor="text1" w:themeTint="F2"/>
          <w:spacing w:val="0"/>
          <w:w w:val="100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包括</w:t>
      </w:r>
      <w:r>
        <w:rPr>
          <w:rFonts w:hint="eastAsia" w:ascii="宋体" w:hAnsi="宋体" w:eastAsia="宋体" w:cs="宋体"/>
          <w:b w:val="0"/>
          <w:i w:val="0"/>
          <w:caps w:val="0"/>
          <w:color w:val="0D0D0D" w:themeColor="text1" w:themeTint="F2"/>
          <w:spacing w:val="0"/>
          <w:w w:val="10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金融理论、政策与制度、房地产金融、公司融资与财务管理、风险管理与保险、区域金融与贸易</w:t>
      </w:r>
      <w:r>
        <w:rPr>
          <w:rFonts w:hint="eastAsia" w:ascii="宋体" w:hAnsi="宋体" w:eastAsia="宋体" w:cs="宋体"/>
          <w:b w:val="0"/>
          <w:i w:val="0"/>
          <w:caps w:val="0"/>
          <w:color w:val="0D0D0D" w:themeColor="text1" w:themeTint="F2"/>
          <w:spacing w:val="0"/>
          <w:w w:val="100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等</w:t>
      </w:r>
      <w:r>
        <w:rPr>
          <w:rFonts w:hint="eastAsia" w:ascii="宋体" w:hAnsi="宋体" w:eastAsia="宋体" w:cs="宋体"/>
          <w:b w:val="0"/>
          <w:i w:val="0"/>
          <w:caps w:val="0"/>
          <w:color w:val="0D0D0D" w:themeColor="text1" w:themeTint="F2"/>
          <w:spacing w:val="0"/>
          <w:w w:val="10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  <w:r>
        <w:rPr>
          <w:rFonts w:hint="eastAsia" w:ascii="宋体" w:hAnsi="宋体" w:eastAsia="宋体" w:cs="宋体"/>
          <w:b w:val="0"/>
          <w:i w:val="0"/>
          <w:caps w:val="0"/>
          <w:color w:val="0D0D0D" w:themeColor="text1" w:themeTint="F2"/>
          <w:spacing w:val="0"/>
          <w:w w:val="100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本方向</w:t>
      </w:r>
      <w:r>
        <w:rPr>
          <w:rFonts w:hint="eastAsia" w:ascii="宋体" w:hAnsi="宋体" w:eastAsia="宋体" w:cs="宋体"/>
          <w:b w:val="0"/>
          <w:i w:val="0"/>
          <w:caps w:val="0"/>
          <w:color w:val="0D0D0D" w:themeColor="text1" w:themeTint="F2"/>
          <w:spacing w:val="0"/>
          <w:w w:val="10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围绕普惠金融、民生金融、房地产金融、风险管理与保险、农村金融、金融科技以及京津冀金融协同发展</w:t>
      </w:r>
      <w:r>
        <w:rPr>
          <w:rFonts w:hint="eastAsia" w:ascii="宋体" w:hAnsi="宋体" w:eastAsia="宋体" w:cs="宋体"/>
          <w:b w:val="0"/>
          <w:i w:val="0"/>
          <w:caps w:val="0"/>
          <w:color w:val="0D0D0D" w:themeColor="text1" w:themeTint="F2"/>
          <w:spacing w:val="0"/>
          <w:w w:val="100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等方面</w:t>
      </w:r>
      <w:r>
        <w:rPr>
          <w:rFonts w:hint="eastAsia" w:ascii="宋体" w:hAnsi="宋体" w:eastAsia="宋体" w:cs="宋体"/>
          <w:b w:val="0"/>
          <w:i w:val="0"/>
          <w:caps w:val="0"/>
          <w:color w:val="0D0D0D" w:themeColor="text1" w:themeTint="F2"/>
          <w:spacing w:val="0"/>
          <w:w w:val="10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进行理论、政策及制度的创新性研究，</w:t>
      </w:r>
      <w:r>
        <w:rPr>
          <w:rFonts w:hint="eastAsia" w:ascii="宋体" w:hAnsi="宋体" w:eastAsia="宋体" w:cs="宋体"/>
          <w:b w:val="0"/>
          <w:i w:val="0"/>
          <w:caps w:val="0"/>
          <w:color w:val="0D0D0D" w:themeColor="text1" w:themeTint="F2"/>
          <w:spacing w:val="0"/>
          <w:w w:val="100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已取得一系列高端成果，</w:t>
      </w:r>
      <w:r>
        <w:rPr>
          <w:rFonts w:hint="eastAsia" w:ascii="宋体" w:hAnsi="宋体" w:eastAsia="宋体" w:cs="宋体"/>
          <w:b w:val="0"/>
          <w:i w:val="0"/>
          <w:caps w:val="0"/>
          <w:color w:val="0D0D0D" w:themeColor="text1" w:themeTint="F2"/>
          <w:spacing w:val="0"/>
          <w:w w:val="10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为政府及相关部门决策提供了智力支持，</w:t>
      </w:r>
      <w:r>
        <w:rPr>
          <w:rFonts w:hint="eastAsia" w:ascii="宋体" w:hAnsi="宋体" w:eastAsia="宋体" w:cs="宋体"/>
          <w:b w:val="0"/>
          <w:i w:val="0"/>
          <w:caps w:val="0"/>
          <w:color w:val="0D0D0D" w:themeColor="text1" w:themeTint="F2"/>
          <w:spacing w:val="0"/>
          <w:w w:val="100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凸</w:t>
      </w:r>
      <w:r>
        <w:rPr>
          <w:rFonts w:hint="eastAsia" w:ascii="宋体" w:hAnsi="宋体" w:eastAsia="宋体" w:cs="宋体"/>
          <w:b w:val="0"/>
          <w:i w:val="0"/>
          <w:caps w:val="0"/>
          <w:color w:val="0D0D0D" w:themeColor="text1" w:themeTint="F2"/>
          <w:spacing w:val="0"/>
          <w:w w:val="10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显了较强的社会服务能力</w:t>
      </w:r>
      <w:r>
        <w:rPr>
          <w:rFonts w:hint="eastAsia" w:ascii="宋体" w:hAnsi="宋体" w:eastAsia="宋体" w:cs="宋体"/>
          <w:b w:val="0"/>
          <w:i w:val="0"/>
          <w:caps w:val="0"/>
          <w:color w:val="0D0D0D" w:themeColor="text1" w:themeTint="F2"/>
          <w:spacing w:val="0"/>
          <w:w w:val="100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  <w:r>
        <w:rPr>
          <w:rFonts w:hint="eastAsia" w:ascii="宋体" w:hAnsi="宋体" w:eastAsia="宋体" w:cs="宋体"/>
          <w:b w:val="0"/>
          <w:i w:val="0"/>
          <w:caps w:val="0"/>
          <w:color w:val="0D0D0D" w:themeColor="text1" w:themeTint="F2"/>
          <w:spacing w:val="0"/>
          <w:w w:val="100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本方向以</w:t>
      </w:r>
      <w:r>
        <w:rPr>
          <w:rFonts w:hint="eastAsia" w:ascii="宋体" w:hAnsi="宋体" w:eastAsia="宋体" w:cs="宋体"/>
          <w:b w:val="0"/>
          <w:i w:val="0"/>
          <w:caps w:val="0"/>
          <w:color w:val="0D0D0D" w:themeColor="text1" w:themeTint="F2"/>
          <w:spacing w:val="0"/>
          <w:w w:val="10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深化、拓展、创新金融市场与制度的理论及应用研究</w:t>
      </w:r>
      <w:r>
        <w:rPr>
          <w:rFonts w:hint="eastAsia" w:ascii="宋体" w:hAnsi="宋体" w:eastAsia="宋体" w:cs="宋体"/>
          <w:b w:val="0"/>
          <w:i w:val="0"/>
          <w:caps w:val="0"/>
          <w:color w:val="0D0D0D" w:themeColor="text1" w:themeTint="F2"/>
          <w:spacing w:val="0"/>
          <w:w w:val="100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为主线</w:t>
      </w:r>
      <w:r>
        <w:rPr>
          <w:rFonts w:hint="eastAsia" w:ascii="宋体" w:hAnsi="宋体" w:eastAsia="宋体" w:cs="宋体"/>
          <w:b w:val="0"/>
          <w:i w:val="0"/>
          <w:caps w:val="0"/>
          <w:color w:val="0D0D0D" w:themeColor="text1" w:themeTint="F2"/>
          <w:spacing w:val="0"/>
          <w:w w:val="10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，在国内已形成较大的影响力和较鲜明的特色。</w:t>
      </w:r>
    </w:p>
    <w:p w14:paraId="075E25F8">
      <w:pPr>
        <w:widowControl w:val="0"/>
        <w:numPr>
          <w:ilvl w:val="0"/>
          <w:numId w:val="0"/>
        </w:numPr>
        <w:spacing w:line="360" w:lineRule="auto"/>
        <w:ind w:firstLine="482" w:firstLineChars="200"/>
        <w:jc w:val="both"/>
        <w:rPr>
          <w:rFonts w:hint="eastAsia" w:ascii="宋体" w:hAnsi="宋体" w:eastAsia="宋体" w:cs="宋体"/>
          <w:color w:val="0D0D0D" w:themeColor="text1" w:themeTint="F2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</w:t>
      </w:r>
      <w:r>
        <w:rPr>
          <w:rFonts w:hint="eastAsia" w:ascii="宋体" w:hAnsi="宋体" w:eastAsia="宋体" w:cs="宋体"/>
          <w:b/>
          <w:bCs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.</w:t>
      </w:r>
      <w:r>
        <w:rPr>
          <w:rFonts w:hint="eastAsia" w:ascii="宋体" w:hAnsi="宋体" w:eastAsia="宋体" w:cs="宋体"/>
          <w:b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区</w:t>
      </w:r>
      <w:r>
        <w:rPr>
          <w:rFonts w:hint="eastAsia" w:ascii="宋体" w:hAnsi="宋体" w:eastAsia="宋体" w:cs="宋体"/>
          <w:b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域经济</w:t>
      </w:r>
      <w:r>
        <w:rPr>
          <w:rFonts w:hint="eastAsia" w:ascii="宋体" w:hAnsi="宋体" w:eastAsia="宋体" w:cs="宋体"/>
          <w:b/>
          <w:color w:val="0D0D0D" w:themeColor="text1" w:themeTint="F2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政策与</w:t>
      </w:r>
      <w:r>
        <w:rPr>
          <w:rFonts w:hint="eastAsia" w:ascii="宋体" w:hAnsi="宋体" w:eastAsia="宋体" w:cs="宋体"/>
          <w:b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可持续发展</w:t>
      </w:r>
    </w:p>
    <w:p w14:paraId="47DF8D31">
      <w:pPr>
        <w:widowControl w:val="0"/>
        <w:snapToGrid/>
        <w:spacing w:before="0" w:beforeAutospacing="0" w:after="0" w:afterAutospacing="0" w:line="360" w:lineRule="auto"/>
        <w:ind w:firstLine="480" w:firstLineChars="200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D0D0D" w:themeColor="text1" w:themeTint="F2"/>
          <w:spacing w:val="0"/>
          <w:w w:val="10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D0D0D" w:themeColor="text1" w:themeTint="F2"/>
          <w:spacing w:val="0"/>
          <w:w w:val="10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本方向属于</w:t>
      </w:r>
      <w:r>
        <w:rPr>
          <w:rFonts w:hint="eastAsia" w:ascii="宋体" w:hAnsi="宋体" w:eastAsia="宋体" w:cs="宋体"/>
          <w:b w:val="0"/>
          <w:i w:val="0"/>
          <w:caps w:val="0"/>
          <w:color w:val="0D0D0D" w:themeColor="text1" w:themeTint="F2"/>
          <w:spacing w:val="0"/>
          <w:w w:val="100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区域和城市经济学</w:t>
      </w:r>
      <w:r>
        <w:rPr>
          <w:rFonts w:hint="eastAsia" w:ascii="宋体" w:hAnsi="宋体" w:eastAsia="宋体" w:cs="宋体"/>
          <w:b w:val="0"/>
          <w:i w:val="0"/>
          <w:caps w:val="0"/>
          <w:color w:val="0D0D0D" w:themeColor="text1" w:themeTint="F2"/>
          <w:spacing w:val="0"/>
          <w:w w:val="10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二级学科</w:t>
      </w:r>
      <w:r>
        <w:rPr>
          <w:rFonts w:hint="eastAsia" w:ascii="宋体" w:hAnsi="宋体" w:eastAsia="宋体" w:cs="宋体"/>
          <w:b w:val="0"/>
          <w:i w:val="0"/>
          <w:caps w:val="0"/>
          <w:color w:val="0D0D0D" w:themeColor="text1" w:themeTint="F2"/>
          <w:spacing w:val="0"/>
          <w:w w:val="100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i w:val="0"/>
          <w:caps w:val="0"/>
          <w:color w:val="0D0D0D" w:themeColor="text1" w:themeTint="F2"/>
          <w:spacing w:val="0"/>
          <w:w w:val="100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致力于</w:t>
      </w:r>
      <w:r>
        <w:rPr>
          <w:rFonts w:hint="eastAsia" w:ascii="宋体" w:hAnsi="宋体" w:eastAsia="宋体" w:cs="宋体"/>
          <w:b w:val="0"/>
          <w:i w:val="0"/>
          <w:caps w:val="0"/>
          <w:color w:val="0D0D0D" w:themeColor="text1" w:themeTint="F2"/>
          <w:spacing w:val="0"/>
          <w:w w:val="10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培养熟练掌握区域经济学的前沿理论和专业知识，紧密结合实际，具备较高的学术素养和学术研究能力，从事区域经济学领域教学、科研和区域规划与管理等工作的高层次人才。主要研究领域</w:t>
      </w:r>
      <w:r>
        <w:rPr>
          <w:rFonts w:hint="eastAsia" w:ascii="宋体" w:hAnsi="宋体" w:eastAsia="宋体" w:cs="宋体"/>
          <w:b w:val="0"/>
          <w:i w:val="0"/>
          <w:caps w:val="0"/>
          <w:color w:val="0D0D0D" w:themeColor="text1" w:themeTint="F2"/>
          <w:spacing w:val="0"/>
          <w:w w:val="100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包括</w:t>
      </w:r>
      <w:r>
        <w:rPr>
          <w:rFonts w:hint="eastAsia" w:ascii="宋体" w:hAnsi="宋体" w:eastAsia="宋体" w:cs="宋体"/>
          <w:b w:val="0"/>
          <w:i w:val="0"/>
          <w:caps w:val="0"/>
          <w:color w:val="0D0D0D" w:themeColor="text1" w:themeTint="F2"/>
          <w:spacing w:val="0"/>
          <w:w w:val="10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区域经济理论与政策、城市与区域发展、空间经济与生态文明建设、区域产业集群与公共政策。</w:t>
      </w:r>
      <w:r>
        <w:rPr>
          <w:rFonts w:hint="eastAsia" w:ascii="宋体" w:hAnsi="宋体" w:eastAsia="宋体" w:cs="宋体"/>
          <w:b w:val="0"/>
          <w:i w:val="0"/>
          <w:caps w:val="0"/>
          <w:color w:val="0D0D0D" w:themeColor="text1" w:themeTint="F2"/>
          <w:spacing w:val="0"/>
          <w:w w:val="100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本方向</w:t>
      </w:r>
      <w:r>
        <w:rPr>
          <w:rFonts w:hint="eastAsia" w:ascii="宋体" w:hAnsi="宋体" w:eastAsia="宋体" w:cs="宋体"/>
          <w:b w:val="0"/>
          <w:i w:val="0"/>
          <w:caps w:val="0"/>
          <w:color w:val="0D0D0D" w:themeColor="text1" w:themeTint="F2"/>
          <w:spacing w:val="0"/>
          <w:w w:val="10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立足区域发展需求，围绕区域高质量发展，服务于国家战略和地方经济建设，从要素配置、生态文明和公共政策视角开展了深入研究，在资源有效利用、城市与区域发展、在区域经济规划、生态文明建设、区域公共政策等方向取得了一系列高端成果</w:t>
      </w:r>
      <w:r>
        <w:rPr>
          <w:rFonts w:hint="eastAsia" w:ascii="宋体" w:hAnsi="宋体" w:eastAsia="宋体" w:cs="宋体"/>
          <w:b w:val="0"/>
          <w:i w:val="0"/>
          <w:caps w:val="0"/>
          <w:color w:val="0D0D0D" w:themeColor="text1" w:themeTint="F2"/>
          <w:spacing w:val="0"/>
          <w:w w:val="100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</w:t>
      </w:r>
      <w:r>
        <w:rPr>
          <w:rFonts w:hint="eastAsia" w:ascii="宋体" w:hAnsi="宋体" w:eastAsia="宋体" w:cs="宋体"/>
          <w:b w:val="0"/>
          <w:i w:val="0"/>
          <w:caps w:val="0"/>
          <w:color w:val="0D0D0D" w:themeColor="text1" w:themeTint="F2"/>
          <w:spacing w:val="0"/>
          <w:w w:val="10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形成了城市与区域发展、区域产业分析、区域生态文明建设、区域公共政策等具有鲜明特色的研究方向。</w:t>
      </w:r>
    </w:p>
    <w:p w14:paraId="015287AB">
      <w:pPr>
        <w:widowControl w:val="0"/>
        <w:numPr>
          <w:ilvl w:val="0"/>
          <w:numId w:val="0"/>
        </w:numPr>
        <w:spacing w:line="360" w:lineRule="auto"/>
        <w:ind w:firstLine="482" w:firstLineChars="200"/>
        <w:jc w:val="both"/>
        <w:rPr>
          <w:rFonts w:hint="eastAsia" w:ascii="宋体" w:hAnsi="宋体" w:eastAsia="宋体" w:cs="宋体"/>
          <w:color w:val="0D0D0D" w:themeColor="text1" w:themeTint="F2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4.</w:t>
      </w:r>
      <w:r>
        <w:rPr>
          <w:rFonts w:hint="eastAsia" w:ascii="宋体" w:hAnsi="宋体" w:eastAsia="宋体" w:cs="宋体"/>
          <w:b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劳</w:t>
      </w:r>
      <w:r>
        <w:rPr>
          <w:rFonts w:hint="eastAsia" w:ascii="宋体" w:hAnsi="宋体" w:eastAsia="宋体" w:cs="宋体"/>
          <w:b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动与人口经济理论</w:t>
      </w:r>
      <w:r>
        <w:rPr>
          <w:rFonts w:hint="eastAsia" w:ascii="宋体" w:hAnsi="宋体" w:cs="宋体"/>
          <w:b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和</w:t>
      </w:r>
      <w:r>
        <w:rPr>
          <w:rFonts w:hint="eastAsia" w:ascii="宋体" w:hAnsi="宋体" w:eastAsia="宋体" w:cs="宋体"/>
          <w:b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政策</w:t>
      </w:r>
    </w:p>
    <w:p w14:paraId="2F6466E8"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0D0D0D" w:themeColor="text1" w:themeTint="F2"/>
          <w:sz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color w:val="0D0D0D" w:themeColor="text1" w:themeTint="F2"/>
          <w:sz w:val="24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本方向</w:t>
      </w:r>
      <w:r>
        <w:rPr>
          <w:rFonts w:hint="eastAsia" w:ascii="宋体" w:hAnsi="宋体" w:eastAsia="宋体" w:cs="宋体"/>
          <w:color w:val="0D0D0D" w:themeColor="text1" w:themeTint="F2"/>
          <w:sz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属于劳动经济学二级学科</w:t>
      </w:r>
      <w:r>
        <w:rPr>
          <w:rFonts w:hint="eastAsia" w:ascii="宋体" w:hAnsi="宋体" w:eastAsia="宋体" w:cs="宋体"/>
          <w:color w:val="0D0D0D" w:themeColor="text1" w:themeTint="F2"/>
          <w:sz w:val="24"/>
          <w:highlight w:val="none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</w:t>
      </w:r>
      <w:r>
        <w:rPr>
          <w:rFonts w:hint="eastAsia" w:ascii="宋体" w:hAnsi="宋体" w:eastAsia="宋体" w:cs="宋体"/>
          <w:color w:val="0D0D0D" w:themeColor="text1" w:themeTint="F2"/>
          <w:sz w:val="24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致力于</w:t>
      </w:r>
      <w:r>
        <w:rPr>
          <w:rFonts w:hint="eastAsia" w:ascii="宋体" w:hAnsi="宋体" w:eastAsia="宋体" w:cs="宋体"/>
          <w:color w:val="0D0D0D" w:themeColor="text1" w:themeTint="F2"/>
          <w:sz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培养掌握劳动经济学领域前沿理论和专业知识，能够运用现代经济学研究方法，从事相关领域科学研究或劳动保障与人力资源管理的高层次人才。主要研究领域</w:t>
      </w:r>
      <w:r>
        <w:rPr>
          <w:rFonts w:hint="eastAsia" w:ascii="宋体" w:hAnsi="宋体" w:eastAsia="宋体" w:cs="宋体"/>
          <w:color w:val="0D0D0D" w:themeColor="text1" w:themeTint="F2"/>
          <w:sz w:val="24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包括</w:t>
      </w:r>
      <w:r>
        <w:rPr>
          <w:rFonts w:hint="eastAsia" w:ascii="宋体" w:hAnsi="宋体" w:eastAsia="宋体" w:cs="宋体"/>
          <w:color w:val="0D0D0D" w:themeColor="text1" w:themeTint="F2"/>
          <w:sz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劳动与社会保障制度、劳动就业与收入分配、人力资本理论、人口与经济增长。</w:t>
      </w:r>
      <w:r>
        <w:rPr>
          <w:rFonts w:hint="eastAsia" w:ascii="宋体" w:hAnsi="宋体" w:eastAsia="宋体" w:cs="宋体"/>
          <w:color w:val="0D0D0D" w:themeColor="text1" w:themeTint="F2"/>
          <w:sz w:val="24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本方向</w:t>
      </w:r>
      <w:r>
        <w:rPr>
          <w:rFonts w:hint="eastAsia" w:ascii="宋体" w:hAnsi="宋体" w:eastAsia="宋体" w:cs="宋体"/>
          <w:color w:val="0D0D0D" w:themeColor="text1" w:themeTint="F2"/>
          <w:sz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以劳动力供需动态调整为背景，主要研究生产要素投入的经济效益以及与此相关的社会经济问题，形成在劳动力市场形成机制、人口与经济增长关系、收入分配等方面的研究特色</w:t>
      </w:r>
      <w:r>
        <w:rPr>
          <w:rFonts w:hint="eastAsia" w:ascii="宋体" w:hAnsi="宋体" w:eastAsia="宋体" w:cs="宋体"/>
          <w:color w:val="0D0D0D" w:themeColor="text1" w:themeTint="F2"/>
          <w:sz w:val="24"/>
          <w:highlight w:val="none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</w:t>
      </w:r>
      <w:r>
        <w:rPr>
          <w:rFonts w:hint="eastAsia" w:ascii="宋体" w:hAnsi="宋体" w:eastAsia="宋体" w:cs="宋体"/>
          <w:color w:val="0D0D0D" w:themeColor="text1" w:themeTint="F2"/>
          <w:sz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呈现出独特的理论体系和实证研究方法。</w:t>
      </w:r>
      <w:r>
        <w:rPr>
          <w:rFonts w:hint="eastAsia" w:ascii="宋体" w:hAnsi="宋体" w:eastAsia="宋体" w:cs="宋体"/>
          <w:color w:val="0D0D0D" w:themeColor="text1" w:themeTint="F2"/>
          <w:sz w:val="24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本</w:t>
      </w:r>
      <w:r>
        <w:rPr>
          <w:rFonts w:hint="eastAsia" w:ascii="宋体" w:hAnsi="宋体" w:eastAsia="宋体" w:cs="宋体"/>
          <w:color w:val="0D0D0D" w:themeColor="text1" w:themeTint="F2"/>
          <w:sz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方向聚焦现实问题，</w:t>
      </w:r>
      <w:r>
        <w:rPr>
          <w:rFonts w:hint="eastAsia" w:ascii="宋体" w:hAnsi="宋体" w:eastAsia="宋体" w:cs="宋体"/>
          <w:color w:val="0D0D0D" w:themeColor="text1" w:themeTint="F2"/>
          <w:sz w:val="24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其中</w:t>
      </w:r>
      <w:r>
        <w:rPr>
          <w:rFonts w:hint="eastAsia" w:ascii="宋体" w:hAnsi="宋体" w:eastAsia="宋体" w:cs="宋体"/>
          <w:color w:val="0D0D0D" w:themeColor="text1" w:themeTint="F2"/>
          <w:sz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人力</w:t>
      </w:r>
      <w:r>
        <w:rPr>
          <w:rFonts w:hint="eastAsia" w:ascii="宋体" w:hAnsi="宋体" w:cs="宋体"/>
          <w:color w:val="0D0D0D" w:themeColor="text1" w:themeTint="F2"/>
          <w:sz w:val="24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资源</w:t>
      </w:r>
      <w:r>
        <w:rPr>
          <w:rFonts w:hint="eastAsia" w:ascii="宋体" w:hAnsi="宋体" w:eastAsia="宋体" w:cs="宋体"/>
          <w:color w:val="0D0D0D" w:themeColor="text1" w:themeTint="F2"/>
          <w:sz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与经济增长、健康经济与社会保障、劳动力流动与配置等方面的研究在国内外具有较强的学术影响力。</w:t>
      </w:r>
    </w:p>
    <w:p w14:paraId="63FB68E1">
      <w:pPr>
        <w:widowControl w:val="0"/>
        <w:numPr>
          <w:ilvl w:val="0"/>
          <w:numId w:val="0"/>
        </w:numPr>
        <w:spacing w:line="360" w:lineRule="auto"/>
        <w:ind w:firstLine="482" w:firstLineChars="200"/>
        <w:jc w:val="both"/>
        <w:rPr>
          <w:rFonts w:hint="eastAsia" w:ascii="宋体" w:hAnsi="宋体" w:eastAsia="宋体" w:cs="宋体"/>
          <w:color w:val="0D0D0D" w:themeColor="text1" w:themeTint="F2"/>
          <w:sz w:val="24"/>
          <w:highlight w:val="none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D0D0D" w:themeColor="text1" w:themeTint="F2"/>
          <w:sz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5</w:t>
      </w:r>
      <w:r>
        <w:rPr>
          <w:rFonts w:hint="eastAsia" w:ascii="宋体" w:hAnsi="宋体" w:eastAsia="宋体" w:cs="宋体"/>
          <w:b/>
          <w:bCs/>
          <w:color w:val="0D0D0D" w:themeColor="text1" w:themeTint="F2"/>
          <w:sz w:val="24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.</w:t>
      </w:r>
      <w:r>
        <w:rPr>
          <w:rFonts w:hint="eastAsia" w:ascii="宋体" w:hAnsi="宋体" w:eastAsia="宋体" w:cs="宋体"/>
          <w:b/>
          <w:color w:val="0D0D0D" w:themeColor="text1" w:themeTint="F2"/>
          <w:sz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数据与经济统计应用研究</w:t>
      </w:r>
    </w:p>
    <w:p w14:paraId="407AF76C"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color w:val="0D0D0D" w:themeColor="text1" w:themeTint="F2"/>
          <w:sz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本方向属于</w:t>
      </w:r>
      <w:r>
        <w:rPr>
          <w:rFonts w:hint="eastAsia" w:ascii="宋体" w:hAnsi="宋体" w:eastAsia="宋体" w:cs="宋体"/>
          <w:color w:val="0D0D0D" w:themeColor="text1" w:themeTint="F2"/>
          <w:sz w:val="24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经济统计学和数量</w:t>
      </w:r>
      <w:r>
        <w:rPr>
          <w:rFonts w:hint="eastAsia" w:ascii="宋体" w:hAnsi="宋体" w:eastAsia="宋体" w:cs="宋体"/>
          <w:color w:val="0D0D0D" w:themeColor="text1" w:themeTint="F2"/>
          <w:sz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经济学二级学科，主要培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养熟练掌握现代经济学理论和数量分析方法，将经济学、统计学、计算技术等相关学科知识有效融合，研究社会经济发展过程中的各种经济数量关系及其规律，从事宏微观经济分析与评价、宏微观经济管理等领域的高层次人才。主要研究领域</w:t>
      </w:r>
      <w:r>
        <w:rPr>
          <w:rFonts w:hint="eastAsia" w:ascii="宋体" w:hAnsi="宋体" w:eastAsia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包括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经济数量分析方法与应用、数据科学与大数据技术的应用</w:t>
      </w:r>
      <w:r>
        <w:rPr>
          <w:rFonts w:hint="eastAsia" w:ascii="宋体" w:hAnsi="宋体" w:eastAsia="宋体" w:cs="宋体"/>
          <w:color w:val="0D0D0D" w:themeColor="text1" w:themeTint="F2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新经济增长模型理论与分析、区域经济分析与评价、宏观经济大数据分析与应用</w:t>
      </w:r>
      <w:r>
        <w:rPr>
          <w:rFonts w:hint="eastAsia" w:ascii="宋体" w:hAnsi="宋体" w:eastAsia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等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  <w:r>
        <w:rPr>
          <w:rFonts w:hint="eastAsia" w:ascii="宋体" w:hAnsi="宋体" w:eastAsia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本方向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运用经济数学模型等相关方法，在新经济增长理论、国民经济核算、区域生态价值补偿、大数据挖掘等方面形成了鲜明特色</w:t>
      </w:r>
      <w:r>
        <w:rPr>
          <w:rFonts w:hint="eastAsia" w:ascii="宋体" w:hAnsi="宋体" w:eastAsia="宋体" w:cs="宋体"/>
          <w:color w:val="0D0D0D" w:themeColor="text1" w:themeTint="F2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拥有一支精通数理模型和数量分析方法的高层次师资队伍。</w:t>
      </w:r>
    </w:p>
    <w:p w14:paraId="7103FE28">
      <w:pPr>
        <w:spacing w:line="440" w:lineRule="exact"/>
        <w:ind w:firstLine="560" w:firstLineChars="200"/>
        <w:rPr>
          <w:rFonts w:ascii="Times New Roman" w:hAnsi="Times New Roman" w:eastAsia="黑体" w:cs="Times New Roman"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eastAsia="黑体" w:cs="Times New Roman"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四、学制及学习年限</w:t>
      </w:r>
    </w:p>
    <w:p w14:paraId="07AF3027">
      <w:pPr>
        <w:spacing w:line="440" w:lineRule="exact"/>
        <w:ind w:firstLine="480" w:firstLineChars="200"/>
        <w:rPr>
          <w:rFonts w:eastAsiaTheme="minorEastAsia"/>
          <w:i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eastAsiaTheme="minorEastAsia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本专业学制为4年，在校最长学习年限（含休学）不超过8年。</w:t>
      </w:r>
    </w:p>
    <w:p w14:paraId="2605A03E">
      <w:pPr>
        <w:spacing w:line="440" w:lineRule="exact"/>
        <w:ind w:firstLine="560" w:firstLineChars="200"/>
        <w:rPr>
          <w:rFonts w:eastAsia="黑体"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eastAsia="黑体"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五、培养目标</w:t>
      </w:r>
    </w:p>
    <w:p w14:paraId="761F6CBC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宋体" w:hAnsi="宋体" w:eastAsia="宋体"/>
          <w:color w:val="0D0D0D" w:themeColor="text1" w:themeTint="F2"/>
          <w:kern w:val="0"/>
          <w:sz w:val="24"/>
          <w:highlight w:val="none"/>
          <w:u w:val="single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cs="Times New Roman" w:eastAsiaTheme="minorEastAsia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培养学生</w:t>
      </w:r>
      <w:r>
        <w:rPr>
          <w:rFonts w:hint="eastAsia" w:ascii="Times New Roman" w:hAnsi="Times New Roman" w:cs="Times New Roman" w:eastAsiaTheme="minorEastAsia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具有坚实宽广的经济学科理论基础与专业知识，具备宽广的国际视野，系统掌握相关领域专业文献</w:t>
      </w:r>
      <w:r>
        <w:rPr>
          <w:rFonts w:hint="eastAsia" w:cs="Times New Roman" w:eastAsiaTheme="minorEastAsia"/>
          <w:color w:val="0D0D0D" w:themeColor="text1" w:themeTint="F2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；</w:t>
      </w:r>
      <w:r>
        <w:rPr>
          <w:rFonts w:hint="eastAsia" w:ascii="Times New Roman" w:hAnsi="Times New Roman" w:cs="Times New Roman" w:eastAsiaTheme="minorEastAsia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跟踪学术前沿，深入了解国内外相关领域最新研究动态，能够创造性地提出新观点、理论、方法或创新性地利用最新研究成果解决重要的实际问题</w:t>
      </w:r>
      <w:r>
        <w:rPr>
          <w:rFonts w:hint="eastAsia" w:cs="Times New Roman" w:eastAsiaTheme="minorEastAsia"/>
          <w:color w:val="0D0D0D" w:themeColor="text1" w:themeTint="F2"/>
          <w:sz w:val="24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；</w:t>
      </w:r>
      <w:r>
        <w:rPr>
          <w:rFonts w:hint="eastAsia" w:ascii="Times New Roman" w:hAnsi="Times New Roman" w:cs="Times New Roman" w:eastAsiaTheme="minorEastAsia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具备在相关</w:t>
      </w:r>
      <w:r>
        <w:rPr>
          <w:rFonts w:hint="eastAsia" w:ascii="Times New Roman" w:hAnsi="Times New Roman" w:cs="Times New Roman" w:eastAsiaTheme="minorEastAsia"/>
          <w:color w:val="0D0D0D" w:themeColor="text1" w:themeTint="F2"/>
          <w:sz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领域独立从事学术研究的能力。</w:t>
      </w:r>
    </w:p>
    <w:p w14:paraId="1FB79494"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1.树立正确的中国特色社会主义核心价值观，具有坚定的理想信念，高尚的道德情操，优良的学术作风，高度的社会责任感。</w:t>
      </w:r>
    </w:p>
    <w:p w14:paraId="19D9B4D3"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2.熟练掌握坚实宽厚的经济学理论、前沿研究方法和系统的专业知识，熟悉本研究方向前沿理论，把握最新的科研进展，具有独立从事经济学研究</w:t>
      </w:r>
      <w:r>
        <w:rPr>
          <w:rFonts w:hint="eastAsia" w:ascii="宋体" w:hAnsi="宋体" w:eastAsia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和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解决实际问题的能力，并取得创新性成果。</w:t>
      </w:r>
    </w:p>
    <w:p w14:paraId="1D831B84"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3.至少掌握一门外语。能熟练阅读本专业外文资料，具有—定的国际论文写作和进行国际学术交流能力。</w:t>
      </w:r>
    </w:p>
    <w:p w14:paraId="5E8C9F81"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4.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掌握计算机应用知识和技能，精通计量经济学相关分析软件，及时跟踪前沿研究方法，并能熟练使用。</w:t>
      </w:r>
    </w:p>
    <w:p w14:paraId="0C65ED64"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5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.具有良好的团队意识和团队合作精神。</w:t>
      </w:r>
    </w:p>
    <w:p w14:paraId="138AC083"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6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.具有良好的心理素养。</w:t>
      </w:r>
    </w:p>
    <w:p w14:paraId="45DFF055">
      <w:pPr>
        <w:widowControl w:val="0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7</w:t>
      </w:r>
      <w:r>
        <w:rPr>
          <w:rFonts w:hint="eastAsia" w:ascii="宋体" w:hAnsi="宋体" w:eastAsia="宋体" w:cs="宋体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.培养德智体美劳全面发展的社会主义事业接班人。</w:t>
      </w:r>
    </w:p>
    <w:p w14:paraId="3841936B">
      <w:pPr>
        <w:spacing w:line="440" w:lineRule="exact"/>
        <w:ind w:firstLine="560" w:firstLineChars="200"/>
        <w:rPr>
          <w:rFonts w:eastAsia="黑体"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eastAsia="黑体"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六、培养方式</w:t>
      </w:r>
    </w:p>
    <w:p w14:paraId="3D9AB013">
      <w:pPr>
        <w:spacing w:line="360" w:lineRule="auto"/>
        <w:ind w:firstLine="480" w:firstLineChars="200"/>
        <w:rPr>
          <w:sz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D0D0D" w:themeColor="text1" w:themeTint="F2"/>
          <w:spacing w:val="0"/>
          <w:w w:val="100"/>
          <w:sz w:val="24"/>
          <w:szCs w:val="24"/>
          <w:vertAlign w:val="baseli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1.</w:t>
      </w:r>
      <w:r>
        <w:rPr>
          <w:sz w:val="24"/>
        </w:rPr>
        <w:t>采取课程学习和论文研究工作相结合的方式，贯彻立德树人的培养理念，使学生系统掌握所在学科领域的理论知识，培养经世济民的责任担当以及分析问题和解决问题的能力。</w:t>
      </w:r>
    </w:p>
    <w:p w14:paraId="17DC2641">
      <w:pPr>
        <w:pStyle w:val="9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eastAsia="宋体" w:cs="宋体"/>
          <w:i w:val="0"/>
          <w:iCs w:val="0"/>
          <w:caps w:val="0"/>
          <w:color w:val="0D0D0D" w:themeColor="text1" w:themeTint="F2"/>
          <w:spacing w:val="0"/>
          <w:kern w:val="0"/>
          <w:sz w:val="24"/>
          <w:szCs w:val="24"/>
          <w:shd w:val="clear" w:fill="FFFFFF"/>
          <w:lang w:val="en-US" w:eastAsia="zh-CN" w:bidi="ar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cs="宋体"/>
          <w:i w:val="0"/>
          <w:iCs w:val="0"/>
          <w:caps w:val="0"/>
          <w:color w:val="0D0D0D" w:themeColor="text1" w:themeTint="F2"/>
          <w:spacing w:val="0"/>
          <w:kern w:val="0"/>
          <w:sz w:val="24"/>
          <w:szCs w:val="24"/>
          <w:shd w:val="clear" w:fill="FFFFFF"/>
          <w:lang w:val="en-US" w:eastAsia="zh-CN" w:bidi="ar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2.</w:t>
      </w:r>
      <w:r>
        <w:rPr>
          <w:rFonts w:hint="eastAsia" w:ascii="宋体" w:hAnsi="宋体" w:eastAsia="宋体" w:cs="宋体"/>
          <w:i w:val="0"/>
          <w:iCs w:val="0"/>
          <w:caps w:val="0"/>
          <w:color w:val="0D0D0D" w:themeColor="text1" w:themeTint="F2"/>
          <w:spacing w:val="0"/>
          <w:kern w:val="0"/>
          <w:sz w:val="24"/>
          <w:szCs w:val="24"/>
          <w:shd w:val="clear" w:fill="FFFFFF"/>
          <w:lang w:val="en-US" w:eastAsia="zh-CN" w:bidi="ar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实行导师负责制，导师是博士生培养的第一责任人，对博士生培养的全过程进行全方位针对性指导。学院加强培养环节的规范管理、全程监控、自我评估，把抓督查、抓执行贯穿管理全过程。</w:t>
      </w:r>
    </w:p>
    <w:p w14:paraId="32C34074">
      <w:pPr>
        <w:pStyle w:val="9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420"/>
        <w:jc w:val="both"/>
        <w:rPr>
          <w:color w:val="0D0D0D" w:themeColor="text1" w:themeTint="F2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olor w:val="0D0D0D" w:themeColor="text1" w:themeTint="F2"/>
          <w:spacing w:val="0"/>
          <w:w w:val="100"/>
          <w:sz w:val="24"/>
          <w:szCs w:val="24"/>
          <w:vertAlign w:val="baseli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.导师根据硕士研究生的知识结构、能力水平、研究兴趣和发展取向，指导研究生制定个性化的培养计划，督促和检查研究生课程修读，指导研究生开展文献阅读、学术活动、社会实践、学位论文开题和中期检查等必修环节。</w:t>
      </w:r>
    </w:p>
    <w:p w14:paraId="45A237B1">
      <w:pPr>
        <w:pStyle w:val="9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right="0" w:firstLine="420"/>
        <w:jc w:val="both"/>
        <w:rPr>
          <w:rFonts w:hint="eastAsia" w:ascii="宋体" w:hAnsi="宋体" w:cs="宋体"/>
          <w:i w:val="0"/>
          <w:iCs w:val="0"/>
          <w:caps w:val="0"/>
          <w:color w:val="0D0D0D" w:themeColor="text1" w:themeTint="F2"/>
          <w:spacing w:val="0"/>
          <w:kern w:val="0"/>
          <w:sz w:val="24"/>
          <w:szCs w:val="24"/>
          <w:highlight w:val="yellow"/>
          <w:shd w:val="clear" w:fill="FFFFFF"/>
          <w:lang w:val="en-US" w:eastAsia="zh-CN" w:bidi="ar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cs="宋体"/>
          <w:i w:val="0"/>
          <w:iCs w:val="0"/>
          <w:caps w:val="0"/>
          <w:color w:val="0D0D0D" w:themeColor="text1" w:themeTint="F2"/>
          <w:spacing w:val="0"/>
          <w:kern w:val="0"/>
          <w:sz w:val="24"/>
          <w:szCs w:val="24"/>
          <w:shd w:val="clear" w:fill="FFFFFF"/>
          <w:lang w:val="en-US" w:eastAsia="zh-CN" w:bidi="ar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4.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D0D0D" w:themeColor="text1" w:themeTint="F2"/>
          <w:spacing w:val="0"/>
          <w:w w:val="100"/>
          <w:sz w:val="24"/>
          <w:szCs w:val="24"/>
          <w:vertAlign w:val="baseli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注重提升研究生思想政治素养，培养研究生学术创新能力和实践创新能力，增强研究生社会责任感，指导研究生恪守学术道德规范，优化研究生培养条件，注重对研究生人文关怀。</w:t>
      </w:r>
      <w:r>
        <w:rPr>
          <w:rFonts w:hint="eastAsia" w:ascii="宋体" w:hAnsi="宋体" w:eastAsia="宋体" w:cs="宋体"/>
          <w:i w:val="0"/>
          <w:iCs w:val="0"/>
          <w:caps w:val="0"/>
          <w:color w:val="0D0D0D" w:themeColor="text1" w:themeTint="F2"/>
          <w:spacing w:val="0"/>
          <w:kern w:val="0"/>
          <w:sz w:val="24"/>
          <w:szCs w:val="24"/>
          <w:shd w:val="clear" w:fill="FFFFFF"/>
          <w:lang w:val="en-US" w:eastAsia="zh-CN" w:bidi="ar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加强基础理论学习和学术交流研讨，</w:t>
      </w:r>
      <w:r>
        <w:rPr>
          <w:rFonts w:hint="default" w:ascii="宋体" w:hAnsi="宋体" w:eastAsia="宋体" w:cs="宋体"/>
          <w:i w:val="0"/>
          <w:iCs w:val="0"/>
          <w:caps w:val="0"/>
          <w:color w:val="0D0D0D" w:themeColor="text1" w:themeTint="F2"/>
          <w:spacing w:val="0"/>
          <w:kern w:val="0"/>
          <w:sz w:val="24"/>
          <w:szCs w:val="24"/>
          <w:shd w:val="clear" w:fill="FFFFFF"/>
          <w:lang w:val="en-US" w:eastAsia="zh-CN" w:bidi="ar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采取课程学习、科学研究、学术交流、社会实践、学位论文相结合的方式，重点培养博士生创新性科研能力。</w:t>
      </w:r>
    </w:p>
    <w:p w14:paraId="535CE483">
      <w:pPr>
        <w:spacing w:line="440" w:lineRule="exact"/>
        <w:ind w:firstLine="560" w:firstLineChars="200"/>
        <w:rPr>
          <w:rFonts w:hint="eastAsia" w:ascii="Times New Roman" w:hAnsi="Times New Roman" w:eastAsia="黑体" w:cs="Times New Roman"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Times New Roman" w:hAnsi="Times New Roman" w:eastAsia="黑体" w:cs="Times New Roman"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七、中期筛选</w:t>
      </w:r>
    </w:p>
    <w:p w14:paraId="5EF8E232">
      <w:pPr>
        <w:spacing w:line="440" w:lineRule="exact"/>
        <w:ind w:firstLine="480" w:firstLineChars="200"/>
        <w:rPr>
          <w:rFonts w:hint="eastAsia" w:eastAsiaTheme="minorEastAsia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eastAsiaTheme="minorEastAsia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在完成培养方案规定的课程学习、考核成绩合格、获得规定的学分后，按照《河北大学研究生中期筛选管理办法》（校政字〔2021〕15号）的相关规定，组织开展中期筛选工作。</w:t>
      </w:r>
    </w:p>
    <w:p w14:paraId="601FB8C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firstLine="560" w:firstLineChars="200"/>
        <w:textAlignment w:val="auto"/>
        <w:rPr>
          <w:rFonts w:hint="eastAsia" w:ascii="Times New Roman" w:hAnsi="Times New Roman" w:eastAsia="黑体" w:cs="Times New Roman"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Times New Roman" w:hAnsi="Times New Roman" w:eastAsia="黑体" w:cs="Times New Roman"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八、学位（毕业）论文</w:t>
      </w:r>
    </w:p>
    <w:p w14:paraId="19B059C6">
      <w:pPr>
        <w:widowControl/>
        <w:spacing w:line="360" w:lineRule="auto"/>
        <w:ind w:firstLine="480"/>
        <w:jc w:val="left"/>
        <w:rPr>
          <w:i w:val="0"/>
          <w:iCs w:val="0"/>
          <w:color w:val="0D0D0D" w:themeColor="text1" w:themeTint="F2"/>
          <w:kern w:val="0"/>
          <w:sz w:val="18"/>
          <w:szCs w:val="1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bCs/>
          <w:i w:val="0"/>
          <w:iCs w:val="0"/>
          <w:color w:val="0D0D0D" w:themeColor="text1" w:themeTint="F2"/>
          <w:kern w:val="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1.总体要求：</w:t>
      </w:r>
      <w:r>
        <w:rPr>
          <w:i w:val="0"/>
          <w:iCs w:val="0"/>
          <w:color w:val="0D0D0D" w:themeColor="text1" w:themeTint="F2"/>
          <w:kern w:val="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按照《河北大学关于开展2025版研究生培养方案修订工作的指导意见》（校政字</w:t>
      </w:r>
      <w:r>
        <w:rPr>
          <w:rFonts w:eastAsiaTheme="minorEastAsia"/>
          <w:bCs/>
          <w:i w:val="0"/>
          <w:iCs w:val="0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〔2025〕9号</w:t>
      </w:r>
      <w:r>
        <w:rPr>
          <w:i w:val="0"/>
          <w:iCs w:val="0"/>
          <w:color w:val="0D0D0D" w:themeColor="text1" w:themeTint="F2"/>
          <w:kern w:val="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）规定，博士研究生论文开题与答辩时间间隔原则上不少于18个月。学位（毕业）论文应当表明作者</w:t>
      </w:r>
      <w:r>
        <w:rPr>
          <w:rFonts w:eastAsiaTheme="minorEastAsia"/>
          <w:i w:val="0"/>
          <w:iCs w:val="0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具有独立从事学术研究工作的能力， 在学术研究领域做出创新性成果。</w:t>
      </w:r>
    </w:p>
    <w:p w14:paraId="042DDFA0">
      <w:pPr>
        <w:widowControl/>
        <w:spacing w:line="360" w:lineRule="auto"/>
        <w:ind w:firstLine="480"/>
        <w:jc w:val="left"/>
        <w:rPr>
          <w:i w:val="0"/>
          <w:iCs w:val="0"/>
          <w:color w:val="0D0D0D" w:themeColor="text1" w:themeTint="F2"/>
          <w:kern w:val="0"/>
          <w:sz w:val="18"/>
          <w:szCs w:val="1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bCs/>
          <w:i w:val="0"/>
          <w:iCs w:val="0"/>
          <w:color w:val="0D0D0D" w:themeColor="text1" w:themeTint="F2"/>
          <w:kern w:val="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2.开题：</w:t>
      </w:r>
      <w:r>
        <w:rPr>
          <w:i w:val="0"/>
          <w:iCs w:val="0"/>
          <w:color w:val="0D0D0D" w:themeColor="text1" w:themeTint="F2"/>
          <w:kern w:val="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开题是研究生培养过程中开展学位（毕业）论文工作的首要环节，要求研究生充分阅读国内外相关文献，撰写开题报告。开题报告应包含文献综述、论文选题依据、研究方案、预期目标与成果、工作计划等关键问题。</w:t>
      </w:r>
    </w:p>
    <w:p w14:paraId="252A3CBC">
      <w:pPr>
        <w:widowControl/>
        <w:spacing w:line="360" w:lineRule="auto"/>
        <w:ind w:firstLine="480"/>
        <w:jc w:val="left"/>
        <w:rPr>
          <w:i w:val="0"/>
          <w:iCs w:val="0"/>
          <w:color w:val="0D0D0D" w:themeColor="text1" w:themeTint="F2"/>
          <w:kern w:val="0"/>
          <w:sz w:val="18"/>
          <w:szCs w:val="1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i w:val="0"/>
          <w:iCs w:val="0"/>
          <w:color w:val="0D0D0D" w:themeColor="text1" w:themeTint="F2"/>
          <w:kern w:val="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原则上在入学后第3学期（最迟不超过第4学期）完成开题。开题由3-5名具有正高级专业技术职务人员参加，以学术报告的方式进行。</w:t>
      </w:r>
    </w:p>
    <w:p w14:paraId="404FED75">
      <w:pPr>
        <w:widowControl/>
        <w:spacing w:line="360" w:lineRule="auto"/>
        <w:ind w:firstLine="480"/>
        <w:jc w:val="left"/>
        <w:rPr>
          <w:i w:val="0"/>
          <w:iCs w:val="0"/>
          <w:color w:val="0D0D0D" w:themeColor="text1" w:themeTint="F2"/>
          <w:kern w:val="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bCs/>
          <w:i w:val="0"/>
          <w:iCs w:val="0"/>
          <w:color w:val="0D0D0D" w:themeColor="text1" w:themeTint="F2"/>
          <w:kern w:val="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3.中期进展报告：</w:t>
      </w:r>
      <w:r>
        <w:rPr>
          <w:i w:val="0"/>
          <w:iCs w:val="0"/>
          <w:color w:val="0D0D0D" w:themeColor="text1" w:themeTint="F2"/>
          <w:kern w:val="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中期进展报告是检查研究生个人综合能力及学位论文进展、指导研究生把握学位（毕业）论文方向、提高学位（毕业）论文质量的必要环节。中期进展报告原则上应在入学后第5学期进行；各导师组自行制定中期考核办法并组织考核。</w:t>
      </w:r>
    </w:p>
    <w:p w14:paraId="6C0192DC">
      <w:pPr>
        <w:widowControl/>
        <w:spacing w:line="360" w:lineRule="auto"/>
        <w:ind w:firstLine="480"/>
        <w:jc w:val="left"/>
        <w:rPr>
          <w:i w:val="0"/>
          <w:iCs w:val="0"/>
          <w:color w:val="0D0D0D" w:themeColor="text1" w:themeTint="F2"/>
          <w:kern w:val="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bCs/>
          <w:i w:val="0"/>
          <w:iCs w:val="0"/>
          <w:color w:val="0D0D0D" w:themeColor="text1" w:themeTint="F2"/>
          <w:kern w:val="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4.学位申请：</w:t>
      </w:r>
      <w:r>
        <w:rPr>
          <w:i w:val="0"/>
          <w:iCs w:val="0"/>
          <w:color w:val="0D0D0D" w:themeColor="text1" w:themeTint="F2"/>
          <w:kern w:val="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达到学位授予条件的申请人，经导师同意后，应于答辩前三个月，向所属学位评定分委员会提出学位申请，提交学位申请材料。</w:t>
      </w:r>
    </w:p>
    <w:p w14:paraId="44D88324">
      <w:pPr>
        <w:widowControl/>
        <w:spacing w:line="360" w:lineRule="auto"/>
        <w:ind w:firstLine="480"/>
        <w:jc w:val="left"/>
        <w:rPr>
          <w:i w:val="0"/>
          <w:iCs w:val="0"/>
          <w:color w:val="0D0D0D" w:themeColor="text1" w:themeTint="F2"/>
          <w:kern w:val="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bCs/>
          <w:i w:val="0"/>
          <w:iCs w:val="0"/>
          <w:color w:val="0D0D0D" w:themeColor="text1" w:themeTint="F2"/>
          <w:kern w:val="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5.预答辩：</w:t>
      </w:r>
      <w:r>
        <w:rPr>
          <w:i w:val="0"/>
          <w:iCs w:val="0"/>
          <w:color w:val="0D0D0D" w:themeColor="text1" w:themeTint="F2"/>
          <w:kern w:val="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学位申请人须进行学位论文预答辩。预答辩通过者，方可进入学位论文评阅、学位论文答辩等环节。学位（毕业）论文预答辩在正式答辩前3个月进行。</w:t>
      </w:r>
    </w:p>
    <w:p w14:paraId="5530E276">
      <w:pPr>
        <w:widowControl/>
        <w:spacing w:line="360" w:lineRule="auto"/>
        <w:ind w:firstLine="480"/>
        <w:jc w:val="left"/>
        <w:rPr>
          <w:i w:val="0"/>
          <w:iCs w:val="0"/>
          <w:color w:val="0D0D0D" w:themeColor="text1" w:themeTint="F2"/>
          <w:kern w:val="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bCs/>
          <w:i w:val="0"/>
          <w:iCs w:val="0"/>
          <w:color w:val="0D0D0D" w:themeColor="text1" w:themeTint="F2"/>
          <w:kern w:val="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6.论文评阅：</w:t>
      </w:r>
      <w:r>
        <w:rPr>
          <w:i w:val="0"/>
          <w:iCs w:val="0"/>
          <w:color w:val="0D0D0D" w:themeColor="text1" w:themeTint="F2"/>
          <w:kern w:val="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学位（毕业）论文在获得导师组认可，经培养单位形式审查合格，并通过预答辩，方可提出进入评阅程序的申请。论文评阅在正式答辩前40天由研究生提出，由培养单位依据相关规定进行匿名评审。评阅结果及异议处理按照《河北大学研究生学位论文或者实践成果评审管理办法》（校政字〔2025〕8号）执行。</w:t>
      </w:r>
    </w:p>
    <w:p w14:paraId="449FF04C">
      <w:pPr>
        <w:widowControl/>
        <w:spacing w:line="360" w:lineRule="auto"/>
        <w:ind w:firstLine="480"/>
        <w:jc w:val="left"/>
        <w:rPr>
          <w:rFonts w:eastAsiaTheme="minorEastAsia"/>
          <w:i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bCs/>
          <w:i w:val="0"/>
          <w:iCs w:val="0"/>
          <w:color w:val="0D0D0D" w:themeColor="text1" w:themeTint="F2"/>
          <w:kern w:val="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7.答辩：学位（毕业）论文答辩按照</w:t>
      </w:r>
      <w:r>
        <w:rPr>
          <w:i w:val="0"/>
          <w:iCs w:val="0"/>
          <w:color w:val="0D0D0D" w:themeColor="text1" w:themeTint="F2"/>
          <w:kern w:val="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《河北大学博士、硕士学位授予工作实施细则》（校政字〔2025〕7号）执行</w:t>
      </w:r>
      <w:r>
        <w:rPr>
          <w:color w:val="0D0D0D" w:themeColor="text1" w:themeTint="F2"/>
          <w:kern w:val="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</w:p>
    <w:p w14:paraId="48FB85A4">
      <w:pPr>
        <w:spacing w:line="440" w:lineRule="exact"/>
        <w:ind w:firstLine="560" w:firstLineChars="200"/>
        <w:rPr>
          <w:rFonts w:eastAsia="黑体"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eastAsia="黑体"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九</w:t>
      </w:r>
      <w:r>
        <w:rPr>
          <w:rFonts w:eastAsia="黑体"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、毕业条件</w:t>
      </w:r>
    </w:p>
    <w:p w14:paraId="48BACB7C">
      <w:pPr>
        <w:spacing w:line="360" w:lineRule="auto"/>
        <w:ind w:firstLine="480" w:firstLineChars="200"/>
        <w:rPr>
          <w:rFonts w:eastAsiaTheme="minorEastAsia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eastAsiaTheme="minorEastAsia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1. 课程学习。研究生在规定修业年限内完成培养方案规定的课程学习，考核成绩合格，获得规定的学分。</w:t>
      </w:r>
    </w:p>
    <w:p w14:paraId="55FE38E5">
      <w:pPr>
        <w:spacing w:line="360" w:lineRule="auto"/>
        <w:ind w:firstLine="480" w:firstLineChars="200"/>
        <w:rPr>
          <w:rFonts w:eastAsiaTheme="minorEastAsia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eastAsiaTheme="minorEastAsia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2. 学术活动。研究生</w:t>
      </w:r>
      <w:r>
        <w:rPr>
          <w:rFonts w:eastAsiaTheme="minorEastAsia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在读期间参加不少于</w:t>
      </w:r>
      <w:r>
        <w:rPr>
          <w:rFonts w:eastAsiaTheme="minorEastAsia"/>
          <w:i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15</w:t>
      </w:r>
      <w:r>
        <w:rPr>
          <w:rFonts w:eastAsiaTheme="minorEastAsia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次学术活动，并撰写学术报告小结；以主讲人或宣讲人身份，参加在校内外举行的学术报告或学术讲座不少于</w:t>
      </w:r>
      <w:r>
        <w:rPr>
          <w:rFonts w:eastAsiaTheme="minorEastAsia"/>
          <w:i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</w:t>
      </w:r>
      <w:r>
        <w:rPr>
          <w:rFonts w:eastAsiaTheme="minorEastAsia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次。</w:t>
      </w:r>
    </w:p>
    <w:p w14:paraId="7A25A09A">
      <w:pPr>
        <w:spacing w:line="360" w:lineRule="auto"/>
        <w:ind w:firstLine="480" w:firstLineChars="200"/>
        <w:rPr>
          <w:rFonts w:eastAsiaTheme="minorEastAsia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eastAsiaTheme="minorEastAsia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3. 符合提前毕业条件的研究生，可按照学校相关规定</w:t>
      </w:r>
      <w:r>
        <w:rPr>
          <w:rFonts w:eastAsiaTheme="minorEastAsia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申请</w:t>
      </w:r>
      <w:r>
        <w:rPr>
          <w:rFonts w:eastAsiaTheme="minorEastAsia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提前毕业。</w:t>
      </w:r>
    </w:p>
    <w:p w14:paraId="552608C4">
      <w:pPr>
        <w:spacing w:line="360" w:lineRule="auto"/>
        <w:ind w:firstLine="480" w:firstLineChars="200"/>
        <w:rPr>
          <w:rFonts w:eastAsiaTheme="minorEastAsia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eastAsiaTheme="minorEastAsia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4. 论文答辩。学位（毕业）论文经专家评审合格、通过学位（毕业）答辩，符合毕业资格审查后，准予毕业。</w:t>
      </w:r>
    </w:p>
    <w:p w14:paraId="47FA6E04">
      <w:pPr>
        <w:spacing w:line="440" w:lineRule="exact"/>
        <w:ind w:firstLine="560" w:firstLineChars="200"/>
        <w:rPr>
          <w:rFonts w:eastAsia="黑体"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eastAsia="黑体"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十</w:t>
      </w:r>
      <w:r>
        <w:rPr>
          <w:rFonts w:eastAsia="黑体"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、创新性成果</w:t>
      </w:r>
    </w:p>
    <w:p w14:paraId="36EE6A0D">
      <w:pPr>
        <w:spacing w:line="440" w:lineRule="exact"/>
        <w:ind w:firstLine="480" w:firstLineChars="200"/>
        <w:rPr>
          <w:rFonts w:hint="eastAsia" w:ascii="Times New Roman" w:hAnsi="Times New Roman" w:cs="Times New Roman" w:eastAsiaTheme="minorEastAsia"/>
          <w:b w:val="0"/>
          <w:bCs/>
          <w:color w:val="0D0D0D" w:themeColor="text1" w:themeTint="F2"/>
          <w:sz w:val="24"/>
          <w:highlight w:val="none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eastAsiaTheme="minorEastAsia"/>
          <w:b w:val="0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详见</w:t>
      </w:r>
      <w:r>
        <w:rPr>
          <w:rFonts w:hint="eastAsia" w:ascii="Times New Roman" w:hAnsi="Times New Roman" w:cs="Times New Roman" w:eastAsiaTheme="minorEastAsia"/>
          <w:b w:val="0"/>
          <w:bCs/>
          <w:color w:val="0D0D0D" w:themeColor="text1" w:themeTint="F2"/>
          <w:sz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经济学院关于研究生申请学位取得创新性成果的规定</w:t>
      </w:r>
      <w:r>
        <w:rPr>
          <w:rFonts w:hint="eastAsia" w:cs="Times New Roman" w:eastAsiaTheme="minorEastAsia"/>
          <w:b w:val="0"/>
          <w:bCs/>
          <w:color w:val="0D0D0D" w:themeColor="text1" w:themeTint="F2"/>
          <w:sz w:val="24"/>
          <w:highlight w:val="none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</w:p>
    <w:p w14:paraId="279E56CE">
      <w:pPr>
        <w:spacing w:line="440" w:lineRule="exact"/>
        <w:ind w:firstLine="560" w:firstLineChars="200"/>
        <w:rPr>
          <w:rFonts w:eastAsia="黑体"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eastAsia="黑体"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十一、学位授予</w:t>
      </w:r>
    </w:p>
    <w:p w14:paraId="1AC14DA9">
      <w:pPr>
        <w:spacing w:line="360" w:lineRule="auto"/>
        <w:ind w:firstLine="480" w:firstLineChars="200"/>
        <w:rPr>
          <w:rFonts w:eastAsiaTheme="minorEastAsia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eastAsiaTheme="minorEastAsia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研究生通过毕业资格审查，</w:t>
      </w:r>
      <w:r>
        <w:rPr>
          <w:color w:val="0D0D0D" w:themeColor="text1" w:themeTint="F2"/>
          <w:kern w:val="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满足本</w:t>
      </w:r>
      <w:r>
        <w:rPr>
          <w:rFonts w:hint="eastAsia"/>
          <w:color w:val="0D0D0D" w:themeColor="text1" w:themeTint="F2"/>
          <w:kern w:val="0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学院</w:t>
      </w:r>
      <w:r>
        <w:rPr>
          <w:color w:val="0D0D0D" w:themeColor="text1" w:themeTint="F2"/>
          <w:kern w:val="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制定的创新性成果要求，</w:t>
      </w:r>
      <w:r>
        <w:rPr>
          <w:rFonts w:eastAsiaTheme="minorEastAsia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符合</w:t>
      </w:r>
      <w:r>
        <w:rPr>
          <w:color w:val="0D0D0D" w:themeColor="text1" w:themeTint="F2"/>
          <w:kern w:val="0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《河北大学博士、硕士学位授予工作实施细则》（校政字〔2025〕7号）</w:t>
      </w:r>
      <w:r>
        <w:rPr>
          <w:rFonts w:eastAsiaTheme="minorEastAsia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的有关规定，达到学校学位授予标准，经学校学位评定委员会审议，授予博士学位。</w:t>
      </w:r>
    </w:p>
    <w:p w14:paraId="6B52062C">
      <w:pPr>
        <w:spacing w:line="440" w:lineRule="exact"/>
        <w:ind w:firstLine="560" w:firstLineChars="200"/>
        <w:rPr>
          <w:rFonts w:eastAsia="黑体"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eastAsia="黑体"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十</w:t>
      </w:r>
      <w:r>
        <w:rPr>
          <w:rFonts w:hint="eastAsia" w:eastAsia="黑体"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二</w:t>
      </w:r>
      <w:r>
        <w:rPr>
          <w:rFonts w:eastAsia="黑体"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、学分及课程设置</w:t>
      </w:r>
    </w:p>
    <w:p w14:paraId="1DB81BB4">
      <w:pPr>
        <w:adjustRightInd w:val="0"/>
        <w:spacing w:line="360" w:lineRule="auto"/>
        <w:ind w:firstLine="480" w:firstLineChars="200"/>
        <w:jc w:val="left"/>
        <w:rPr>
          <w:rFonts w:hint="eastAsia" w:ascii="宋体" w:hAnsi="宋体" w:eastAsia="宋体"/>
          <w:color w:val="0D0D0D" w:themeColor="text1" w:themeTint="F2"/>
          <w:sz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/>
          <w:color w:val="0D0D0D" w:themeColor="text1" w:themeTint="F2"/>
          <w:sz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本学科所属专业</w:t>
      </w:r>
      <w:r>
        <w:rPr>
          <w:rFonts w:eastAsia="宋体"/>
          <w:color w:val="0D0D0D" w:themeColor="text1" w:themeTint="F2"/>
          <w:sz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最低修读学分为</w:t>
      </w:r>
      <w:r>
        <w:rPr>
          <w:rFonts w:hint="eastAsia"/>
          <w:color w:val="0D0D0D" w:themeColor="text1" w:themeTint="F2"/>
          <w:sz w:val="24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24</w:t>
      </w:r>
      <w:r>
        <w:rPr>
          <w:rFonts w:hint="eastAsia" w:ascii="宋体" w:hAnsi="宋体" w:eastAsia="宋体"/>
          <w:color w:val="0D0D0D" w:themeColor="text1" w:themeTint="F2"/>
          <w:sz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分，其中学位课</w:t>
      </w:r>
      <w:r>
        <w:rPr>
          <w:rFonts w:hint="eastAsia" w:ascii="宋体" w:hAnsi="宋体" w:eastAsia="宋体"/>
          <w:color w:val="0D0D0D" w:themeColor="text1" w:themeTint="F2"/>
          <w:sz w:val="24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</w:t>
      </w:r>
      <w:r>
        <w:rPr>
          <w:rFonts w:hint="eastAsia" w:ascii="宋体" w:hAnsi="宋体"/>
          <w:color w:val="0D0D0D" w:themeColor="text1" w:themeTint="F2"/>
          <w:sz w:val="24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6</w:t>
      </w:r>
      <w:r>
        <w:rPr>
          <w:rFonts w:hint="eastAsia" w:ascii="宋体" w:hAnsi="宋体" w:eastAsia="宋体"/>
          <w:color w:val="0D0D0D" w:themeColor="text1" w:themeTint="F2"/>
          <w:sz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学分，非学位课</w:t>
      </w:r>
      <w:r>
        <w:rPr>
          <w:rFonts w:hint="eastAsia" w:ascii="宋体" w:hAnsi="宋体" w:eastAsia="宋体"/>
          <w:color w:val="0D0D0D" w:themeColor="text1" w:themeTint="F2"/>
          <w:sz w:val="24"/>
          <w:highlight w:val="none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最低</w:t>
      </w:r>
      <w:r>
        <w:rPr>
          <w:rFonts w:hint="eastAsia" w:ascii="宋体" w:hAnsi="宋体"/>
          <w:color w:val="0D0D0D" w:themeColor="text1" w:themeTint="F2"/>
          <w:sz w:val="24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6</w:t>
      </w:r>
      <w:r>
        <w:rPr>
          <w:rFonts w:hint="eastAsia" w:ascii="宋体" w:hAnsi="宋体" w:eastAsia="宋体"/>
          <w:color w:val="0D0D0D" w:themeColor="text1" w:themeTint="F2"/>
          <w:sz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学分</w:t>
      </w:r>
      <w:r>
        <w:rPr>
          <w:rFonts w:hint="eastAsia" w:ascii="宋体" w:hAnsi="宋体"/>
          <w:color w:val="0D0D0D" w:themeColor="text1" w:themeTint="F2"/>
          <w:sz w:val="24"/>
          <w:highlight w:val="none"/>
          <w:lang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，</w:t>
      </w:r>
      <w:r>
        <w:rPr>
          <w:rFonts w:hint="eastAsia" w:ascii="宋体" w:hAnsi="宋体"/>
          <w:color w:val="0D0D0D" w:themeColor="text1" w:themeTint="F2"/>
          <w:sz w:val="24"/>
          <w:highlight w:val="none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必修环节2学分</w:t>
      </w:r>
      <w:r>
        <w:rPr>
          <w:rFonts w:hint="eastAsia" w:ascii="宋体" w:hAnsi="宋体" w:eastAsia="宋体"/>
          <w:color w:val="0D0D0D" w:themeColor="text1" w:themeTint="F2"/>
          <w:sz w:val="24"/>
          <w:highlight w:val="non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。</w:t>
      </w:r>
    </w:p>
    <w:p w14:paraId="289A8EFF">
      <w:pPr>
        <w:adjustRightInd w:val="0"/>
        <w:spacing w:line="360" w:lineRule="auto"/>
        <w:ind w:firstLine="480" w:firstLineChars="200"/>
        <w:jc w:val="left"/>
        <w:rPr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eastAsiaTheme="minorEastAsia"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课程考试不设补考环节，</w:t>
      </w:r>
      <w:r>
        <w:rPr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考试成绩低于60分的需重修。</w:t>
      </w:r>
    </w:p>
    <w:p w14:paraId="58E7D1B8"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="宋体" w:hAnsi="宋体" w:eastAsia="宋体" w:cs="宋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课程考核方式包括考试和考查，可以采用口试、笔试或写读书报告、论文的形式，但应有—定数量的笔试。无论采取何种考核方式，均应能真实反映学生对所学知识掌握的程度及运用知识的能力。</w:t>
      </w:r>
    </w:p>
    <w:p w14:paraId="74F40A2A">
      <w:pPr>
        <w:spacing w:after="156" w:afterLines="50" w:line="440" w:lineRule="exact"/>
        <w:ind w:firstLine="482" w:firstLineChars="200"/>
        <w:jc w:val="center"/>
        <w:rPr>
          <w:rFonts w:hint="eastAsia" w:eastAsiaTheme="minorEastAsia"/>
          <w:b/>
          <w:bCs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 w14:paraId="5B0FA25D">
      <w:pPr>
        <w:spacing w:after="156" w:afterLines="50" w:line="440" w:lineRule="exact"/>
        <w:ind w:firstLine="482" w:firstLineChars="200"/>
        <w:jc w:val="center"/>
        <w:rPr>
          <w:rFonts w:hint="eastAsia" w:eastAsiaTheme="minorEastAsia"/>
          <w:b/>
          <w:bCs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 w14:paraId="6E6203F9">
      <w:pPr>
        <w:spacing w:after="156" w:afterLines="50" w:line="440" w:lineRule="exact"/>
        <w:ind w:firstLine="482" w:firstLineChars="200"/>
        <w:jc w:val="center"/>
        <w:rPr>
          <w:rFonts w:hint="eastAsia" w:eastAsiaTheme="minorEastAsia"/>
          <w:b/>
          <w:bCs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 w14:paraId="5EF8E402">
      <w:pPr>
        <w:spacing w:after="156" w:afterLines="50" w:line="440" w:lineRule="exact"/>
        <w:ind w:firstLine="482" w:firstLineChars="200"/>
        <w:jc w:val="center"/>
        <w:rPr>
          <w:rFonts w:hint="eastAsia" w:eastAsiaTheme="minorEastAsia"/>
          <w:b/>
          <w:bCs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 w14:paraId="3F438664">
      <w:pPr>
        <w:spacing w:after="156" w:afterLines="50" w:line="440" w:lineRule="exact"/>
        <w:ind w:firstLine="482" w:firstLineChars="200"/>
        <w:jc w:val="center"/>
        <w:rPr>
          <w:rFonts w:hint="eastAsia" w:eastAsiaTheme="minorEastAsia"/>
          <w:b/>
          <w:bCs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 w14:paraId="280122A5">
      <w:pPr>
        <w:spacing w:after="156" w:afterLines="50" w:line="440" w:lineRule="exact"/>
        <w:ind w:firstLine="482" w:firstLineChars="200"/>
        <w:jc w:val="center"/>
        <w:rPr>
          <w:rFonts w:hint="eastAsia" w:eastAsiaTheme="minorEastAsia"/>
          <w:b/>
          <w:bCs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 w14:paraId="3ED77CD7">
      <w:pPr>
        <w:spacing w:after="156" w:afterLines="50" w:line="440" w:lineRule="exact"/>
        <w:ind w:firstLine="482" w:firstLineChars="200"/>
        <w:jc w:val="center"/>
        <w:rPr>
          <w:rFonts w:hint="eastAsia" w:eastAsiaTheme="minorEastAsia"/>
          <w:b/>
          <w:bCs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 w14:paraId="1FF3C81B">
      <w:pPr>
        <w:spacing w:after="156" w:afterLines="50" w:line="440" w:lineRule="exact"/>
        <w:ind w:firstLine="482" w:firstLineChars="200"/>
        <w:jc w:val="center"/>
        <w:rPr>
          <w:rFonts w:hint="eastAsia" w:eastAsiaTheme="minorEastAsia"/>
          <w:b/>
          <w:bCs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 w14:paraId="7188E128">
      <w:pPr>
        <w:spacing w:after="156" w:afterLines="50" w:line="440" w:lineRule="exact"/>
        <w:ind w:firstLine="482" w:firstLineChars="200"/>
        <w:jc w:val="center"/>
        <w:rPr>
          <w:rFonts w:eastAsiaTheme="minorEastAsia"/>
          <w:b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eastAsiaTheme="minorEastAsia"/>
          <w:b/>
          <w:bCs/>
          <w:color w:val="0D0D0D" w:themeColor="text1" w:themeTint="F2"/>
          <w:sz w:val="24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应用经济学</w:t>
      </w:r>
      <w:r>
        <w:rPr>
          <w:rFonts w:eastAsiaTheme="minorEastAsia"/>
          <w:b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专业学术学位博士研究生课程及培养环节设置一览表</w:t>
      </w:r>
    </w:p>
    <w:tbl>
      <w:tblPr>
        <w:tblStyle w:val="11"/>
        <w:tblW w:w="885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1"/>
        <w:gridCol w:w="1226"/>
        <w:gridCol w:w="3516"/>
        <w:gridCol w:w="1081"/>
        <w:gridCol w:w="709"/>
        <w:gridCol w:w="709"/>
        <w:gridCol w:w="1045"/>
      </w:tblGrid>
      <w:tr w14:paraId="3C4B98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1797" w:type="dxa"/>
            <w:gridSpan w:val="2"/>
            <w:vAlign w:val="center"/>
          </w:tcPr>
          <w:p w14:paraId="603E02D2">
            <w:pPr>
              <w:jc w:val="center"/>
              <w:rPr>
                <w:b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b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课程类别</w:t>
            </w:r>
          </w:p>
        </w:tc>
        <w:tc>
          <w:tcPr>
            <w:tcW w:w="3516" w:type="dxa"/>
            <w:vAlign w:val="center"/>
          </w:tcPr>
          <w:p w14:paraId="4EAEA727">
            <w:pPr>
              <w:jc w:val="center"/>
              <w:rPr>
                <w:b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b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课程说明</w:t>
            </w:r>
          </w:p>
        </w:tc>
        <w:tc>
          <w:tcPr>
            <w:tcW w:w="1081" w:type="dxa"/>
            <w:vAlign w:val="center"/>
          </w:tcPr>
          <w:p w14:paraId="6409B5EA">
            <w:pPr>
              <w:jc w:val="center"/>
              <w:rPr>
                <w:b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b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课程编号</w:t>
            </w:r>
          </w:p>
        </w:tc>
        <w:tc>
          <w:tcPr>
            <w:tcW w:w="709" w:type="dxa"/>
            <w:vAlign w:val="center"/>
          </w:tcPr>
          <w:p w14:paraId="461226D9">
            <w:pPr>
              <w:jc w:val="center"/>
              <w:rPr>
                <w:b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b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学分</w:t>
            </w:r>
          </w:p>
        </w:tc>
        <w:tc>
          <w:tcPr>
            <w:tcW w:w="709" w:type="dxa"/>
            <w:vAlign w:val="center"/>
          </w:tcPr>
          <w:p w14:paraId="231AB72E">
            <w:pPr>
              <w:jc w:val="center"/>
              <w:rPr>
                <w:b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b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学期</w:t>
            </w:r>
          </w:p>
        </w:tc>
        <w:tc>
          <w:tcPr>
            <w:tcW w:w="1045" w:type="dxa"/>
            <w:vAlign w:val="center"/>
          </w:tcPr>
          <w:p w14:paraId="190DA7A3">
            <w:pPr>
              <w:jc w:val="center"/>
              <w:rPr>
                <w:b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b/>
                <w:color w:val="0D0D0D" w:themeColor="text1" w:themeTint="F2"/>
                <w:szCs w:val="21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备注</w:t>
            </w:r>
          </w:p>
        </w:tc>
      </w:tr>
      <w:tr w14:paraId="2F3BDF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571" w:type="dxa"/>
            <w:vMerge w:val="restart"/>
            <w:vAlign w:val="center"/>
          </w:tcPr>
          <w:p w14:paraId="7152319A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学位课</w:t>
            </w:r>
          </w:p>
        </w:tc>
        <w:tc>
          <w:tcPr>
            <w:tcW w:w="1226" w:type="dxa"/>
            <w:vMerge w:val="restart"/>
            <w:vAlign w:val="center"/>
          </w:tcPr>
          <w:p w14:paraId="0DAEF348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公共必修课</w:t>
            </w:r>
          </w:p>
          <w:p w14:paraId="22077A2C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（</w:t>
            </w:r>
            <w:r>
              <w:rPr>
                <w:rFonts w:hint="eastAsia"/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  <w: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学分）</w:t>
            </w:r>
          </w:p>
        </w:tc>
        <w:tc>
          <w:tcPr>
            <w:tcW w:w="3516" w:type="dxa"/>
            <w:shd w:val="clear" w:color="auto" w:fill="auto"/>
            <w:vAlign w:val="center"/>
          </w:tcPr>
          <w:p w14:paraId="0DD180D5">
            <w:pPr>
              <w:jc w:val="left"/>
              <w:rPr>
                <w:rFonts w:ascii="Times New Roman" w:hAnsi="Times New Roman" w:eastAsia="宋体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中国马克思主义与当代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73C9859D">
            <w:pPr>
              <w:jc w:val="center"/>
              <w:rPr>
                <w:rFonts w:ascii="Times New Roman" w:hAnsi="Times New Roman" w:eastAsia="宋体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TB0000001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010258">
            <w:pPr>
              <w:jc w:val="center"/>
              <w:rPr>
                <w:rFonts w:ascii="Times New Roman" w:hAnsi="Times New Roman" w:eastAsia="宋体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155C50">
            <w:pPr>
              <w:jc w:val="center"/>
              <w:rPr>
                <w:rFonts w:ascii="Times New Roman" w:hAnsi="Times New Roman" w:eastAsia="宋体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483102BE">
            <w:pPr>
              <w:jc w:val="center"/>
              <w:rPr>
                <w:rFonts w:ascii="Times New Roman" w:hAnsi="Times New Roman" w:eastAsia="宋体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考查</w:t>
            </w:r>
          </w:p>
        </w:tc>
      </w:tr>
      <w:tr w14:paraId="0B567B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571" w:type="dxa"/>
            <w:vMerge w:val="continue"/>
            <w:vAlign w:val="center"/>
          </w:tcPr>
          <w:p w14:paraId="57DADAFA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1EE1FB54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31875F8F">
            <w:pPr>
              <w:jc w:val="left"/>
              <w:rPr>
                <w:rFonts w:ascii="Times New Roman" w:hAnsi="Times New Roman" w:eastAsia="宋体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学术英语阅读与写作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68F99705">
            <w:pPr>
              <w:jc w:val="center"/>
              <w:rPr>
                <w:rFonts w:ascii="Times New Roman" w:hAnsi="Times New Roman" w:eastAsia="宋体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TB000000</w:t>
            </w:r>
            <w:r>
              <w:rPr>
                <w:rFonts w:hint="eastAsia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366790D">
            <w:pPr>
              <w:jc w:val="center"/>
              <w:rPr>
                <w:rFonts w:ascii="Times New Roman" w:hAnsi="Times New Roman" w:eastAsia="宋体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3A82181">
            <w:pPr>
              <w:jc w:val="center"/>
              <w:rPr>
                <w:rFonts w:ascii="Times New Roman" w:hAnsi="Times New Roman" w:eastAsia="宋体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73566984">
            <w:pPr>
              <w:jc w:val="center"/>
              <w:rPr>
                <w:rFonts w:ascii="Times New Roman" w:hAnsi="Times New Roman" w:eastAsia="宋体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考查</w:t>
            </w:r>
          </w:p>
        </w:tc>
      </w:tr>
      <w:tr w14:paraId="4E9E19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51688C57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33BF1899">
            <w:pPr>
              <w:jc w:val="center"/>
              <w:rPr>
                <w:b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b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学科基础课</w:t>
            </w:r>
          </w:p>
          <w:p w14:paraId="66D5E192">
            <w:pPr>
              <w:jc w:val="center"/>
              <w:rPr>
                <w:b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b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（</w:t>
            </w:r>
            <w:r>
              <w:rPr>
                <w:rFonts w:hint="eastAsia"/>
                <w:b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6</w:t>
            </w:r>
            <w:r>
              <w:rPr>
                <w:b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学分）</w:t>
            </w:r>
          </w:p>
        </w:tc>
        <w:tc>
          <w:tcPr>
            <w:tcW w:w="3516" w:type="dxa"/>
            <w:shd w:val="clear" w:color="auto" w:fill="auto"/>
            <w:vAlign w:val="center"/>
          </w:tcPr>
          <w:p w14:paraId="2CF28766">
            <w:pPr>
              <w:rPr>
                <w:rFonts w:ascii="Times New Roman" w:hAnsi="Times New Roman" w:eastAsia="宋体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学术道德与论文写作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4B7F7BB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XB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0307001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FEFDC3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3F6A80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477084E9">
            <w:pPr>
              <w:jc w:val="center"/>
              <w:rPr>
                <w:rFonts w:hint="default" w:ascii="Times New Roman" w:hAnsi="Times New Roman" w:eastAsia="宋体" w:cs="Times New Roman"/>
                <w:i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考查</w:t>
            </w:r>
          </w:p>
        </w:tc>
      </w:tr>
      <w:tr w14:paraId="1F09303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571" w:type="dxa"/>
            <w:vMerge w:val="continue"/>
            <w:vAlign w:val="center"/>
          </w:tcPr>
          <w:p w14:paraId="2FF23A02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30C42AA7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26BAFB02">
            <w:pPr>
              <w:spacing w:line="360" w:lineRule="auto"/>
              <w:jc w:val="left"/>
              <w:rPr>
                <w:rFonts w:hint="eastAsia" w:ascii="Times New Roman" w:hAnsi="Times New Roman" w:eastAsia="宋体" w:cs="Times New Roman"/>
                <w:i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高级计量经济学 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48698C05"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i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XB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030700</w:t>
            </w: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EA02037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i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32E6C0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i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3561B077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i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考试</w:t>
            </w:r>
          </w:p>
        </w:tc>
      </w:tr>
      <w:tr w14:paraId="2E1DD6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571" w:type="dxa"/>
            <w:vMerge w:val="continue"/>
            <w:vAlign w:val="center"/>
          </w:tcPr>
          <w:p w14:paraId="25109471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747FAF3F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425A2E65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ascii="宋体" w:hAnsi="宋体" w:cs="宋体"/>
                <w:color w:val="0D0D0D" w:themeColor="text1" w:themeTint="F2"/>
                <w:sz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数据挖掘与机器学习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1D776795"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i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XB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030700</w:t>
            </w: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AC190F"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i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5A8B8F"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i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64E78849"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i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考试</w:t>
            </w:r>
          </w:p>
        </w:tc>
      </w:tr>
      <w:tr w14:paraId="7977A0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022C72C4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35AC6470">
            <w:pPr>
              <w:jc w:val="center"/>
              <w:rPr>
                <w:b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b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专业必修课</w:t>
            </w:r>
          </w:p>
          <w:p w14:paraId="338894C2">
            <w:pPr>
              <w:jc w:val="center"/>
              <w:rPr>
                <w:b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b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（</w:t>
            </w:r>
            <w:r>
              <w:rPr>
                <w:rFonts w:hint="eastAsia"/>
                <w:b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6</w:t>
            </w:r>
            <w:r>
              <w:rPr>
                <w:b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学分）</w:t>
            </w:r>
          </w:p>
        </w:tc>
        <w:tc>
          <w:tcPr>
            <w:tcW w:w="3516" w:type="dxa"/>
            <w:vAlign w:val="center"/>
          </w:tcPr>
          <w:p w14:paraId="1E3F274E">
            <w:pPr>
              <w:spacing w:line="360" w:lineRule="auto"/>
              <w:jc w:val="left"/>
              <w:rPr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高级微观经济学 </w:t>
            </w:r>
          </w:p>
        </w:tc>
        <w:tc>
          <w:tcPr>
            <w:tcW w:w="1081" w:type="dxa"/>
            <w:vAlign w:val="center"/>
          </w:tcPr>
          <w:p w14:paraId="5C1E377E">
            <w:pPr>
              <w:spacing w:line="360" w:lineRule="auto"/>
              <w:jc w:val="center"/>
              <w:rPr>
                <w:rFonts w:hint="default"/>
                <w:color w:val="0D0D0D" w:themeColor="text1" w:themeTint="F2"/>
                <w:sz w:val="18"/>
                <w:szCs w:val="18"/>
                <w:lang w:val="en-US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XB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030700</w:t>
            </w: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709" w:type="dxa"/>
            <w:vAlign w:val="center"/>
          </w:tcPr>
          <w:p w14:paraId="21BA947A">
            <w:pPr>
              <w:spacing w:line="360" w:lineRule="auto"/>
              <w:jc w:val="center"/>
              <w:rPr>
                <w:color w:val="0D0D0D" w:themeColor="text1" w:themeTint="F2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709" w:type="dxa"/>
            <w:vAlign w:val="center"/>
          </w:tcPr>
          <w:p w14:paraId="7CE17DD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1045" w:type="dxa"/>
            <w:vAlign w:val="center"/>
          </w:tcPr>
          <w:p w14:paraId="56D6FBE5">
            <w:pPr>
              <w:spacing w:line="360" w:lineRule="auto"/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考试</w:t>
            </w:r>
          </w:p>
        </w:tc>
      </w:tr>
      <w:tr w14:paraId="6063932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  <w:vAlign w:val="center"/>
          </w:tcPr>
          <w:p w14:paraId="5CD30483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7A634ABD">
            <w:pPr>
              <w:jc w:val="center"/>
              <w:rPr>
                <w:b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30B0265B">
            <w:pPr>
              <w:spacing w:line="360" w:lineRule="auto"/>
              <w:jc w:val="left"/>
              <w:rPr>
                <w:rFonts w:hint="eastAsia" w:ascii="Times New Roman" w:hAnsi="Times New Roman" w:eastAsia="宋体" w:cs="Times New Roman"/>
                <w:color w:val="0D0D0D" w:themeColor="text1" w:themeTint="F2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高级宏观经济学 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369E096B"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XB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030700</w:t>
            </w: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767355"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0D0D0D" w:themeColor="text1" w:themeTint="F2"/>
                <w:kern w:val="2"/>
                <w:sz w:val="21"/>
                <w:szCs w:val="24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33277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5311AEDE"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考试</w:t>
            </w:r>
          </w:p>
        </w:tc>
      </w:tr>
      <w:tr w14:paraId="5AA33F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571" w:type="dxa"/>
            <w:vMerge w:val="restart"/>
            <w:vAlign w:val="center"/>
          </w:tcPr>
          <w:p w14:paraId="32013CBB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非学位课</w:t>
            </w:r>
          </w:p>
        </w:tc>
        <w:tc>
          <w:tcPr>
            <w:tcW w:w="1226" w:type="dxa"/>
            <w:vMerge w:val="restart"/>
            <w:vAlign w:val="center"/>
          </w:tcPr>
          <w:p w14:paraId="4E47AEBE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公共通识课</w:t>
            </w:r>
          </w:p>
          <w:p w14:paraId="35A591EC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（2学分）</w:t>
            </w:r>
          </w:p>
        </w:tc>
        <w:tc>
          <w:tcPr>
            <w:tcW w:w="3516" w:type="dxa"/>
            <w:shd w:val="clear" w:color="auto" w:fill="auto"/>
            <w:vAlign w:val="center"/>
          </w:tcPr>
          <w:p w14:paraId="46447BF2">
            <w:pPr>
              <w:jc w:val="left"/>
              <w:rPr>
                <w:rFonts w:ascii="Times New Roman" w:hAnsi="Times New Roman" w:eastAsia="宋体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《习近平谈治国理政》研读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1B9AA544">
            <w:pPr>
              <w:jc w:val="center"/>
              <w:rPr>
                <w:rFonts w:ascii="Times New Roman" w:hAnsi="Times New Roman" w:eastAsia="宋体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TT0000101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0496831">
            <w:pPr>
              <w:jc w:val="center"/>
              <w:rPr>
                <w:rFonts w:ascii="Times New Roman" w:hAnsi="Times New Roman" w:eastAsia="宋体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9F4D7D">
            <w:pPr>
              <w:jc w:val="center"/>
              <w:rPr>
                <w:rFonts w:ascii="Times New Roman" w:hAnsi="Times New Roman" w:eastAsia="宋体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241BD603">
            <w:pPr>
              <w:jc w:val="center"/>
              <w:rPr>
                <w:rFonts w:ascii="Times New Roman" w:hAnsi="Times New Roman" w:eastAsia="宋体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考查</w:t>
            </w:r>
          </w:p>
        </w:tc>
      </w:tr>
      <w:tr w14:paraId="0DF32C2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571" w:type="dxa"/>
            <w:vMerge w:val="continue"/>
            <w:vAlign w:val="center"/>
          </w:tcPr>
          <w:p w14:paraId="11908241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7A96EE32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296D061A">
            <w:pPr>
              <w:jc w:val="left"/>
              <w:rPr>
                <w:rFonts w:ascii="Times New Roman" w:hAnsi="Times New Roman" w:eastAsia="宋体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马克思恩格斯列宁经典著作选读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5D9C5805">
            <w:pPr>
              <w:jc w:val="center"/>
              <w:rPr>
                <w:rFonts w:ascii="Times New Roman" w:hAnsi="Times New Roman" w:eastAsia="宋体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TB000010</w:t>
            </w:r>
            <w:r>
              <w:rPr>
                <w:rFonts w:hint="eastAsia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3D2D32">
            <w:pPr>
              <w:jc w:val="center"/>
              <w:rPr>
                <w:rFonts w:ascii="Times New Roman" w:hAnsi="Times New Roman" w:eastAsia="宋体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FE103F7">
            <w:pPr>
              <w:jc w:val="center"/>
              <w:rPr>
                <w:rFonts w:ascii="Times New Roman" w:hAnsi="Times New Roman" w:eastAsia="宋体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1045" w:type="dxa"/>
            <w:shd w:val="clear" w:color="auto" w:fill="auto"/>
            <w:vAlign w:val="center"/>
          </w:tcPr>
          <w:p w14:paraId="15740225">
            <w:pPr>
              <w:jc w:val="center"/>
              <w:rPr>
                <w:rFonts w:ascii="Times New Roman" w:hAnsi="Times New Roman" w:eastAsia="宋体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考查</w:t>
            </w:r>
          </w:p>
        </w:tc>
      </w:tr>
      <w:tr w14:paraId="436474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5EACA9BC">
            <w:pP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restart"/>
            <w:shd w:val="clear" w:color="auto" w:fill="auto"/>
            <w:vAlign w:val="center"/>
          </w:tcPr>
          <w:p w14:paraId="0CF040C0">
            <w:pPr>
              <w:adjustRightInd w:val="0"/>
              <w:snapToGrid w:val="0"/>
              <w:spacing w:line="240" w:lineRule="auto"/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国际经济理论与政策方向</w:t>
            </w:r>
            <w: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选修课</w:t>
            </w:r>
          </w:p>
        </w:tc>
        <w:tc>
          <w:tcPr>
            <w:tcW w:w="3516" w:type="dxa"/>
            <w:shd w:val="clear" w:color="auto" w:fill="auto"/>
            <w:vAlign w:val="center"/>
          </w:tcPr>
          <w:p w14:paraId="7C16A94D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国际经济学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71BE4F97">
            <w:pPr>
              <w:spacing w:line="360" w:lineRule="auto"/>
              <w:jc w:val="center"/>
              <w:rPr>
                <w:rFonts w:hint="eastAsia" w:ascii="宋体" w:hAnsi="宋体" w:eastAsia="宋体" w:cs="宋体"/>
                <w:i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XB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0307</w:t>
            </w: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0</w:t>
            </w: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9B510C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967BE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1045" w:type="dxa"/>
            <w:vMerge w:val="restart"/>
            <w:shd w:val="clear" w:color="auto" w:fill="auto"/>
            <w:vAlign w:val="center"/>
          </w:tcPr>
          <w:p w14:paraId="38715ACA">
            <w:pPr>
              <w:adjustRightInd w:val="0"/>
              <w:snapToGrid w:val="0"/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本方向研究生至少选修</w:t>
            </w:r>
          </w:p>
          <w:p w14:paraId="2C14E4F8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i/>
                <w:color w:val="0D0D0D" w:themeColor="text1" w:themeTint="F2"/>
                <w:kern w:val="2"/>
                <w:sz w:val="15"/>
                <w:szCs w:val="15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学分</w:t>
            </w:r>
          </w:p>
        </w:tc>
      </w:tr>
      <w:tr w14:paraId="5468178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1FF3086D">
            <w:pP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402F9BB8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347C7999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国际贸易学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6014BBF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XB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0307</w:t>
            </w: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0</w:t>
            </w: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1DF5B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ACD944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5403CA0B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i/>
                <w:color w:val="0D0D0D" w:themeColor="text1" w:themeTint="F2"/>
                <w:kern w:val="2"/>
                <w:sz w:val="15"/>
                <w:szCs w:val="15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681AD4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571" w:type="dxa"/>
            <w:vMerge w:val="continue"/>
          </w:tcPr>
          <w:p w14:paraId="3FDF3E84">
            <w:pP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08F0F72C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614EEE6E">
            <w:pPr>
              <w:rPr>
                <w:rFonts w:hint="eastAsia" w:ascii="宋体" w:hAnsi="宋体" w:eastAsia="宋体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ascii="宋体" w:hAnsi="宋体" w:eastAsia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国际</w:t>
            </w:r>
            <w:r>
              <w:rPr>
                <w:rFonts w:hint="eastAsia" w:ascii="宋体" w:hAnsi="宋体" w:eastAsia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经济</w:t>
            </w:r>
            <w:r>
              <w:rPr>
                <w:rFonts w:ascii="宋体" w:hAnsi="宋体" w:eastAsia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前沿问题研究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54ECB6AB">
            <w:pPr>
              <w:jc w:val="center"/>
              <w:rPr>
                <w:rFonts w:hint="eastAsia" w:ascii="Times New Roman" w:hAnsi="Times New Roman" w:eastAsia="Times New Roman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XB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0307202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1FB5C2">
            <w:pPr>
              <w:jc w:val="center"/>
              <w:rPr>
                <w:rFonts w:hint="eastAsia" w:ascii="Times New Roman" w:hAnsi="Times New Roman" w:eastAsia="Times New Roman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ascii="Times New Roman" w:hAnsi="Times New Roman" w:eastAsia="Times New Roman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61FF82">
            <w:pPr>
              <w:jc w:val="center"/>
              <w:rPr>
                <w:rFonts w:hint="default" w:ascii="Times New Roman" w:hAnsi="Times New Roman" w:eastAsia="宋体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397FCEAB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i/>
                <w:color w:val="0D0D0D" w:themeColor="text1" w:themeTint="F2"/>
                <w:kern w:val="2"/>
                <w:sz w:val="15"/>
                <w:szCs w:val="15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1B7FC4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571" w:type="dxa"/>
            <w:vMerge w:val="continue"/>
          </w:tcPr>
          <w:p w14:paraId="63F794F0">
            <w:pP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27877438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31ED0196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日本经济专题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19B57110">
            <w:pPr>
              <w:spacing w:line="360" w:lineRule="auto"/>
              <w:jc w:val="center"/>
              <w:rPr>
                <w:rFonts w:hint="eastAsia" w:ascii="宋体" w:hAnsi="宋体" w:eastAsia="宋体" w:cs="宋体"/>
                <w:i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XB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030720</w:t>
            </w: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375AEB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4A3B8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2FAA1B14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i/>
                <w:color w:val="0D0D0D" w:themeColor="text1" w:themeTint="F2"/>
                <w:kern w:val="2"/>
                <w:sz w:val="15"/>
                <w:szCs w:val="15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375052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571" w:type="dxa"/>
            <w:vMerge w:val="continue"/>
          </w:tcPr>
          <w:p w14:paraId="76786842">
            <w:pP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7E782C4E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44251D5D">
            <w:pPr>
              <w:rPr>
                <w:rFonts w:ascii="宋体" w:hAnsi="宋体" w:eastAsia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bCs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数字贸易与全球价值链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021A9C59">
            <w:pPr>
              <w:jc w:val="center"/>
              <w:rPr>
                <w:rFonts w:hint="eastAsia" w:ascii="Times New Roman" w:hAnsi="Times New Roman" w:eastAsia="Times New Roman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XB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030720</w:t>
            </w: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3738145">
            <w:pPr>
              <w:jc w:val="center"/>
              <w:rPr>
                <w:rFonts w:hint="eastAsia" w:ascii="Times New Roman" w:hAnsi="Times New Roman" w:eastAsia="Times New Roman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ascii="Times New Roman" w:hAnsi="Times New Roman" w:eastAsia="Times New Roman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0153F3">
            <w:pPr>
              <w:jc w:val="center"/>
              <w:rPr>
                <w:rFonts w:hint="eastAsia" w:ascii="Times New Roman" w:hAnsi="Times New Roman" w:eastAsia="宋体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D0D0D" w:themeColor="text1" w:themeTint="F2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258210B4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i/>
                <w:color w:val="0D0D0D" w:themeColor="text1" w:themeTint="F2"/>
                <w:kern w:val="2"/>
                <w:sz w:val="15"/>
                <w:szCs w:val="15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6CEF9D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6021A558">
            <w:pP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restart"/>
            <w:shd w:val="clear" w:color="auto" w:fill="auto"/>
            <w:vAlign w:val="center"/>
          </w:tcPr>
          <w:p w14:paraId="61FB3519">
            <w:pPr>
              <w:adjustRightInd w:val="0"/>
              <w:snapToGrid w:val="0"/>
              <w:spacing w:line="240" w:lineRule="auto"/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金融市场与制度创新方向</w:t>
            </w:r>
            <w: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选修课</w:t>
            </w:r>
          </w:p>
        </w:tc>
        <w:tc>
          <w:tcPr>
            <w:tcW w:w="3516" w:type="dxa"/>
            <w:shd w:val="clear" w:color="auto" w:fill="auto"/>
            <w:vAlign w:val="center"/>
          </w:tcPr>
          <w:p w14:paraId="7352E235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金融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学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17D816B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XB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0302102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82DCA2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3FA8F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1045" w:type="dxa"/>
            <w:vMerge w:val="restart"/>
            <w:shd w:val="clear" w:color="auto" w:fill="auto"/>
            <w:vAlign w:val="center"/>
          </w:tcPr>
          <w:p w14:paraId="612EFC28">
            <w:pPr>
              <w:adjustRightInd w:val="0"/>
              <w:snapToGrid w:val="0"/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本方向研究生至少选修</w:t>
            </w:r>
          </w:p>
          <w:p w14:paraId="3434F6C1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i/>
                <w:color w:val="0D0D0D" w:themeColor="text1" w:themeTint="F2"/>
                <w:kern w:val="2"/>
                <w:sz w:val="15"/>
                <w:szCs w:val="15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学分</w:t>
            </w:r>
          </w:p>
        </w:tc>
      </w:tr>
      <w:tr w14:paraId="3C646DF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2CC20569">
            <w:pP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7B9019A6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5CC0789F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金融理论与研究方法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1AD78E57">
            <w:pPr>
              <w:spacing w:line="360" w:lineRule="auto"/>
              <w:jc w:val="center"/>
              <w:rPr>
                <w:rFonts w:hint="eastAsia" w:ascii="宋体" w:hAnsi="宋体" w:eastAsia="宋体" w:cs="宋体"/>
                <w:i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XB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030720</w:t>
            </w: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CBE66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B7884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70CAF507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i/>
                <w:color w:val="0D0D0D" w:themeColor="text1" w:themeTint="F2"/>
                <w:kern w:val="2"/>
                <w:sz w:val="15"/>
                <w:szCs w:val="15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3B522E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235831DC">
            <w:pP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28790606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7C888DF4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ascii="宋体" w:hAnsi="宋体" w:eastAsia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金融市场与证券投资分析</w:t>
            </w:r>
            <w:r>
              <w:rPr>
                <w:rFonts w:ascii="Times New Roman" w:hAnsi="Times New Roman" w:eastAsia="Times New Roman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 xml:space="preserve"> 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3DCB2DCA">
            <w:pPr>
              <w:spacing w:line="360" w:lineRule="auto"/>
              <w:jc w:val="center"/>
              <w:rPr>
                <w:rFonts w:hint="eastAsia" w:ascii="宋体" w:hAnsi="宋体" w:eastAsia="宋体" w:cs="宋体"/>
                <w:i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XB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030720</w:t>
            </w: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75B25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01501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7E9C53FF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i/>
                <w:color w:val="0D0D0D" w:themeColor="text1" w:themeTint="F2"/>
                <w:kern w:val="2"/>
                <w:sz w:val="15"/>
                <w:szCs w:val="15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093D6C6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7B6EEE28">
            <w:pP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5C630295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7B31299C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国际金融专题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7CFB3DC3">
            <w:pPr>
              <w:spacing w:line="360" w:lineRule="auto"/>
              <w:jc w:val="center"/>
              <w:rPr>
                <w:rFonts w:hint="eastAsia" w:ascii="宋体" w:hAnsi="宋体" w:eastAsia="宋体" w:cs="宋体"/>
                <w:i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XB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030720</w:t>
            </w: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18E7C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26CFF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079587D2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i/>
                <w:color w:val="0D0D0D" w:themeColor="text1" w:themeTint="F2"/>
                <w:kern w:val="2"/>
                <w:sz w:val="15"/>
                <w:szCs w:val="15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292207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03022C70">
            <w:pP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0331D3E1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3D0C19CE">
            <w:pPr>
              <w:spacing w:line="360" w:lineRule="auto"/>
              <w:jc w:val="left"/>
              <w:rPr>
                <w:rFonts w:ascii="宋体" w:hAnsi="宋体" w:eastAsia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金融计量经济学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7AD4E0E3">
            <w:pPr>
              <w:spacing w:line="360" w:lineRule="auto"/>
              <w:jc w:val="center"/>
              <w:rPr>
                <w:rFonts w:hint="eastAsia" w:ascii="宋体" w:hAnsi="宋体" w:eastAsia="宋体" w:cs="宋体"/>
                <w:i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XB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030720</w:t>
            </w: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5EE82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AD0EE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56553B49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i/>
                <w:color w:val="0D0D0D" w:themeColor="text1" w:themeTint="F2"/>
                <w:kern w:val="2"/>
                <w:sz w:val="15"/>
                <w:szCs w:val="15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39E6EB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1CD4A412">
            <w:pP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restart"/>
            <w:shd w:val="clear" w:color="auto" w:fill="auto"/>
            <w:vAlign w:val="center"/>
          </w:tcPr>
          <w:p w14:paraId="0C1A60D9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0D0D0D" w:themeColor="text1" w:themeTint="F2"/>
                <w:sz w:val="18"/>
                <w:szCs w:val="18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区域经济政策与可持续发展</w:t>
            </w:r>
            <w:r>
              <w:rPr>
                <w:rFonts w:hint="eastAsia" w:ascii="宋体" w:hAnsi="宋体" w:eastAsia="宋体" w:cs="宋体"/>
                <w:b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方</w:t>
            </w:r>
            <w:r>
              <w:rPr>
                <w:rFonts w:hint="eastAsia" w:ascii="宋体" w:hAnsi="宋体" w:eastAsia="宋体" w:cs="宋体"/>
                <w:b/>
                <w:color w:val="0D0D0D" w:themeColor="text1" w:themeTint="F2"/>
                <w:sz w:val="18"/>
                <w:szCs w:val="18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向</w:t>
            </w:r>
          </w:p>
          <w:p w14:paraId="786B78E8">
            <w:pPr>
              <w:adjustRightInd w:val="0"/>
              <w:snapToGrid w:val="0"/>
              <w:spacing w:line="240" w:lineRule="auto"/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选修课</w:t>
            </w:r>
          </w:p>
        </w:tc>
        <w:tc>
          <w:tcPr>
            <w:tcW w:w="3516" w:type="dxa"/>
            <w:shd w:val="clear" w:color="auto" w:fill="auto"/>
            <w:vAlign w:val="center"/>
          </w:tcPr>
          <w:p w14:paraId="1F4EFC64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区域经济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学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42F8109D">
            <w:pPr>
              <w:spacing w:line="360" w:lineRule="auto"/>
              <w:jc w:val="center"/>
              <w:rPr>
                <w:rFonts w:hint="eastAsia" w:ascii="宋体" w:hAnsi="宋体" w:eastAsia="宋体" w:cs="宋体"/>
                <w:i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XB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0307103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816DA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6F521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1045" w:type="dxa"/>
            <w:vMerge w:val="restart"/>
            <w:shd w:val="clear" w:color="auto" w:fill="auto"/>
            <w:vAlign w:val="center"/>
          </w:tcPr>
          <w:p w14:paraId="2D82ED9D">
            <w:pPr>
              <w:adjustRightInd w:val="0"/>
              <w:snapToGrid w:val="0"/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本方向研究生至少选修</w:t>
            </w:r>
          </w:p>
          <w:p w14:paraId="2D4526E4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i/>
                <w:color w:val="0D0D0D" w:themeColor="text1" w:themeTint="F2"/>
                <w:kern w:val="2"/>
                <w:sz w:val="15"/>
                <w:szCs w:val="15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学分</w:t>
            </w:r>
          </w:p>
        </w:tc>
      </w:tr>
      <w:tr w14:paraId="1D72288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7A866311">
            <w:pP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57831427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6FED3CE4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区域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经济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发展与城市群问题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5C62CF5C">
            <w:pPr>
              <w:spacing w:line="360" w:lineRule="auto"/>
              <w:jc w:val="center"/>
              <w:rPr>
                <w:rFonts w:hint="eastAsia" w:ascii="宋体" w:hAnsi="宋体" w:eastAsia="宋体" w:cs="宋体"/>
                <w:i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XB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030720</w:t>
            </w: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A2AF5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D3BF9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168922BA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i/>
                <w:color w:val="0D0D0D" w:themeColor="text1" w:themeTint="F2"/>
                <w:kern w:val="2"/>
                <w:sz w:val="15"/>
                <w:szCs w:val="15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7484C20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14F025A5">
            <w:pP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6F69C572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6CB82380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ascii="宋体" w:hAnsi="宋体" w:eastAsia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区域经济实证研究方法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782B04EE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XB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03072</w:t>
            </w: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FCCF2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906FDC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75B46A33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i/>
                <w:color w:val="0D0D0D" w:themeColor="text1" w:themeTint="F2"/>
                <w:kern w:val="2"/>
                <w:sz w:val="15"/>
                <w:szCs w:val="15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5D41A3C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6C4B573F">
            <w:pP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6AAD2516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5DE62D20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资源环境与区域经济发展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280936A0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XB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03072</w:t>
            </w: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6943A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F3F3CB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1F940989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i/>
                <w:color w:val="0D0D0D" w:themeColor="text1" w:themeTint="F2"/>
                <w:kern w:val="2"/>
                <w:sz w:val="15"/>
                <w:szCs w:val="15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424537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2869F46D">
            <w:pP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23BD0067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6B7D2DEB">
            <w:pPr>
              <w:spacing w:line="360" w:lineRule="auto"/>
              <w:jc w:val="left"/>
              <w:rPr>
                <w:rFonts w:ascii="宋体" w:hAnsi="宋体" w:eastAsia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ascii="宋体" w:hAnsi="宋体" w:cs="宋体"/>
                <w:color w:val="0D0D0D" w:themeColor="text1" w:themeTint="F2"/>
                <w:sz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空间数据分析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1E284BC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XB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03072</w:t>
            </w: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E73D4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C67111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29D25720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i/>
                <w:color w:val="0D0D0D" w:themeColor="text1" w:themeTint="F2"/>
                <w:kern w:val="2"/>
                <w:sz w:val="15"/>
                <w:szCs w:val="15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3DB06D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1FA04F8D">
            <w:pP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restart"/>
            <w:shd w:val="clear" w:color="auto" w:fill="auto"/>
            <w:vAlign w:val="center"/>
          </w:tcPr>
          <w:p w14:paraId="1B0DB71A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劳动与人口经济理论</w:t>
            </w:r>
            <w:r>
              <w:rPr>
                <w:rFonts w:hint="eastAsia" w:ascii="宋体" w:hAnsi="宋体" w:cs="宋体"/>
                <w:b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和</w:t>
            </w:r>
            <w:r>
              <w:rPr>
                <w:rFonts w:hint="eastAsia" w:ascii="宋体" w:hAnsi="宋体" w:eastAsia="宋体" w:cs="宋体"/>
                <w:b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政策</w:t>
            </w:r>
            <w:r>
              <w:rPr>
                <w:rFonts w:hint="eastAsia" w:ascii="宋体" w:hAnsi="宋体" w:eastAsia="宋体" w:cs="宋体"/>
                <w:b/>
                <w:color w:val="0D0D0D" w:themeColor="text1" w:themeTint="F2"/>
                <w:sz w:val="18"/>
                <w:szCs w:val="18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方向课</w:t>
            </w:r>
          </w:p>
          <w:p w14:paraId="55EA5D24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该方向</w:t>
            </w:r>
          </w:p>
          <w:p w14:paraId="7696640D">
            <w:pPr>
              <w:adjustRightInd w:val="0"/>
              <w:snapToGrid w:val="0"/>
              <w:spacing w:line="240" w:lineRule="auto"/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选修课</w:t>
            </w:r>
          </w:p>
        </w:tc>
        <w:tc>
          <w:tcPr>
            <w:tcW w:w="3516" w:type="dxa"/>
            <w:shd w:val="clear" w:color="auto" w:fill="auto"/>
            <w:vAlign w:val="center"/>
          </w:tcPr>
          <w:p w14:paraId="1C34F978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劳动经济学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3650053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XB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0307104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D3FC8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AE78A4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1045" w:type="dxa"/>
            <w:vMerge w:val="restart"/>
            <w:shd w:val="clear" w:color="auto" w:fill="auto"/>
            <w:vAlign w:val="center"/>
          </w:tcPr>
          <w:p w14:paraId="5536E951">
            <w:pPr>
              <w:adjustRightInd w:val="0"/>
              <w:snapToGrid w:val="0"/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本方向研究生至少选修</w:t>
            </w:r>
          </w:p>
          <w:p w14:paraId="56CED495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i/>
                <w:color w:val="0D0D0D" w:themeColor="text1" w:themeTint="F2"/>
                <w:kern w:val="2"/>
                <w:sz w:val="15"/>
                <w:szCs w:val="15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学分</w:t>
            </w:r>
          </w:p>
        </w:tc>
      </w:tr>
      <w:tr w14:paraId="1C3BA4D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29C59A9A">
            <w:pP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1D0FC675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19B940D5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人力资本理论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0DE0D8B6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XB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03072</w:t>
            </w: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3AC72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95F68D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0D58E217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i/>
                <w:color w:val="0D0D0D" w:themeColor="text1" w:themeTint="F2"/>
                <w:kern w:val="2"/>
                <w:sz w:val="15"/>
                <w:szCs w:val="15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7E68369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3E95E2D2">
            <w:pP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688D1DCE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70591BF6">
            <w:pPr>
              <w:rPr>
                <w:rFonts w:hint="default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iCs/>
                <w:color w:val="0D0D0D" w:themeColor="text1" w:themeTint="F2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人口经济学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7EEE27F6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XB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03072</w:t>
            </w: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A7B81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2C7B7E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2DFD7ACE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i/>
                <w:color w:val="0D0D0D" w:themeColor="text1" w:themeTint="F2"/>
                <w:kern w:val="2"/>
                <w:sz w:val="15"/>
                <w:szCs w:val="15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5073F4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333C5161">
            <w:pP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04104143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31C6C28B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人口与劳动经济学前</w:t>
            </w: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沿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4326AC0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XB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03072</w:t>
            </w: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94059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A2A14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72714513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i/>
                <w:color w:val="0D0D0D" w:themeColor="text1" w:themeTint="F2"/>
                <w:kern w:val="2"/>
                <w:sz w:val="15"/>
                <w:szCs w:val="15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2CFEDC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77AA2439">
            <w:pP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5E4B4F12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0C0AE862">
            <w:pPr>
              <w:rPr>
                <w:rFonts w:ascii="宋体" w:hAnsi="宋体" w:eastAsia="宋体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iCs/>
                <w:color w:val="0D0D0D" w:themeColor="text1" w:themeTint="F2"/>
                <w:sz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劳动就业与收入分配专题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0DE0A046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XB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03072</w:t>
            </w: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C77AC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D81FEF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569091F0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i/>
                <w:color w:val="0D0D0D" w:themeColor="text1" w:themeTint="F2"/>
                <w:kern w:val="2"/>
                <w:sz w:val="15"/>
                <w:szCs w:val="15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3922EC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51A1A56B">
            <w:pP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restart"/>
            <w:shd w:val="clear" w:color="auto" w:fill="auto"/>
            <w:vAlign w:val="center"/>
          </w:tcPr>
          <w:p w14:paraId="255AD8FE">
            <w:pPr>
              <w:adjustRightInd w:val="0"/>
              <w:snapToGrid w:val="0"/>
              <w:spacing w:line="240" w:lineRule="auto"/>
              <w:jc w:val="center"/>
              <w:rPr>
                <w:rFonts w:hint="eastAsia" w:ascii="宋体" w:hAnsi="宋体" w:eastAsia="宋体" w:cs="宋体"/>
                <w:b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数据与经济统计应用</w:t>
            </w:r>
            <w:r>
              <w:rPr>
                <w:rFonts w:hint="eastAsia" w:ascii="宋体" w:hAnsi="宋体" w:eastAsia="宋体" w:cs="宋体"/>
                <w:b/>
                <w:color w:val="0D0D0D" w:themeColor="text1" w:themeTint="F2"/>
                <w:sz w:val="18"/>
                <w:szCs w:val="18"/>
                <w:highlight w:val="none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方向</w:t>
            </w:r>
            <w: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选修课</w:t>
            </w:r>
          </w:p>
        </w:tc>
        <w:tc>
          <w:tcPr>
            <w:tcW w:w="3516" w:type="dxa"/>
            <w:shd w:val="clear" w:color="auto" w:fill="auto"/>
            <w:vAlign w:val="center"/>
          </w:tcPr>
          <w:p w14:paraId="49902614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国民经济统计与投入产出分析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1123DAA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XB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0307105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7BA2E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2FC0A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1045" w:type="dxa"/>
            <w:vMerge w:val="restart"/>
            <w:shd w:val="clear" w:color="auto" w:fill="auto"/>
            <w:vAlign w:val="center"/>
          </w:tcPr>
          <w:p w14:paraId="059D6628">
            <w:pPr>
              <w:adjustRightInd w:val="0"/>
              <w:snapToGrid w:val="0"/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本方向研究生至少选修</w:t>
            </w:r>
          </w:p>
          <w:p w14:paraId="6ED66069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i/>
                <w:color w:val="0D0D0D" w:themeColor="text1" w:themeTint="F2"/>
                <w:kern w:val="2"/>
                <w:sz w:val="15"/>
                <w:szCs w:val="15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4</w:t>
            </w: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学分</w:t>
            </w:r>
          </w:p>
        </w:tc>
      </w:tr>
      <w:tr w14:paraId="678779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483CC662">
            <w:pP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0CD11248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7525AD1B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经济领域大数据理论及应用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1B7C6972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XB</w:t>
            </w: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03072</w:t>
            </w: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DC2CF8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6B0BB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66D2A397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i/>
                <w:color w:val="0D0D0D" w:themeColor="text1" w:themeTint="F2"/>
                <w:kern w:val="2"/>
                <w:sz w:val="15"/>
                <w:szCs w:val="15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0FC23B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3418F8D6">
            <w:pP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103F3E60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28295C72"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i w:val="0"/>
                <w:iCs/>
                <w:color w:val="auto"/>
                <w:sz w:val="18"/>
                <w:szCs w:val="18"/>
                <w:highlight w:val="none"/>
                <w:lang w:eastAsia="zh-CN"/>
              </w:rPr>
              <w:t>宏观经济统计分析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0B90AF0F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XB0307218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372655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01CDA9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66615C98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i/>
                <w:color w:val="0D0D0D" w:themeColor="text1" w:themeTint="F2"/>
                <w:kern w:val="2"/>
                <w:sz w:val="15"/>
                <w:szCs w:val="15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0CDD254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58133638">
            <w:pP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46CABF7D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25240519">
            <w:pPr>
              <w:spacing w:line="360" w:lineRule="auto"/>
              <w:jc w:val="left"/>
              <w:rPr>
                <w:rFonts w:hint="default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数理经济学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04C27C91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XB0307219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BF1E6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08419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62F4CBAF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i/>
                <w:color w:val="0D0D0D" w:themeColor="text1" w:themeTint="F2"/>
                <w:kern w:val="2"/>
                <w:sz w:val="15"/>
                <w:szCs w:val="15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637CAEB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0FB1051E">
            <w:pP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26505B3B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47FE1F8C">
            <w:pPr>
              <w:spacing w:line="360" w:lineRule="auto"/>
              <w:jc w:val="left"/>
              <w:rPr>
                <w:rFonts w:hint="eastAsia" w:cs="Times New Roman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cs="Times New Roman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非参数计量建模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3274125A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XB0307220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DDE85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0458CE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1045" w:type="dxa"/>
            <w:vMerge w:val="continue"/>
            <w:shd w:val="clear" w:color="auto" w:fill="auto"/>
            <w:vAlign w:val="center"/>
          </w:tcPr>
          <w:p w14:paraId="2EAAE04A"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 w:cs="Times New Roman"/>
                <w:i/>
                <w:color w:val="0D0D0D" w:themeColor="text1" w:themeTint="F2"/>
                <w:kern w:val="2"/>
                <w:sz w:val="15"/>
                <w:szCs w:val="15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2B338A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571" w:type="dxa"/>
            <w:vMerge w:val="restart"/>
            <w:vAlign w:val="center"/>
          </w:tcPr>
          <w:p w14:paraId="61D8521F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必修环节</w:t>
            </w:r>
          </w:p>
          <w:p w14:paraId="1A328CE0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482E59A8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素质拓展</w:t>
            </w:r>
          </w:p>
        </w:tc>
        <w:tc>
          <w:tcPr>
            <w:tcW w:w="3516" w:type="dxa"/>
            <w:vAlign w:val="center"/>
          </w:tcPr>
          <w:p w14:paraId="11CA6B34">
            <w:pP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入学教育</w:t>
            </w:r>
          </w:p>
        </w:tc>
        <w:tc>
          <w:tcPr>
            <w:tcW w:w="1081" w:type="dxa"/>
            <w:vAlign w:val="center"/>
          </w:tcPr>
          <w:p w14:paraId="6BB66384">
            <w:pPr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2D33733B">
            <w:pPr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3C95B22F">
            <w:pPr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1045" w:type="dxa"/>
            <w:vMerge w:val="restart"/>
            <w:vAlign w:val="center"/>
          </w:tcPr>
          <w:p w14:paraId="15FB8242">
            <w:pPr>
              <w:jc w:val="center"/>
              <w:rPr>
                <w:i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5656F6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1" w:type="dxa"/>
            <w:vMerge w:val="continue"/>
            <w:vAlign w:val="center"/>
          </w:tcPr>
          <w:p w14:paraId="30EC07C8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53E2868B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1EA828B9">
            <w:pP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学术活动</w:t>
            </w:r>
          </w:p>
        </w:tc>
        <w:tc>
          <w:tcPr>
            <w:tcW w:w="1081" w:type="dxa"/>
            <w:vAlign w:val="center"/>
          </w:tcPr>
          <w:p w14:paraId="62AEE941">
            <w:pPr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18E2E68F">
            <w:pPr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709" w:type="dxa"/>
            <w:vAlign w:val="center"/>
          </w:tcPr>
          <w:p w14:paraId="15ADDF3E">
            <w:pPr>
              <w:jc w:val="center"/>
              <w:rPr>
                <w:rFonts w:hint="default" w:eastAsia="宋体"/>
                <w:color w:val="0D0D0D" w:themeColor="text1" w:themeTint="F2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1-7</w:t>
            </w:r>
          </w:p>
        </w:tc>
        <w:tc>
          <w:tcPr>
            <w:tcW w:w="1045" w:type="dxa"/>
            <w:vMerge w:val="continue"/>
            <w:vAlign w:val="center"/>
          </w:tcPr>
          <w:p w14:paraId="480CBB66">
            <w:pPr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495040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571" w:type="dxa"/>
            <w:vMerge w:val="continue"/>
            <w:vAlign w:val="center"/>
          </w:tcPr>
          <w:p w14:paraId="57CCB38D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68D016C9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271D8BC3">
            <w:pPr>
              <w:adjustRightInd w:val="0"/>
              <w:snapToGrid w:val="0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竞赛活动（</w:t>
            </w:r>
            <w:r>
              <w:rPr>
                <w:rFonts w:hint="eastAsia"/>
                <w:color w:val="0D0D0D" w:themeColor="text1" w:themeTint="F2"/>
                <w:sz w:val="18"/>
                <w:szCs w:val="18"/>
                <w:lang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“</w:t>
            </w:r>
            <w:r>
              <w:rPr>
                <w:rFonts w:hint="eastAsia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挑战杯”大学生课外学术科技作品竞赛</w:t>
            </w:r>
            <w:r>
              <w:rPr>
                <w:rFonts w:hint="eastAsia"/>
                <w:color w:val="0D0D0D" w:themeColor="text1" w:themeTint="F2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等学校认定的C级及以上学术科技竞赛获校级及以上奖励）</w:t>
            </w:r>
          </w:p>
        </w:tc>
        <w:tc>
          <w:tcPr>
            <w:tcW w:w="1081" w:type="dxa"/>
            <w:vAlign w:val="center"/>
          </w:tcPr>
          <w:p w14:paraId="3E3DE441">
            <w:pPr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38EF89A2">
            <w:pPr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</w:t>
            </w:r>
          </w:p>
        </w:tc>
        <w:tc>
          <w:tcPr>
            <w:tcW w:w="709" w:type="dxa"/>
            <w:vAlign w:val="center"/>
          </w:tcPr>
          <w:p w14:paraId="22862CD1">
            <w:pPr>
              <w:jc w:val="center"/>
              <w:rPr>
                <w:rFonts w:hint="default" w:eastAsia="宋体"/>
                <w:color w:val="0D0D0D" w:themeColor="text1" w:themeTint="F2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1-8</w:t>
            </w:r>
          </w:p>
        </w:tc>
        <w:tc>
          <w:tcPr>
            <w:tcW w:w="1045" w:type="dxa"/>
            <w:vMerge w:val="continue"/>
            <w:vAlign w:val="center"/>
          </w:tcPr>
          <w:p w14:paraId="28363F45">
            <w:pPr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3255D8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571" w:type="dxa"/>
            <w:vMerge w:val="continue"/>
            <w:vAlign w:val="center"/>
          </w:tcPr>
          <w:p w14:paraId="0C5EC4D7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6B5F2821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140809C0">
            <w:pPr>
              <w:adjustRightInd w:val="0"/>
              <w:snapToGrid w:val="0"/>
              <w:rPr>
                <w:rFonts w:hint="default" w:eastAsia="宋体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高级微宏观经济学专题报告与学术前沿</w:t>
            </w:r>
          </w:p>
        </w:tc>
        <w:tc>
          <w:tcPr>
            <w:tcW w:w="1081" w:type="dxa"/>
            <w:vAlign w:val="center"/>
          </w:tcPr>
          <w:p w14:paraId="7126E475">
            <w:pPr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362B18DA">
            <w:pPr>
              <w:jc w:val="center"/>
              <w:rPr>
                <w:rFonts w:hint="eastAsia" w:eastAsia="宋体"/>
                <w:color w:val="0D0D0D" w:themeColor="text1" w:themeTint="F2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35B3BC51">
            <w:pPr>
              <w:jc w:val="center"/>
              <w:rPr>
                <w:rFonts w:hint="default" w:eastAsia="宋体"/>
                <w:color w:val="0D0D0D" w:themeColor="text1" w:themeTint="F2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1045" w:type="dxa"/>
            <w:vMerge w:val="continue"/>
            <w:vAlign w:val="center"/>
          </w:tcPr>
          <w:p w14:paraId="49812883">
            <w:pPr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00EB4D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571" w:type="dxa"/>
            <w:vMerge w:val="continue"/>
            <w:vAlign w:val="center"/>
          </w:tcPr>
          <w:p w14:paraId="1C17B056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18146137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0AD67FC3">
            <w:pPr>
              <w:adjustRightInd w:val="0"/>
              <w:snapToGrid w:val="0"/>
              <w:rPr>
                <w:rFonts w:hint="eastAsia" w:ascii="Times New Roman" w:hAnsi="Times New Roman" w:eastAsia="宋体" w:cs="Times New Roman"/>
                <w:color w:val="0D0D0D" w:themeColor="text1" w:themeTint="F2"/>
                <w:kern w:val="2"/>
                <w:sz w:val="18"/>
                <w:szCs w:val="18"/>
                <w:highlight w:val="none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 w:ascii="Times New Roman" w:hAnsi="Times New Roman" w:cs="Times New Roman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学科前沿研讨</w:t>
            </w:r>
          </w:p>
        </w:tc>
        <w:tc>
          <w:tcPr>
            <w:tcW w:w="1081" w:type="dxa"/>
            <w:shd w:val="clear" w:color="auto" w:fill="auto"/>
            <w:vAlign w:val="center"/>
          </w:tcPr>
          <w:p w14:paraId="0A4A9091">
            <w:pPr>
              <w:jc w:val="center"/>
              <w:rPr>
                <w:rFonts w:ascii="Times New Roman" w:hAnsi="Times New Roman" w:eastAsia="宋体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1213AE">
            <w:pPr>
              <w:jc w:val="center"/>
              <w:rPr>
                <w:rFonts w:hint="eastAsia" w:ascii="Times New Roman" w:hAnsi="Times New Roman" w:eastAsia="宋体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AB02C58">
            <w:pPr>
              <w:jc w:val="center"/>
              <w:rPr>
                <w:rFonts w:hint="eastAsia" w:ascii="Times New Roman" w:hAnsi="Times New Roman" w:eastAsia="宋体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1045" w:type="dxa"/>
            <w:vMerge w:val="continue"/>
            <w:vAlign w:val="center"/>
          </w:tcPr>
          <w:p w14:paraId="75C79C7B">
            <w:pPr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5A3DEB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571" w:type="dxa"/>
            <w:vMerge w:val="continue"/>
            <w:vAlign w:val="center"/>
          </w:tcPr>
          <w:p w14:paraId="7881DEFD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4A38A6EF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16" w:type="dxa"/>
            <w:vAlign w:val="center"/>
          </w:tcPr>
          <w:p w14:paraId="0F72C663">
            <w:pPr>
              <w:adjustRightInd w:val="0"/>
              <w:snapToGrid w:val="0"/>
              <w:rPr>
                <w:rFonts w:hint="eastAsia" w:ascii="Times New Roman" w:hAnsi="Times New Roman" w:cs="Times New Roman"/>
                <w:color w:val="0D0D0D" w:themeColor="text1" w:themeTint="F2"/>
                <w:sz w:val="18"/>
                <w:szCs w:val="18"/>
                <w:highlight w:val="none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18"/>
                <w:szCs w:val="18"/>
                <w:highlight w:val="none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文献分析报告</w:t>
            </w:r>
          </w:p>
        </w:tc>
        <w:tc>
          <w:tcPr>
            <w:tcW w:w="1081" w:type="dxa"/>
            <w:vAlign w:val="center"/>
          </w:tcPr>
          <w:p w14:paraId="11D1A8BD">
            <w:pPr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608DF420">
            <w:pPr>
              <w:jc w:val="center"/>
              <w:rPr>
                <w:rFonts w:hint="eastAsia" w:eastAsia="宋体"/>
                <w:color w:val="0D0D0D" w:themeColor="text1" w:themeTint="F2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73815E02">
            <w:pPr>
              <w:jc w:val="center"/>
              <w:rPr>
                <w:rFonts w:hint="default"/>
                <w:color w:val="0D0D0D" w:themeColor="text1" w:themeTint="F2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</w:t>
            </w:r>
          </w:p>
        </w:tc>
        <w:tc>
          <w:tcPr>
            <w:tcW w:w="1045" w:type="dxa"/>
            <w:vMerge w:val="continue"/>
            <w:vAlign w:val="center"/>
          </w:tcPr>
          <w:p w14:paraId="7D92EF32">
            <w:pPr>
              <w:jc w:val="center"/>
              <w:rPr>
                <w:rFonts w:hint="eastAsia"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77D9C6C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2BAFB5F6">
            <w:pP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692AB34E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学术训练</w:t>
            </w:r>
          </w:p>
        </w:tc>
        <w:tc>
          <w:tcPr>
            <w:tcW w:w="3516" w:type="dxa"/>
            <w:shd w:val="clear" w:color="auto" w:fill="auto"/>
            <w:vAlign w:val="center"/>
          </w:tcPr>
          <w:p w14:paraId="51DFD083">
            <w:pPr>
              <w:rPr>
                <w:rFonts w:ascii="Times New Roman" w:hAnsi="Times New Roman" w:eastAsia="宋体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中期筛选</w:t>
            </w:r>
          </w:p>
        </w:tc>
        <w:tc>
          <w:tcPr>
            <w:tcW w:w="1081" w:type="dxa"/>
            <w:vAlign w:val="center"/>
          </w:tcPr>
          <w:p w14:paraId="7FC8939C">
            <w:pPr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3114E7E6">
            <w:pPr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5BAF6C47">
            <w:pPr>
              <w:jc w:val="center"/>
              <w:rPr>
                <w:rFonts w:hint="default"/>
                <w:color w:val="0D0D0D" w:themeColor="text1" w:themeTint="F2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2-3</w:t>
            </w:r>
          </w:p>
        </w:tc>
        <w:tc>
          <w:tcPr>
            <w:tcW w:w="1045" w:type="dxa"/>
            <w:vMerge w:val="restart"/>
            <w:vAlign w:val="center"/>
          </w:tcPr>
          <w:p w14:paraId="6BB51AA4">
            <w:pPr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过程管理</w:t>
            </w:r>
          </w:p>
          <w:p w14:paraId="68B95E7B">
            <w:pPr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无学分</w:t>
            </w:r>
          </w:p>
        </w:tc>
      </w:tr>
      <w:tr w14:paraId="4C85C88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5B256351">
            <w:pP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2A0246A3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39C03E6F">
            <w:pPr>
              <w:rPr>
                <w:rFonts w:ascii="Times New Roman" w:hAnsi="Times New Roman" w:eastAsia="宋体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论文开题</w:t>
            </w:r>
          </w:p>
        </w:tc>
        <w:tc>
          <w:tcPr>
            <w:tcW w:w="1081" w:type="dxa"/>
            <w:vAlign w:val="center"/>
          </w:tcPr>
          <w:p w14:paraId="18CE340A">
            <w:pPr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110D3459">
            <w:pPr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50E888E6">
            <w:pPr>
              <w:jc w:val="center"/>
              <w:rPr>
                <w:rFonts w:hint="default"/>
                <w:color w:val="0D0D0D" w:themeColor="text1" w:themeTint="F2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3-4</w:t>
            </w:r>
          </w:p>
        </w:tc>
        <w:tc>
          <w:tcPr>
            <w:tcW w:w="1045" w:type="dxa"/>
            <w:vMerge w:val="continue"/>
            <w:vAlign w:val="center"/>
          </w:tcPr>
          <w:p w14:paraId="74700302">
            <w:pPr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35F2A0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157A7328">
            <w:pP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79091141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12BD2631">
            <w:pPr>
              <w:rPr>
                <w:rFonts w:ascii="Times New Roman" w:hAnsi="Times New Roman" w:eastAsia="宋体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论文中期进展报告</w:t>
            </w:r>
          </w:p>
        </w:tc>
        <w:tc>
          <w:tcPr>
            <w:tcW w:w="1081" w:type="dxa"/>
            <w:vAlign w:val="center"/>
          </w:tcPr>
          <w:p w14:paraId="6B9C88A5">
            <w:pPr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56F78DCC">
            <w:pPr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6566B84F">
            <w:pPr>
              <w:jc w:val="center"/>
              <w:rPr>
                <w:rFonts w:hint="eastAsia"/>
                <w:color w:val="0D0D0D" w:themeColor="text1" w:themeTint="F2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5</w:t>
            </w:r>
          </w:p>
        </w:tc>
        <w:tc>
          <w:tcPr>
            <w:tcW w:w="1045" w:type="dxa"/>
            <w:vMerge w:val="continue"/>
          </w:tcPr>
          <w:p w14:paraId="5AFFFBC5">
            <w:pPr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585DD15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7282866E">
            <w:pPr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continue"/>
            <w:vAlign w:val="center"/>
          </w:tcPr>
          <w:p w14:paraId="0B10515A">
            <w:pPr>
              <w:jc w:val="center"/>
              <w:rPr>
                <w:b/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146C29CF">
            <w:pPr>
              <w:rPr>
                <w:rFonts w:ascii="Times New Roman" w:hAnsi="Times New Roman" w:eastAsia="宋体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论文预答辩</w:t>
            </w:r>
          </w:p>
        </w:tc>
        <w:tc>
          <w:tcPr>
            <w:tcW w:w="1081" w:type="dxa"/>
            <w:vAlign w:val="center"/>
          </w:tcPr>
          <w:p w14:paraId="6B531359">
            <w:pPr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6470890B">
            <w:pPr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425801CC">
            <w:pPr>
              <w:jc w:val="center"/>
              <w:rPr>
                <w:rFonts w:hint="default"/>
                <w:color w:val="0D0D0D" w:themeColor="text1" w:themeTint="F2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8</w:t>
            </w:r>
          </w:p>
        </w:tc>
        <w:tc>
          <w:tcPr>
            <w:tcW w:w="1045" w:type="dxa"/>
            <w:vMerge w:val="continue"/>
          </w:tcPr>
          <w:p w14:paraId="2950BE60">
            <w:pPr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3EAE32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5EC58021">
            <w:pP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1C774221">
            <w:pPr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7EE860F3">
            <w:pPr>
              <w:rPr>
                <w:rFonts w:ascii="Times New Roman" w:hAnsi="Times New Roman" w:eastAsia="宋体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论文评审</w:t>
            </w:r>
          </w:p>
        </w:tc>
        <w:tc>
          <w:tcPr>
            <w:tcW w:w="1081" w:type="dxa"/>
            <w:vAlign w:val="center"/>
          </w:tcPr>
          <w:p w14:paraId="22531917">
            <w:pPr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5438CAE6">
            <w:pPr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4996A1C6">
            <w:pPr>
              <w:jc w:val="center"/>
              <w:rPr>
                <w:rFonts w:hint="eastAsia"/>
                <w:color w:val="0D0D0D" w:themeColor="text1" w:themeTint="F2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8</w:t>
            </w:r>
          </w:p>
        </w:tc>
        <w:tc>
          <w:tcPr>
            <w:tcW w:w="1045" w:type="dxa"/>
            <w:vMerge w:val="continue"/>
          </w:tcPr>
          <w:p w14:paraId="1D9B178D">
            <w:pPr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  <w:tr w14:paraId="734600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1" w:type="dxa"/>
            <w:vMerge w:val="continue"/>
          </w:tcPr>
          <w:p w14:paraId="7DADA70F">
            <w:pP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1226" w:type="dxa"/>
            <w:vMerge w:val="continue"/>
          </w:tcPr>
          <w:p w14:paraId="0A4487A1">
            <w:pPr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3516" w:type="dxa"/>
            <w:shd w:val="clear" w:color="auto" w:fill="auto"/>
            <w:vAlign w:val="center"/>
          </w:tcPr>
          <w:p w14:paraId="27C2CABA">
            <w:pPr>
              <w:rPr>
                <w:rFonts w:ascii="Times New Roman" w:hAnsi="Times New Roman" w:eastAsia="宋体" w:cs="Times New Roman"/>
                <w:color w:val="0D0D0D" w:themeColor="text1" w:themeTint="F2"/>
                <w:kern w:val="2"/>
                <w:sz w:val="18"/>
                <w:szCs w:val="18"/>
                <w:lang w:val="en-US" w:eastAsia="zh-CN" w:bidi="ar-SA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论文答辩</w:t>
            </w:r>
          </w:p>
        </w:tc>
        <w:tc>
          <w:tcPr>
            <w:tcW w:w="1081" w:type="dxa"/>
            <w:vAlign w:val="center"/>
          </w:tcPr>
          <w:p w14:paraId="6882241B">
            <w:pPr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61DAFBBA">
            <w:pPr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  <w:tc>
          <w:tcPr>
            <w:tcW w:w="709" w:type="dxa"/>
            <w:vAlign w:val="center"/>
          </w:tcPr>
          <w:p w14:paraId="34A2134A">
            <w:pPr>
              <w:jc w:val="center"/>
              <w:rPr>
                <w:rFonts w:hint="eastAsia"/>
                <w:color w:val="0D0D0D" w:themeColor="text1" w:themeTint="F2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  <w:r>
              <w:rPr>
                <w:rFonts w:hint="eastAsia"/>
                <w:color w:val="0D0D0D" w:themeColor="text1" w:themeTint="F2"/>
                <w:sz w:val="18"/>
                <w:szCs w:val="18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8</w:t>
            </w:r>
          </w:p>
        </w:tc>
        <w:tc>
          <w:tcPr>
            <w:tcW w:w="1045" w:type="dxa"/>
            <w:vMerge w:val="continue"/>
          </w:tcPr>
          <w:p w14:paraId="12C22C3E">
            <w:pPr>
              <w:jc w:val="center"/>
              <w:rPr>
                <w:color w:val="0D0D0D" w:themeColor="text1" w:themeTint="F2"/>
                <w:sz w:val="18"/>
                <w:szCs w:val="18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</w:pPr>
          </w:p>
        </w:tc>
      </w:tr>
    </w:tbl>
    <w:p w14:paraId="28EBB0C9">
      <w:pPr>
        <w:spacing w:line="440" w:lineRule="exact"/>
        <w:ind w:firstLine="480" w:firstLineChars="200"/>
        <w:rPr>
          <w:rFonts w:eastAsiaTheme="minorEastAsia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eastAsiaTheme="minorEastAsia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*公共外语课程按入学时的外国语考试科目修读相关语种。</w:t>
      </w:r>
    </w:p>
    <w:p w14:paraId="1FB5B39D">
      <w:pPr>
        <w:spacing w:line="440" w:lineRule="exact"/>
        <w:ind w:firstLine="560" w:firstLineChars="200"/>
        <w:rPr>
          <w:rFonts w:eastAsia="黑体"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eastAsia="黑体"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十</w:t>
      </w:r>
      <w:r>
        <w:rPr>
          <w:rFonts w:hint="eastAsia" w:eastAsia="黑体"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三</w:t>
      </w:r>
      <w:r>
        <w:rPr>
          <w:rFonts w:eastAsia="黑体"/>
          <w:bCs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、其他需要说明事项</w:t>
      </w:r>
    </w:p>
    <w:p w14:paraId="1E4A4F1F">
      <w:pPr>
        <w:spacing w:line="440" w:lineRule="exact"/>
        <w:ind w:firstLine="480" w:firstLineChars="200"/>
        <w:rPr>
          <w:rFonts w:eastAsiaTheme="minorEastAsia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eastAsiaTheme="minorEastAsia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1. 非学位课中的方向选修课模块由各培养单位自行设置，并给出具体选修学分要求。</w:t>
      </w:r>
    </w:p>
    <w:p w14:paraId="12041C9B">
      <w:pPr>
        <w:spacing w:line="440" w:lineRule="exact"/>
        <w:ind w:firstLine="480" w:firstLineChars="200"/>
        <w:rPr>
          <w:rFonts w:eastAsiaTheme="minorEastAsia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eastAsiaTheme="minorEastAsia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2. 毕业总学分：</w:t>
      </w:r>
      <w:r>
        <w:rPr>
          <w:rFonts w:hint="eastAsia" w:eastAsiaTheme="minorEastAsia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学位课</w:t>
      </w:r>
      <w:r>
        <w:rPr>
          <w:rFonts w:eastAsiaTheme="minorEastAsia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+</w:t>
      </w:r>
      <w:r>
        <w:rPr>
          <w:rFonts w:hint="eastAsia" w:eastAsiaTheme="minorEastAsia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非学位课</w:t>
      </w:r>
      <w:r>
        <w:rPr>
          <w:rFonts w:eastAsiaTheme="minorEastAsia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+必修环节。</w:t>
      </w:r>
    </w:p>
    <w:p w14:paraId="764B5722">
      <w:pPr>
        <w:ind w:left="321" w:leftChars="153" w:right="227"/>
        <w:jc w:val="center"/>
        <w:rPr>
          <w:rFonts w:eastAsia="黑体"/>
          <w:b/>
          <w:bCs/>
          <w:i/>
          <w:color w:val="0D0D0D" w:themeColor="text1" w:themeTint="F2"/>
          <w:sz w:val="36"/>
          <w:szCs w:val="36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 w14:paraId="3F1EA07C">
      <w:pPr>
        <w:spacing w:line="440" w:lineRule="exact"/>
        <w:ind w:firstLine="480" w:firstLineChars="200"/>
        <w:rPr>
          <w:rFonts w:eastAsia="黑体"/>
          <w:bCs/>
          <w:color w:val="0D0D0D" w:themeColor="text1" w:themeTint="F2"/>
          <w:sz w:val="24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sectPr>
      <w:pgSz w:w="11906" w:h="16838"/>
      <w:pgMar w:top="1418" w:right="1418" w:bottom="1247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Georgia">
    <w:panose1 w:val="02040502050405020303"/>
    <w:charset w:val="00"/>
    <w:family w:val="roman"/>
    <w:pitch w:val="default"/>
    <w:sig w:usb0="00000287" w:usb1="00000000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B0B"/>
    <w:rsid w:val="00000F48"/>
    <w:rsid w:val="000017BB"/>
    <w:rsid w:val="00002A1A"/>
    <w:rsid w:val="00003AB1"/>
    <w:rsid w:val="000045F0"/>
    <w:rsid w:val="00004834"/>
    <w:rsid w:val="000051FF"/>
    <w:rsid w:val="00005540"/>
    <w:rsid w:val="00005A23"/>
    <w:rsid w:val="00006E04"/>
    <w:rsid w:val="0000780D"/>
    <w:rsid w:val="00011169"/>
    <w:rsid w:val="00011E8C"/>
    <w:rsid w:val="00012EFE"/>
    <w:rsid w:val="0001365A"/>
    <w:rsid w:val="000136E9"/>
    <w:rsid w:val="00013F55"/>
    <w:rsid w:val="00015266"/>
    <w:rsid w:val="000154B5"/>
    <w:rsid w:val="00015E88"/>
    <w:rsid w:val="000165A8"/>
    <w:rsid w:val="0002007B"/>
    <w:rsid w:val="000229B8"/>
    <w:rsid w:val="000253FB"/>
    <w:rsid w:val="0002553A"/>
    <w:rsid w:val="00025715"/>
    <w:rsid w:val="00025D34"/>
    <w:rsid w:val="000266E2"/>
    <w:rsid w:val="00026ED3"/>
    <w:rsid w:val="00026F8F"/>
    <w:rsid w:val="00027376"/>
    <w:rsid w:val="000312C8"/>
    <w:rsid w:val="00031719"/>
    <w:rsid w:val="00031B61"/>
    <w:rsid w:val="00032C19"/>
    <w:rsid w:val="0003428C"/>
    <w:rsid w:val="00034692"/>
    <w:rsid w:val="00035A07"/>
    <w:rsid w:val="0003630A"/>
    <w:rsid w:val="0003798D"/>
    <w:rsid w:val="00037AC5"/>
    <w:rsid w:val="0004067E"/>
    <w:rsid w:val="000420E7"/>
    <w:rsid w:val="00042271"/>
    <w:rsid w:val="00042ED8"/>
    <w:rsid w:val="0004377A"/>
    <w:rsid w:val="0004455C"/>
    <w:rsid w:val="000445C9"/>
    <w:rsid w:val="0004468A"/>
    <w:rsid w:val="000446F6"/>
    <w:rsid w:val="00044B1B"/>
    <w:rsid w:val="00045490"/>
    <w:rsid w:val="00045566"/>
    <w:rsid w:val="000462ED"/>
    <w:rsid w:val="00046784"/>
    <w:rsid w:val="00046EFF"/>
    <w:rsid w:val="00047780"/>
    <w:rsid w:val="00050525"/>
    <w:rsid w:val="000517AD"/>
    <w:rsid w:val="0005309E"/>
    <w:rsid w:val="00053173"/>
    <w:rsid w:val="00054712"/>
    <w:rsid w:val="00054F25"/>
    <w:rsid w:val="00060C9E"/>
    <w:rsid w:val="00060E5A"/>
    <w:rsid w:val="00061443"/>
    <w:rsid w:val="00061DCD"/>
    <w:rsid w:val="000627FF"/>
    <w:rsid w:val="00065525"/>
    <w:rsid w:val="00065668"/>
    <w:rsid w:val="00065862"/>
    <w:rsid w:val="00067DA2"/>
    <w:rsid w:val="00070FB5"/>
    <w:rsid w:val="00073226"/>
    <w:rsid w:val="000773B4"/>
    <w:rsid w:val="000777E4"/>
    <w:rsid w:val="00080077"/>
    <w:rsid w:val="0008043C"/>
    <w:rsid w:val="000808AC"/>
    <w:rsid w:val="000819A1"/>
    <w:rsid w:val="00081ED3"/>
    <w:rsid w:val="00082A32"/>
    <w:rsid w:val="000846F8"/>
    <w:rsid w:val="00084EE7"/>
    <w:rsid w:val="00085ED4"/>
    <w:rsid w:val="000865C0"/>
    <w:rsid w:val="00086A2D"/>
    <w:rsid w:val="000877D8"/>
    <w:rsid w:val="00087BB6"/>
    <w:rsid w:val="000903CF"/>
    <w:rsid w:val="00091106"/>
    <w:rsid w:val="00093E55"/>
    <w:rsid w:val="00094EF5"/>
    <w:rsid w:val="00095FAE"/>
    <w:rsid w:val="000A0C3E"/>
    <w:rsid w:val="000A1577"/>
    <w:rsid w:val="000A1769"/>
    <w:rsid w:val="000A227E"/>
    <w:rsid w:val="000A422B"/>
    <w:rsid w:val="000A46F4"/>
    <w:rsid w:val="000A47A2"/>
    <w:rsid w:val="000A48BC"/>
    <w:rsid w:val="000A59A1"/>
    <w:rsid w:val="000A5AEB"/>
    <w:rsid w:val="000A6B0F"/>
    <w:rsid w:val="000A6FBD"/>
    <w:rsid w:val="000A7196"/>
    <w:rsid w:val="000A73F2"/>
    <w:rsid w:val="000A7E9B"/>
    <w:rsid w:val="000B10CA"/>
    <w:rsid w:val="000B1176"/>
    <w:rsid w:val="000B3404"/>
    <w:rsid w:val="000B36CF"/>
    <w:rsid w:val="000B3A32"/>
    <w:rsid w:val="000B3F63"/>
    <w:rsid w:val="000B4084"/>
    <w:rsid w:val="000B596C"/>
    <w:rsid w:val="000B5B40"/>
    <w:rsid w:val="000C1C39"/>
    <w:rsid w:val="000C1DF1"/>
    <w:rsid w:val="000C229D"/>
    <w:rsid w:val="000C684D"/>
    <w:rsid w:val="000C7109"/>
    <w:rsid w:val="000C7B56"/>
    <w:rsid w:val="000D0856"/>
    <w:rsid w:val="000D0CA9"/>
    <w:rsid w:val="000D21C4"/>
    <w:rsid w:val="000D2324"/>
    <w:rsid w:val="000D3BAB"/>
    <w:rsid w:val="000D3D52"/>
    <w:rsid w:val="000D41D0"/>
    <w:rsid w:val="000D6149"/>
    <w:rsid w:val="000D6CC0"/>
    <w:rsid w:val="000D6CD9"/>
    <w:rsid w:val="000D71B2"/>
    <w:rsid w:val="000E0380"/>
    <w:rsid w:val="000E2728"/>
    <w:rsid w:val="000E51AE"/>
    <w:rsid w:val="000E5229"/>
    <w:rsid w:val="000E58F5"/>
    <w:rsid w:val="000F12FD"/>
    <w:rsid w:val="000F21F3"/>
    <w:rsid w:val="000F238B"/>
    <w:rsid w:val="000F2DCE"/>
    <w:rsid w:val="000F2E11"/>
    <w:rsid w:val="000F3134"/>
    <w:rsid w:val="000F335A"/>
    <w:rsid w:val="000F3809"/>
    <w:rsid w:val="000F4E87"/>
    <w:rsid w:val="001004D8"/>
    <w:rsid w:val="00100A1C"/>
    <w:rsid w:val="001015A9"/>
    <w:rsid w:val="00101F57"/>
    <w:rsid w:val="00104300"/>
    <w:rsid w:val="00104B89"/>
    <w:rsid w:val="00104BB1"/>
    <w:rsid w:val="0010579B"/>
    <w:rsid w:val="00105E20"/>
    <w:rsid w:val="001101F5"/>
    <w:rsid w:val="00110577"/>
    <w:rsid w:val="00110911"/>
    <w:rsid w:val="00110D6C"/>
    <w:rsid w:val="00111BCA"/>
    <w:rsid w:val="0011294E"/>
    <w:rsid w:val="00112E68"/>
    <w:rsid w:val="00113B61"/>
    <w:rsid w:val="00114345"/>
    <w:rsid w:val="00115E4B"/>
    <w:rsid w:val="00116DAF"/>
    <w:rsid w:val="00116ED7"/>
    <w:rsid w:val="0011773A"/>
    <w:rsid w:val="00117E96"/>
    <w:rsid w:val="00120046"/>
    <w:rsid w:val="001200D3"/>
    <w:rsid w:val="001201FC"/>
    <w:rsid w:val="00123074"/>
    <w:rsid w:val="001252CE"/>
    <w:rsid w:val="0012572F"/>
    <w:rsid w:val="00127001"/>
    <w:rsid w:val="00127186"/>
    <w:rsid w:val="0012727D"/>
    <w:rsid w:val="001305B0"/>
    <w:rsid w:val="00130B1A"/>
    <w:rsid w:val="0013275E"/>
    <w:rsid w:val="0013293E"/>
    <w:rsid w:val="0013294F"/>
    <w:rsid w:val="001330A5"/>
    <w:rsid w:val="00133EFF"/>
    <w:rsid w:val="00134042"/>
    <w:rsid w:val="001340D6"/>
    <w:rsid w:val="001340EE"/>
    <w:rsid w:val="001342C9"/>
    <w:rsid w:val="0013523E"/>
    <w:rsid w:val="00135DD4"/>
    <w:rsid w:val="00136E0A"/>
    <w:rsid w:val="0014145D"/>
    <w:rsid w:val="00141A90"/>
    <w:rsid w:val="00141C03"/>
    <w:rsid w:val="00141D33"/>
    <w:rsid w:val="00142AE5"/>
    <w:rsid w:val="001434A0"/>
    <w:rsid w:val="0014508B"/>
    <w:rsid w:val="001452F2"/>
    <w:rsid w:val="00150EC3"/>
    <w:rsid w:val="001513DE"/>
    <w:rsid w:val="001519AB"/>
    <w:rsid w:val="00153B3C"/>
    <w:rsid w:val="001548B0"/>
    <w:rsid w:val="001559E7"/>
    <w:rsid w:val="00155AAE"/>
    <w:rsid w:val="001566EB"/>
    <w:rsid w:val="00156DDA"/>
    <w:rsid w:val="00160DA3"/>
    <w:rsid w:val="0016181D"/>
    <w:rsid w:val="00162151"/>
    <w:rsid w:val="00162801"/>
    <w:rsid w:val="0016284B"/>
    <w:rsid w:val="00163A5C"/>
    <w:rsid w:val="00165D55"/>
    <w:rsid w:val="00166596"/>
    <w:rsid w:val="00167C56"/>
    <w:rsid w:val="00171332"/>
    <w:rsid w:val="001715BD"/>
    <w:rsid w:val="00172299"/>
    <w:rsid w:val="0017260D"/>
    <w:rsid w:val="00172DEF"/>
    <w:rsid w:val="00173690"/>
    <w:rsid w:val="00173BBC"/>
    <w:rsid w:val="00174672"/>
    <w:rsid w:val="001749C9"/>
    <w:rsid w:val="00175F90"/>
    <w:rsid w:val="00175FDB"/>
    <w:rsid w:val="0017600D"/>
    <w:rsid w:val="001770BE"/>
    <w:rsid w:val="001774C8"/>
    <w:rsid w:val="00181B98"/>
    <w:rsid w:val="001827EC"/>
    <w:rsid w:val="00190742"/>
    <w:rsid w:val="0019270C"/>
    <w:rsid w:val="00192C94"/>
    <w:rsid w:val="00192FFB"/>
    <w:rsid w:val="00193EB1"/>
    <w:rsid w:val="001944A6"/>
    <w:rsid w:val="00194BD6"/>
    <w:rsid w:val="00196101"/>
    <w:rsid w:val="0019611A"/>
    <w:rsid w:val="00196623"/>
    <w:rsid w:val="00196830"/>
    <w:rsid w:val="00196F50"/>
    <w:rsid w:val="00197D7B"/>
    <w:rsid w:val="001A0657"/>
    <w:rsid w:val="001A567C"/>
    <w:rsid w:val="001A6029"/>
    <w:rsid w:val="001A7229"/>
    <w:rsid w:val="001A78CF"/>
    <w:rsid w:val="001B0D85"/>
    <w:rsid w:val="001B2A51"/>
    <w:rsid w:val="001B30C4"/>
    <w:rsid w:val="001B465A"/>
    <w:rsid w:val="001B4FF4"/>
    <w:rsid w:val="001B62AC"/>
    <w:rsid w:val="001B66AF"/>
    <w:rsid w:val="001C2996"/>
    <w:rsid w:val="001C30DC"/>
    <w:rsid w:val="001C45C2"/>
    <w:rsid w:val="001C481C"/>
    <w:rsid w:val="001C5480"/>
    <w:rsid w:val="001C6211"/>
    <w:rsid w:val="001C7066"/>
    <w:rsid w:val="001C752D"/>
    <w:rsid w:val="001D1C64"/>
    <w:rsid w:val="001D1E43"/>
    <w:rsid w:val="001D2313"/>
    <w:rsid w:val="001D28BB"/>
    <w:rsid w:val="001D3EA6"/>
    <w:rsid w:val="001D45FC"/>
    <w:rsid w:val="001D599A"/>
    <w:rsid w:val="001D621F"/>
    <w:rsid w:val="001D690F"/>
    <w:rsid w:val="001D6A65"/>
    <w:rsid w:val="001D78A6"/>
    <w:rsid w:val="001D7AE8"/>
    <w:rsid w:val="001E0FD8"/>
    <w:rsid w:val="001E149A"/>
    <w:rsid w:val="001E1523"/>
    <w:rsid w:val="001E173F"/>
    <w:rsid w:val="001E2472"/>
    <w:rsid w:val="001E339C"/>
    <w:rsid w:val="001E47AA"/>
    <w:rsid w:val="001E4A22"/>
    <w:rsid w:val="001E5492"/>
    <w:rsid w:val="001E57D0"/>
    <w:rsid w:val="001F03A6"/>
    <w:rsid w:val="001F0AE0"/>
    <w:rsid w:val="001F11BA"/>
    <w:rsid w:val="001F1A8A"/>
    <w:rsid w:val="001F1F2E"/>
    <w:rsid w:val="001F1F8B"/>
    <w:rsid w:val="001F2B47"/>
    <w:rsid w:val="001F431F"/>
    <w:rsid w:val="001F5B93"/>
    <w:rsid w:val="001F61D1"/>
    <w:rsid w:val="001F65A4"/>
    <w:rsid w:val="00200099"/>
    <w:rsid w:val="00200505"/>
    <w:rsid w:val="00202151"/>
    <w:rsid w:val="0020278D"/>
    <w:rsid w:val="002027B9"/>
    <w:rsid w:val="00202B64"/>
    <w:rsid w:val="00202C05"/>
    <w:rsid w:val="00202D87"/>
    <w:rsid w:val="002036EE"/>
    <w:rsid w:val="00203900"/>
    <w:rsid w:val="00204685"/>
    <w:rsid w:val="002056DB"/>
    <w:rsid w:val="00205814"/>
    <w:rsid w:val="00206236"/>
    <w:rsid w:val="00206FD9"/>
    <w:rsid w:val="002072D0"/>
    <w:rsid w:val="002106EB"/>
    <w:rsid w:val="002120B8"/>
    <w:rsid w:val="002120E9"/>
    <w:rsid w:val="00212267"/>
    <w:rsid w:val="00215A41"/>
    <w:rsid w:val="0021662C"/>
    <w:rsid w:val="00216D4F"/>
    <w:rsid w:val="00217554"/>
    <w:rsid w:val="00217A8B"/>
    <w:rsid w:val="0022264F"/>
    <w:rsid w:val="00222A5E"/>
    <w:rsid w:val="002231B6"/>
    <w:rsid w:val="002249A4"/>
    <w:rsid w:val="00226F23"/>
    <w:rsid w:val="0023080B"/>
    <w:rsid w:val="002309EB"/>
    <w:rsid w:val="00230D9E"/>
    <w:rsid w:val="002311D2"/>
    <w:rsid w:val="00231C36"/>
    <w:rsid w:val="00232528"/>
    <w:rsid w:val="002325BF"/>
    <w:rsid w:val="00234212"/>
    <w:rsid w:val="002344D2"/>
    <w:rsid w:val="00234A5A"/>
    <w:rsid w:val="00235208"/>
    <w:rsid w:val="002356C5"/>
    <w:rsid w:val="00236353"/>
    <w:rsid w:val="00236568"/>
    <w:rsid w:val="00236AF5"/>
    <w:rsid w:val="002379CB"/>
    <w:rsid w:val="0024086B"/>
    <w:rsid w:val="00240DCC"/>
    <w:rsid w:val="002417EA"/>
    <w:rsid w:val="002419A5"/>
    <w:rsid w:val="002421DE"/>
    <w:rsid w:val="0024310F"/>
    <w:rsid w:val="00247400"/>
    <w:rsid w:val="002477E4"/>
    <w:rsid w:val="0025208A"/>
    <w:rsid w:val="00252753"/>
    <w:rsid w:val="0025480C"/>
    <w:rsid w:val="00254838"/>
    <w:rsid w:val="00255288"/>
    <w:rsid w:val="002558BC"/>
    <w:rsid w:val="00257241"/>
    <w:rsid w:val="002573A9"/>
    <w:rsid w:val="00260797"/>
    <w:rsid w:val="00260E68"/>
    <w:rsid w:val="002636A1"/>
    <w:rsid w:val="0026401B"/>
    <w:rsid w:val="00265C89"/>
    <w:rsid w:val="00265F6A"/>
    <w:rsid w:val="002661C1"/>
    <w:rsid w:val="002666C6"/>
    <w:rsid w:val="00266F5D"/>
    <w:rsid w:val="00267515"/>
    <w:rsid w:val="00274D29"/>
    <w:rsid w:val="00277EA4"/>
    <w:rsid w:val="002801E8"/>
    <w:rsid w:val="00281891"/>
    <w:rsid w:val="002819AD"/>
    <w:rsid w:val="00281A0D"/>
    <w:rsid w:val="00281AB7"/>
    <w:rsid w:val="0028271C"/>
    <w:rsid w:val="0028441E"/>
    <w:rsid w:val="00290488"/>
    <w:rsid w:val="00290F6D"/>
    <w:rsid w:val="00291095"/>
    <w:rsid w:val="00292687"/>
    <w:rsid w:val="0029299A"/>
    <w:rsid w:val="002930F5"/>
    <w:rsid w:val="00293466"/>
    <w:rsid w:val="00293784"/>
    <w:rsid w:val="00293972"/>
    <w:rsid w:val="00295013"/>
    <w:rsid w:val="002950C9"/>
    <w:rsid w:val="002956DA"/>
    <w:rsid w:val="00296D8B"/>
    <w:rsid w:val="002A112F"/>
    <w:rsid w:val="002A159F"/>
    <w:rsid w:val="002A2616"/>
    <w:rsid w:val="002A5F35"/>
    <w:rsid w:val="002A71B9"/>
    <w:rsid w:val="002A7921"/>
    <w:rsid w:val="002B0A99"/>
    <w:rsid w:val="002B293A"/>
    <w:rsid w:val="002B2A1B"/>
    <w:rsid w:val="002B3394"/>
    <w:rsid w:val="002B5583"/>
    <w:rsid w:val="002B63CC"/>
    <w:rsid w:val="002B72BE"/>
    <w:rsid w:val="002B7EFB"/>
    <w:rsid w:val="002C0D99"/>
    <w:rsid w:val="002C10F7"/>
    <w:rsid w:val="002C27CC"/>
    <w:rsid w:val="002C44BA"/>
    <w:rsid w:val="002C4D22"/>
    <w:rsid w:val="002C531D"/>
    <w:rsid w:val="002C5839"/>
    <w:rsid w:val="002C5D7C"/>
    <w:rsid w:val="002C68F2"/>
    <w:rsid w:val="002C6CF4"/>
    <w:rsid w:val="002C7D60"/>
    <w:rsid w:val="002D2E9E"/>
    <w:rsid w:val="002D326B"/>
    <w:rsid w:val="002D34C1"/>
    <w:rsid w:val="002D4DCD"/>
    <w:rsid w:val="002D5BB0"/>
    <w:rsid w:val="002D6382"/>
    <w:rsid w:val="002D6BA6"/>
    <w:rsid w:val="002D7162"/>
    <w:rsid w:val="002E22E4"/>
    <w:rsid w:val="002E2365"/>
    <w:rsid w:val="002E2C47"/>
    <w:rsid w:val="002E497F"/>
    <w:rsid w:val="002E51D1"/>
    <w:rsid w:val="002E5BED"/>
    <w:rsid w:val="002E639B"/>
    <w:rsid w:val="002E704A"/>
    <w:rsid w:val="002E716E"/>
    <w:rsid w:val="002E7E9B"/>
    <w:rsid w:val="002E7F9D"/>
    <w:rsid w:val="002F12E0"/>
    <w:rsid w:val="002F2797"/>
    <w:rsid w:val="002F3877"/>
    <w:rsid w:val="002F3C9A"/>
    <w:rsid w:val="002F4122"/>
    <w:rsid w:val="002F417B"/>
    <w:rsid w:val="002F4833"/>
    <w:rsid w:val="002F5579"/>
    <w:rsid w:val="002F6B84"/>
    <w:rsid w:val="002F71E6"/>
    <w:rsid w:val="0030052A"/>
    <w:rsid w:val="003015B0"/>
    <w:rsid w:val="00302150"/>
    <w:rsid w:val="003030A7"/>
    <w:rsid w:val="00305644"/>
    <w:rsid w:val="003056A8"/>
    <w:rsid w:val="00307635"/>
    <w:rsid w:val="0031041D"/>
    <w:rsid w:val="00311DA8"/>
    <w:rsid w:val="003127B0"/>
    <w:rsid w:val="00312822"/>
    <w:rsid w:val="00313F81"/>
    <w:rsid w:val="00314BE3"/>
    <w:rsid w:val="00314D3C"/>
    <w:rsid w:val="00316174"/>
    <w:rsid w:val="0031623B"/>
    <w:rsid w:val="00316326"/>
    <w:rsid w:val="00316470"/>
    <w:rsid w:val="00316817"/>
    <w:rsid w:val="00317FDF"/>
    <w:rsid w:val="00321FD1"/>
    <w:rsid w:val="00322D53"/>
    <w:rsid w:val="00323D0D"/>
    <w:rsid w:val="00325D12"/>
    <w:rsid w:val="003267DB"/>
    <w:rsid w:val="00326A2C"/>
    <w:rsid w:val="003279B0"/>
    <w:rsid w:val="00331123"/>
    <w:rsid w:val="00331B4B"/>
    <w:rsid w:val="00331D3B"/>
    <w:rsid w:val="00332C98"/>
    <w:rsid w:val="00334F71"/>
    <w:rsid w:val="00335BB9"/>
    <w:rsid w:val="00336751"/>
    <w:rsid w:val="00336778"/>
    <w:rsid w:val="003374FD"/>
    <w:rsid w:val="00337DD6"/>
    <w:rsid w:val="003416AA"/>
    <w:rsid w:val="003416BC"/>
    <w:rsid w:val="00345BF6"/>
    <w:rsid w:val="00350E12"/>
    <w:rsid w:val="00351789"/>
    <w:rsid w:val="00352485"/>
    <w:rsid w:val="00352525"/>
    <w:rsid w:val="003539D7"/>
    <w:rsid w:val="00353D6B"/>
    <w:rsid w:val="003617F2"/>
    <w:rsid w:val="00361966"/>
    <w:rsid w:val="00362BF4"/>
    <w:rsid w:val="00364D73"/>
    <w:rsid w:val="00367064"/>
    <w:rsid w:val="00371E5D"/>
    <w:rsid w:val="00371F36"/>
    <w:rsid w:val="00372023"/>
    <w:rsid w:val="00374191"/>
    <w:rsid w:val="0037679D"/>
    <w:rsid w:val="00376F53"/>
    <w:rsid w:val="003825C6"/>
    <w:rsid w:val="00382F33"/>
    <w:rsid w:val="00383F4C"/>
    <w:rsid w:val="00383FF4"/>
    <w:rsid w:val="00384607"/>
    <w:rsid w:val="00386FF4"/>
    <w:rsid w:val="00387621"/>
    <w:rsid w:val="0039122B"/>
    <w:rsid w:val="003916C3"/>
    <w:rsid w:val="0039293A"/>
    <w:rsid w:val="00392FBD"/>
    <w:rsid w:val="00393220"/>
    <w:rsid w:val="00397184"/>
    <w:rsid w:val="003A0041"/>
    <w:rsid w:val="003A1028"/>
    <w:rsid w:val="003A3458"/>
    <w:rsid w:val="003A42FD"/>
    <w:rsid w:val="003A4D10"/>
    <w:rsid w:val="003A562E"/>
    <w:rsid w:val="003A59AE"/>
    <w:rsid w:val="003A62E4"/>
    <w:rsid w:val="003A6828"/>
    <w:rsid w:val="003A6BA2"/>
    <w:rsid w:val="003A7FDB"/>
    <w:rsid w:val="003B02F6"/>
    <w:rsid w:val="003B11EC"/>
    <w:rsid w:val="003B1809"/>
    <w:rsid w:val="003B1C29"/>
    <w:rsid w:val="003B21FD"/>
    <w:rsid w:val="003B38C6"/>
    <w:rsid w:val="003B3945"/>
    <w:rsid w:val="003B50B1"/>
    <w:rsid w:val="003B5EF2"/>
    <w:rsid w:val="003B5FCD"/>
    <w:rsid w:val="003B765B"/>
    <w:rsid w:val="003C1B16"/>
    <w:rsid w:val="003C2368"/>
    <w:rsid w:val="003C2B6F"/>
    <w:rsid w:val="003C3387"/>
    <w:rsid w:val="003C43AE"/>
    <w:rsid w:val="003C4CF4"/>
    <w:rsid w:val="003C4F53"/>
    <w:rsid w:val="003C5F9F"/>
    <w:rsid w:val="003D13E5"/>
    <w:rsid w:val="003D1899"/>
    <w:rsid w:val="003D18A7"/>
    <w:rsid w:val="003D354D"/>
    <w:rsid w:val="003D35E3"/>
    <w:rsid w:val="003D3974"/>
    <w:rsid w:val="003D3996"/>
    <w:rsid w:val="003D3BD9"/>
    <w:rsid w:val="003D51E0"/>
    <w:rsid w:val="003D7A97"/>
    <w:rsid w:val="003E0503"/>
    <w:rsid w:val="003E1FE7"/>
    <w:rsid w:val="003E42F3"/>
    <w:rsid w:val="003E5315"/>
    <w:rsid w:val="003E5423"/>
    <w:rsid w:val="003E5A1E"/>
    <w:rsid w:val="003E5BF2"/>
    <w:rsid w:val="003E5F3F"/>
    <w:rsid w:val="003E6CB3"/>
    <w:rsid w:val="003E7512"/>
    <w:rsid w:val="003F1009"/>
    <w:rsid w:val="003F1C70"/>
    <w:rsid w:val="003F1F1D"/>
    <w:rsid w:val="003F261F"/>
    <w:rsid w:val="003F3531"/>
    <w:rsid w:val="003F3BF4"/>
    <w:rsid w:val="003F42A8"/>
    <w:rsid w:val="003F5B64"/>
    <w:rsid w:val="003F71EB"/>
    <w:rsid w:val="003F7640"/>
    <w:rsid w:val="003F7B27"/>
    <w:rsid w:val="0040267E"/>
    <w:rsid w:val="00405CBD"/>
    <w:rsid w:val="004072EC"/>
    <w:rsid w:val="004106FF"/>
    <w:rsid w:val="004109A1"/>
    <w:rsid w:val="00410E30"/>
    <w:rsid w:val="00411D94"/>
    <w:rsid w:val="004124A9"/>
    <w:rsid w:val="004130E5"/>
    <w:rsid w:val="00413304"/>
    <w:rsid w:val="00413674"/>
    <w:rsid w:val="00414FF5"/>
    <w:rsid w:val="00416E29"/>
    <w:rsid w:val="00416F54"/>
    <w:rsid w:val="0042019B"/>
    <w:rsid w:val="004210EC"/>
    <w:rsid w:val="00421AB0"/>
    <w:rsid w:val="00424002"/>
    <w:rsid w:val="00424D58"/>
    <w:rsid w:val="00426083"/>
    <w:rsid w:val="00431329"/>
    <w:rsid w:val="0043229B"/>
    <w:rsid w:val="00432B06"/>
    <w:rsid w:val="00432D6A"/>
    <w:rsid w:val="00437442"/>
    <w:rsid w:val="00441446"/>
    <w:rsid w:val="00442209"/>
    <w:rsid w:val="004424CB"/>
    <w:rsid w:val="00444DA6"/>
    <w:rsid w:val="004507E2"/>
    <w:rsid w:val="0045095A"/>
    <w:rsid w:val="00450E8F"/>
    <w:rsid w:val="00451601"/>
    <w:rsid w:val="004517DC"/>
    <w:rsid w:val="0045466A"/>
    <w:rsid w:val="00454F3D"/>
    <w:rsid w:val="00455910"/>
    <w:rsid w:val="0045607C"/>
    <w:rsid w:val="0045658D"/>
    <w:rsid w:val="00456D50"/>
    <w:rsid w:val="004573A6"/>
    <w:rsid w:val="0045759A"/>
    <w:rsid w:val="00457865"/>
    <w:rsid w:val="004607E7"/>
    <w:rsid w:val="004611E3"/>
    <w:rsid w:val="00461D4C"/>
    <w:rsid w:val="004641AB"/>
    <w:rsid w:val="00464A9E"/>
    <w:rsid w:val="0046737A"/>
    <w:rsid w:val="00467BDC"/>
    <w:rsid w:val="004701C4"/>
    <w:rsid w:val="00470B65"/>
    <w:rsid w:val="00470D45"/>
    <w:rsid w:val="00470DBA"/>
    <w:rsid w:val="004725F0"/>
    <w:rsid w:val="00472F60"/>
    <w:rsid w:val="00473CFA"/>
    <w:rsid w:val="0047503D"/>
    <w:rsid w:val="00475BA4"/>
    <w:rsid w:val="00476DE5"/>
    <w:rsid w:val="00477592"/>
    <w:rsid w:val="004778A0"/>
    <w:rsid w:val="00477B5B"/>
    <w:rsid w:val="00477F9D"/>
    <w:rsid w:val="0048109C"/>
    <w:rsid w:val="00481ED3"/>
    <w:rsid w:val="0048303D"/>
    <w:rsid w:val="00483D42"/>
    <w:rsid w:val="0048401B"/>
    <w:rsid w:val="00484694"/>
    <w:rsid w:val="00484F01"/>
    <w:rsid w:val="004858F1"/>
    <w:rsid w:val="00487311"/>
    <w:rsid w:val="004878D5"/>
    <w:rsid w:val="00487F90"/>
    <w:rsid w:val="00492DCD"/>
    <w:rsid w:val="004930BE"/>
    <w:rsid w:val="00493360"/>
    <w:rsid w:val="00493865"/>
    <w:rsid w:val="00493E56"/>
    <w:rsid w:val="00493F33"/>
    <w:rsid w:val="00494F54"/>
    <w:rsid w:val="00495360"/>
    <w:rsid w:val="00495791"/>
    <w:rsid w:val="004960EE"/>
    <w:rsid w:val="004A07FE"/>
    <w:rsid w:val="004A1039"/>
    <w:rsid w:val="004A2DF9"/>
    <w:rsid w:val="004A3097"/>
    <w:rsid w:val="004A4867"/>
    <w:rsid w:val="004A53C4"/>
    <w:rsid w:val="004A5EB7"/>
    <w:rsid w:val="004A6125"/>
    <w:rsid w:val="004A671E"/>
    <w:rsid w:val="004A6A44"/>
    <w:rsid w:val="004A6E8A"/>
    <w:rsid w:val="004B0DD9"/>
    <w:rsid w:val="004B25BE"/>
    <w:rsid w:val="004B3E96"/>
    <w:rsid w:val="004B4ED3"/>
    <w:rsid w:val="004B6394"/>
    <w:rsid w:val="004B6494"/>
    <w:rsid w:val="004B6B41"/>
    <w:rsid w:val="004B7C1D"/>
    <w:rsid w:val="004C0AA3"/>
    <w:rsid w:val="004C23AA"/>
    <w:rsid w:val="004C48C8"/>
    <w:rsid w:val="004C4F07"/>
    <w:rsid w:val="004C7469"/>
    <w:rsid w:val="004C7690"/>
    <w:rsid w:val="004C77C2"/>
    <w:rsid w:val="004D17F5"/>
    <w:rsid w:val="004D1952"/>
    <w:rsid w:val="004D495A"/>
    <w:rsid w:val="004D5F79"/>
    <w:rsid w:val="004D62EC"/>
    <w:rsid w:val="004D685B"/>
    <w:rsid w:val="004E0437"/>
    <w:rsid w:val="004E0F0B"/>
    <w:rsid w:val="004E0F12"/>
    <w:rsid w:val="004E1823"/>
    <w:rsid w:val="004E32D6"/>
    <w:rsid w:val="004E6028"/>
    <w:rsid w:val="004E7FBD"/>
    <w:rsid w:val="004F0A81"/>
    <w:rsid w:val="004F163E"/>
    <w:rsid w:val="004F2A3F"/>
    <w:rsid w:val="004F3283"/>
    <w:rsid w:val="004F3D77"/>
    <w:rsid w:val="004F4562"/>
    <w:rsid w:val="004F7534"/>
    <w:rsid w:val="00501096"/>
    <w:rsid w:val="0050152F"/>
    <w:rsid w:val="00501D66"/>
    <w:rsid w:val="00502BCF"/>
    <w:rsid w:val="00503CA3"/>
    <w:rsid w:val="005064A0"/>
    <w:rsid w:val="00506B23"/>
    <w:rsid w:val="00507E05"/>
    <w:rsid w:val="00510950"/>
    <w:rsid w:val="00511113"/>
    <w:rsid w:val="00512343"/>
    <w:rsid w:val="0051322C"/>
    <w:rsid w:val="00514279"/>
    <w:rsid w:val="0051684C"/>
    <w:rsid w:val="00517A47"/>
    <w:rsid w:val="00521257"/>
    <w:rsid w:val="00523001"/>
    <w:rsid w:val="005236DA"/>
    <w:rsid w:val="00524602"/>
    <w:rsid w:val="00525953"/>
    <w:rsid w:val="00525BB6"/>
    <w:rsid w:val="005273F8"/>
    <w:rsid w:val="0053033A"/>
    <w:rsid w:val="00531271"/>
    <w:rsid w:val="00531E63"/>
    <w:rsid w:val="00534727"/>
    <w:rsid w:val="00534F23"/>
    <w:rsid w:val="00535263"/>
    <w:rsid w:val="00536540"/>
    <w:rsid w:val="00536C95"/>
    <w:rsid w:val="00537027"/>
    <w:rsid w:val="00537257"/>
    <w:rsid w:val="00540173"/>
    <w:rsid w:val="00540EFC"/>
    <w:rsid w:val="005412AC"/>
    <w:rsid w:val="00541337"/>
    <w:rsid w:val="00541865"/>
    <w:rsid w:val="00542C37"/>
    <w:rsid w:val="00543869"/>
    <w:rsid w:val="00543A5B"/>
    <w:rsid w:val="00543C36"/>
    <w:rsid w:val="0054528D"/>
    <w:rsid w:val="00546A2E"/>
    <w:rsid w:val="00546BF3"/>
    <w:rsid w:val="00550217"/>
    <w:rsid w:val="005505E3"/>
    <w:rsid w:val="00553704"/>
    <w:rsid w:val="0055450C"/>
    <w:rsid w:val="0055562B"/>
    <w:rsid w:val="005559E3"/>
    <w:rsid w:val="00557ACE"/>
    <w:rsid w:val="00557D2F"/>
    <w:rsid w:val="005615AB"/>
    <w:rsid w:val="00561D63"/>
    <w:rsid w:val="0056705B"/>
    <w:rsid w:val="0057028D"/>
    <w:rsid w:val="0057155B"/>
    <w:rsid w:val="005716D7"/>
    <w:rsid w:val="00571763"/>
    <w:rsid w:val="005719F2"/>
    <w:rsid w:val="00572349"/>
    <w:rsid w:val="00573048"/>
    <w:rsid w:val="005730C1"/>
    <w:rsid w:val="0057329D"/>
    <w:rsid w:val="0057526F"/>
    <w:rsid w:val="00575B8D"/>
    <w:rsid w:val="00575D5C"/>
    <w:rsid w:val="00576FF4"/>
    <w:rsid w:val="00577018"/>
    <w:rsid w:val="005805A8"/>
    <w:rsid w:val="005811BA"/>
    <w:rsid w:val="00581765"/>
    <w:rsid w:val="00582768"/>
    <w:rsid w:val="005838D9"/>
    <w:rsid w:val="00584184"/>
    <w:rsid w:val="005849DB"/>
    <w:rsid w:val="00585334"/>
    <w:rsid w:val="0058735A"/>
    <w:rsid w:val="00590C24"/>
    <w:rsid w:val="00590D93"/>
    <w:rsid w:val="00590F17"/>
    <w:rsid w:val="005912CC"/>
    <w:rsid w:val="00591901"/>
    <w:rsid w:val="00591D22"/>
    <w:rsid w:val="00591EB8"/>
    <w:rsid w:val="0059204A"/>
    <w:rsid w:val="0059257A"/>
    <w:rsid w:val="005928A7"/>
    <w:rsid w:val="00593FC2"/>
    <w:rsid w:val="00594940"/>
    <w:rsid w:val="005952E2"/>
    <w:rsid w:val="00595339"/>
    <w:rsid w:val="0059542A"/>
    <w:rsid w:val="0059770B"/>
    <w:rsid w:val="005A008F"/>
    <w:rsid w:val="005A27CF"/>
    <w:rsid w:val="005A3159"/>
    <w:rsid w:val="005A411E"/>
    <w:rsid w:val="005A5206"/>
    <w:rsid w:val="005A62AC"/>
    <w:rsid w:val="005A746C"/>
    <w:rsid w:val="005A7800"/>
    <w:rsid w:val="005B1189"/>
    <w:rsid w:val="005B1E31"/>
    <w:rsid w:val="005B386E"/>
    <w:rsid w:val="005B478B"/>
    <w:rsid w:val="005B58D6"/>
    <w:rsid w:val="005B5B92"/>
    <w:rsid w:val="005B6260"/>
    <w:rsid w:val="005C1099"/>
    <w:rsid w:val="005C12CA"/>
    <w:rsid w:val="005C1E3A"/>
    <w:rsid w:val="005C2037"/>
    <w:rsid w:val="005C2DF0"/>
    <w:rsid w:val="005C2F1A"/>
    <w:rsid w:val="005C3B60"/>
    <w:rsid w:val="005C4432"/>
    <w:rsid w:val="005C4953"/>
    <w:rsid w:val="005C6CBD"/>
    <w:rsid w:val="005D14BA"/>
    <w:rsid w:val="005D17B7"/>
    <w:rsid w:val="005D22F5"/>
    <w:rsid w:val="005D32A3"/>
    <w:rsid w:val="005D3952"/>
    <w:rsid w:val="005D3E43"/>
    <w:rsid w:val="005D40D4"/>
    <w:rsid w:val="005D5C84"/>
    <w:rsid w:val="005D79EF"/>
    <w:rsid w:val="005D7BE7"/>
    <w:rsid w:val="005E1061"/>
    <w:rsid w:val="005E1B84"/>
    <w:rsid w:val="005E2A0E"/>
    <w:rsid w:val="005E5DC2"/>
    <w:rsid w:val="005E62E3"/>
    <w:rsid w:val="005E64E5"/>
    <w:rsid w:val="005F06F9"/>
    <w:rsid w:val="005F7CA5"/>
    <w:rsid w:val="005F7CAF"/>
    <w:rsid w:val="00600FC3"/>
    <w:rsid w:val="006016AC"/>
    <w:rsid w:val="00601816"/>
    <w:rsid w:val="0060199C"/>
    <w:rsid w:val="00602977"/>
    <w:rsid w:val="00602B90"/>
    <w:rsid w:val="006032FB"/>
    <w:rsid w:val="00603D83"/>
    <w:rsid w:val="00604183"/>
    <w:rsid w:val="00604613"/>
    <w:rsid w:val="00604FB0"/>
    <w:rsid w:val="006051A3"/>
    <w:rsid w:val="00605CD5"/>
    <w:rsid w:val="0060743F"/>
    <w:rsid w:val="00607847"/>
    <w:rsid w:val="00607B2B"/>
    <w:rsid w:val="00610327"/>
    <w:rsid w:val="00614102"/>
    <w:rsid w:val="00614D9A"/>
    <w:rsid w:val="00614F47"/>
    <w:rsid w:val="006153A0"/>
    <w:rsid w:val="00615AAC"/>
    <w:rsid w:val="00615D8E"/>
    <w:rsid w:val="0061788D"/>
    <w:rsid w:val="0062070F"/>
    <w:rsid w:val="00621A28"/>
    <w:rsid w:val="00621C0C"/>
    <w:rsid w:val="0062244F"/>
    <w:rsid w:val="006232A6"/>
    <w:rsid w:val="0062342A"/>
    <w:rsid w:val="00623798"/>
    <w:rsid w:val="006237BB"/>
    <w:rsid w:val="00623EBA"/>
    <w:rsid w:val="0062553E"/>
    <w:rsid w:val="0062578A"/>
    <w:rsid w:val="0062593D"/>
    <w:rsid w:val="00626DFE"/>
    <w:rsid w:val="00627702"/>
    <w:rsid w:val="00630AD7"/>
    <w:rsid w:val="00632BBB"/>
    <w:rsid w:val="006331DA"/>
    <w:rsid w:val="00633326"/>
    <w:rsid w:val="0063461B"/>
    <w:rsid w:val="00634736"/>
    <w:rsid w:val="00634DBA"/>
    <w:rsid w:val="006350A1"/>
    <w:rsid w:val="00635BA0"/>
    <w:rsid w:val="00635EF3"/>
    <w:rsid w:val="00640097"/>
    <w:rsid w:val="006406F4"/>
    <w:rsid w:val="00640F18"/>
    <w:rsid w:val="006416DA"/>
    <w:rsid w:val="006417EC"/>
    <w:rsid w:val="00642498"/>
    <w:rsid w:val="006437FE"/>
    <w:rsid w:val="00644B5B"/>
    <w:rsid w:val="00645DF9"/>
    <w:rsid w:val="00646A84"/>
    <w:rsid w:val="00650B81"/>
    <w:rsid w:val="00652415"/>
    <w:rsid w:val="0065255B"/>
    <w:rsid w:val="0065365A"/>
    <w:rsid w:val="00654AD2"/>
    <w:rsid w:val="0065608D"/>
    <w:rsid w:val="00656274"/>
    <w:rsid w:val="00656AB8"/>
    <w:rsid w:val="006572C3"/>
    <w:rsid w:val="006577F2"/>
    <w:rsid w:val="00657E10"/>
    <w:rsid w:val="00657E58"/>
    <w:rsid w:val="00660EB5"/>
    <w:rsid w:val="00662212"/>
    <w:rsid w:val="0066335C"/>
    <w:rsid w:val="00665497"/>
    <w:rsid w:val="00665E28"/>
    <w:rsid w:val="006661B6"/>
    <w:rsid w:val="00666F41"/>
    <w:rsid w:val="00667011"/>
    <w:rsid w:val="0067029E"/>
    <w:rsid w:val="00671196"/>
    <w:rsid w:val="00671444"/>
    <w:rsid w:val="00671E7A"/>
    <w:rsid w:val="00672487"/>
    <w:rsid w:val="006753AE"/>
    <w:rsid w:val="00675723"/>
    <w:rsid w:val="006765DE"/>
    <w:rsid w:val="0067664E"/>
    <w:rsid w:val="00676D4F"/>
    <w:rsid w:val="00677B42"/>
    <w:rsid w:val="00680C1B"/>
    <w:rsid w:val="00682468"/>
    <w:rsid w:val="0068254D"/>
    <w:rsid w:val="00682C73"/>
    <w:rsid w:val="00683088"/>
    <w:rsid w:val="00683966"/>
    <w:rsid w:val="00683ECB"/>
    <w:rsid w:val="00684095"/>
    <w:rsid w:val="0068580C"/>
    <w:rsid w:val="00687FF2"/>
    <w:rsid w:val="0069100C"/>
    <w:rsid w:val="0069124C"/>
    <w:rsid w:val="00691926"/>
    <w:rsid w:val="00697E04"/>
    <w:rsid w:val="006A06EB"/>
    <w:rsid w:val="006A2469"/>
    <w:rsid w:val="006A28CE"/>
    <w:rsid w:val="006A29EA"/>
    <w:rsid w:val="006A2D59"/>
    <w:rsid w:val="006A593C"/>
    <w:rsid w:val="006A63AD"/>
    <w:rsid w:val="006A75EB"/>
    <w:rsid w:val="006A7D05"/>
    <w:rsid w:val="006B06AF"/>
    <w:rsid w:val="006B138B"/>
    <w:rsid w:val="006B1FA0"/>
    <w:rsid w:val="006B2503"/>
    <w:rsid w:val="006B2D38"/>
    <w:rsid w:val="006B348B"/>
    <w:rsid w:val="006B36E1"/>
    <w:rsid w:val="006B6B5A"/>
    <w:rsid w:val="006B6C53"/>
    <w:rsid w:val="006C1073"/>
    <w:rsid w:val="006C10AB"/>
    <w:rsid w:val="006C1A84"/>
    <w:rsid w:val="006C1CC1"/>
    <w:rsid w:val="006C250B"/>
    <w:rsid w:val="006C420C"/>
    <w:rsid w:val="006C54A4"/>
    <w:rsid w:val="006C6CA5"/>
    <w:rsid w:val="006C6E36"/>
    <w:rsid w:val="006C703A"/>
    <w:rsid w:val="006C72E5"/>
    <w:rsid w:val="006C7478"/>
    <w:rsid w:val="006C77EC"/>
    <w:rsid w:val="006D30FE"/>
    <w:rsid w:val="006D3C95"/>
    <w:rsid w:val="006D7FDA"/>
    <w:rsid w:val="006E0CA3"/>
    <w:rsid w:val="006E1B6D"/>
    <w:rsid w:val="006E22EE"/>
    <w:rsid w:val="006E2BCE"/>
    <w:rsid w:val="006E3DA0"/>
    <w:rsid w:val="006E6EA0"/>
    <w:rsid w:val="006E77C4"/>
    <w:rsid w:val="006E7C40"/>
    <w:rsid w:val="006F08A3"/>
    <w:rsid w:val="006F0E36"/>
    <w:rsid w:val="006F1462"/>
    <w:rsid w:val="006F1B05"/>
    <w:rsid w:val="006F342D"/>
    <w:rsid w:val="006F3FD5"/>
    <w:rsid w:val="006F44CB"/>
    <w:rsid w:val="006F4E9A"/>
    <w:rsid w:val="006F56D8"/>
    <w:rsid w:val="0070093D"/>
    <w:rsid w:val="007009E3"/>
    <w:rsid w:val="00701AF0"/>
    <w:rsid w:val="00702631"/>
    <w:rsid w:val="007028F7"/>
    <w:rsid w:val="00704290"/>
    <w:rsid w:val="00705E4A"/>
    <w:rsid w:val="00706115"/>
    <w:rsid w:val="007065C5"/>
    <w:rsid w:val="007066D8"/>
    <w:rsid w:val="0071285B"/>
    <w:rsid w:val="00712891"/>
    <w:rsid w:val="00713960"/>
    <w:rsid w:val="00715D11"/>
    <w:rsid w:val="00716989"/>
    <w:rsid w:val="007212C9"/>
    <w:rsid w:val="00721724"/>
    <w:rsid w:val="0072202E"/>
    <w:rsid w:val="007223D6"/>
    <w:rsid w:val="00724CA4"/>
    <w:rsid w:val="0072681F"/>
    <w:rsid w:val="00726B86"/>
    <w:rsid w:val="00727001"/>
    <w:rsid w:val="0072766F"/>
    <w:rsid w:val="00731ACF"/>
    <w:rsid w:val="00732B3F"/>
    <w:rsid w:val="007330EA"/>
    <w:rsid w:val="007340C9"/>
    <w:rsid w:val="0073618E"/>
    <w:rsid w:val="00737217"/>
    <w:rsid w:val="00737C29"/>
    <w:rsid w:val="00737F53"/>
    <w:rsid w:val="0074076C"/>
    <w:rsid w:val="00742652"/>
    <w:rsid w:val="00743615"/>
    <w:rsid w:val="00743BB8"/>
    <w:rsid w:val="007470C4"/>
    <w:rsid w:val="007500A4"/>
    <w:rsid w:val="007522EC"/>
    <w:rsid w:val="00753336"/>
    <w:rsid w:val="00754A9F"/>
    <w:rsid w:val="00754B70"/>
    <w:rsid w:val="00755EC4"/>
    <w:rsid w:val="0075725A"/>
    <w:rsid w:val="00757690"/>
    <w:rsid w:val="00760479"/>
    <w:rsid w:val="0076580C"/>
    <w:rsid w:val="00766B4F"/>
    <w:rsid w:val="007678DA"/>
    <w:rsid w:val="0077281C"/>
    <w:rsid w:val="007728FC"/>
    <w:rsid w:val="00773AF5"/>
    <w:rsid w:val="0077498C"/>
    <w:rsid w:val="0077541C"/>
    <w:rsid w:val="007767CD"/>
    <w:rsid w:val="00777300"/>
    <w:rsid w:val="00777697"/>
    <w:rsid w:val="00780CD3"/>
    <w:rsid w:val="00781989"/>
    <w:rsid w:val="007824D1"/>
    <w:rsid w:val="00782601"/>
    <w:rsid w:val="00782FAA"/>
    <w:rsid w:val="00785273"/>
    <w:rsid w:val="0078654A"/>
    <w:rsid w:val="00786EE7"/>
    <w:rsid w:val="007870A8"/>
    <w:rsid w:val="0078771C"/>
    <w:rsid w:val="00787ACB"/>
    <w:rsid w:val="00790718"/>
    <w:rsid w:val="00794CA2"/>
    <w:rsid w:val="00795991"/>
    <w:rsid w:val="00796724"/>
    <w:rsid w:val="007A10E9"/>
    <w:rsid w:val="007A137D"/>
    <w:rsid w:val="007A14FB"/>
    <w:rsid w:val="007A26CC"/>
    <w:rsid w:val="007A2EF8"/>
    <w:rsid w:val="007A41B9"/>
    <w:rsid w:val="007A4377"/>
    <w:rsid w:val="007A4BFC"/>
    <w:rsid w:val="007A4FE0"/>
    <w:rsid w:val="007A5155"/>
    <w:rsid w:val="007A58DB"/>
    <w:rsid w:val="007A5F61"/>
    <w:rsid w:val="007A6814"/>
    <w:rsid w:val="007A6C13"/>
    <w:rsid w:val="007B0007"/>
    <w:rsid w:val="007B0E8A"/>
    <w:rsid w:val="007B18A7"/>
    <w:rsid w:val="007B22B4"/>
    <w:rsid w:val="007B2541"/>
    <w:rsid w:val="007B477E"/>
    <w:rsid w:val="007B6936"/>
    <w:rsid w:val="007B7735"/>
    <w:rsid w:val="007C0DFC"/>
    <w:rsid w:val="007C3199"/>
    <w:rsid w:val="007C335B"/>
    <w:rsid w:val="007C39C6"/>
    <w:rsid w:val="007C4671"/>
    <w:rsid w:val="007C5480"/>
    <w:rsid w:val="007C596C"/>
    <w:rsid w:val="007C6489"/>
    <w:rsid w:val="007C6642"/>
    <w:rsid w:val="007C7B20"/>
    <w:rsid w:val="007D0362"/>
    <w:rsid w:val="007D10C7"/>
    <w:rsid w:val="007D1900"/>
    <w:rsid w:val="007D324B"/>
    <w:rsid w:val="007D4B00"/>
    <w:rsid w:val="007D6195"/>
    <w:rsid w:val="007D6EC1"/>
    <w:rsid w:val="007D7AA5"/>
    <w:rsid w:val="007E024F"/>
    <w:rsid w:val="007E1960"/>
    <w:rsid w:val="007E1BAB"/>
    <w:rsid w:val="007E2A57"/>
    <w:rsid w:val="007E2E21"/>
    <w:rsid w:val="007E2FC6"/>
    <w:rsid w:val="007E4420"/>
    <w:rsid w:val="007E44BA"/>
    <w:rsid w:val="007E5D21"/>
    <w:rsid w:val="007E5EB9"/>
    <w:rsid w:val="007F003C"/>
    <w:rsid w:val="007F09CD"/>
    <w:rsid w:val="007F23CF"/>
    <w:rsid w:val="007F3D46"/>
    <w:rsid w:val="007F3EA4"/>
    <w:rsid w:val="007F56C1"/>
    <w:rsid w:val="007F6C56"/>
    <w:rsid w:val="007F7069"/>
    <w:rsid w:val="0080018D"/>
    <w:rsid w:val="00800422"/>
    <w:rsid w:val="008017DD"/>
    <w:rsid w:val="00801847"/>
    <w:rsid w:val="008029A2"/>
    <w:rsid w:val="00803F4B"/>
    <w:rsid w:val="00804D47"/>
    <w:rsid w:val="00805502"/>
    <w:rsid w:val="008072D0"/>
    <w:rsid w:val="00810A7C"/>
    <w:rsid w:val="00810F43"/>
    <w:rsid w:val="008116F4"/>
    <w:rsid w:val="00813262"/>
    <w:rsid w:val="00814CA9"/>
    <w:rsid w:val="00815004"/>
    <w:rsid w:val="00815987"/>
    <w:rsid w:val="00815BA8"/>
    <w:rsid w:val="0081685B"/>
    <w:rsid w:val="00816FEC"/>
    <w:rsid w:val="00817E4C"/>
    <w:rsid w:val="00821603"/>
    <w:rsid w:val="0082256B"/>
    <w:rsid w:val="0082266C"/>
    <w:rsid w:val="00822CB9"/>
    <w:rsid w:val="00825096"/>
    <w:rsid w:val="0082606C"/>
    <w:rsid w:val="00826699"/>
    <w:rsid w:val="00831257"/>
    <w:rsid w:val="0083140F"/>
    <w:rsid w:val="00834A04"/>
    <w:rsid w:val="008376C2"/>
    <w:rsid w:val="008377F9"/>
    <w:rsid w:val="00840242"/>
    <w:rsid w:val="008407D9"/>
    <w:rsid w:val="00841C9C"/>
    <w:rsid w:val="00842714"/>
    <w:rsid w:val="00843F7B"/>
    <w:rsid w:val="0084438E"/>
    <w:rsid w:val="0084492D"/>
    <w:rsid w:val="00844D1E"/>
    <w:rsid w:val="00844EE4"/>
    <w:rsid w:val="00847E50"/>
    <w:rsid w:val="008500A1"/>
    <w:rsid w:val="008501A9"/>
    <w:rsid w:val="00855613"/>
    <w:rsid w:val="0085641A"/>
    <w:rsid w:val="00857405"/>
    <w:rsid w:val="008634C1"/>
    <w:rsid w:val="0086368E"/>
    <w:rsid w:val="00863785"/>
    <w:rsid w:val="00864B60"/>
    <w:rsid w:val="008657A9"/>
    <w:rsid w:val="008658D6"/>
    <w:rsid w:val="00865AFC"/>
    <w:rsid w:val="00865FC3"/>
    <w:rsid w:val="00866D7F"/>
    <w:rsid w:val="00866FB1"/>
    <w:rsid w:val="008707CE"/>
    <w:rsid w:val="00870F59"/>
    <w:rsid w:val="00871138"/>
    <w:rsid w:val="008715FB"/>
    <w:rsid w:val="00872D83"/>
    <w:rsid w:val="00873461"/>
    <w:rsid w:val="0087407C"/>
    <w:rsid w:val="0087489D"/>
    <w:rsid w:val="0087548B"/>
    <w:rsid w:val="00875C08"/>
    <w:rsid w:val="00876770"/>
    <w:rsid w:val="00876DEE"/>
    <w:rsid w:val="00880526"/>
    <w:rsid w:val="00881840"/>
    <w:rsid w:val="00881CEC"/>
    <w:rsid w:val="008820B5"/>
    <w:rsid w:val="008823CE"/>
    <w:rsid w:val="00882442"/>
    <w:rsid w:val="00882478"/>
    <w:rsid w:val="00882A60"/>
    <w:rsid w:val="00885125"/>
    <w:rsid w:val="0088638D"/>
    <w:rsid w:val="008863D9"/>
    <w:rsid w:val="0088649E"/>
    <w:rsid w:val="00886785"/>
    <w:rsid w:val="00886AF7"/>
    <w:rsid w:val="008900E7"/>
    <w:rsid w:val="0089136B"/>
    <w:rsid w:val="00891FAA"/>
    <w:rsid w:val="008928BB"/>
    <w:rsid w:val="008932CD"/>
    <w:rsid w:val="00893FB3"/>
    <w:rsid w:val="00894DCD"/>
    <w:rsid w:val="00895924"/>
    <w:rsid w:val="00896342"/>
    <w:rsid w:val="00897079"/>
    <w:rsid w:val="00897B81"/>
    <w:rsid w:val="00897C19"/>
    <w:rsid w:val="008A0D84"/>
    <w:rsid w:val="008A17EB"/>
    <w:rsid w:val="008A1B70"/>
    <w:rsid w:val="008A3112"/>
    <w:rsid w:val="008A4792"/>
    <w:rsid w:val="008A4D0B"/>
    <w:rsid w:val="008A5E65"/>
    <w:rsid w:val="008A6619"/>
    <w:rsid w:val="008A6B9B"/>
    <w:rsid w:val="008A7CAD"/>
    <w:rsid w:val="008B09E1"/>
    <w:rsid w:val="008B1010"/>
    <w:rsid w:val="008B1918"/>
    <w:rsid w:val="008B3160"/>
    <w:rsid w:val="008B3608"/>
    <w:rsid w:val="008B4C7A"/>
    <w:rsid w:val="008B6A84"/>
    <w:rsid w:val="008B79F0"/>
    <w:rsid w:val="008C0847"/>
    <w:rsid w:val="008C0CD5"/>
    <w:rsid w:val="008C3036"/>
    <w:rsid w:val="008C35AC"/>
    <w:rsid w:val="008C3DA2"/>
    <w:rsid w:val="008C6307"/>
    <w:rsid w:val="008D02C0"/>
    <w:rsid w:val="008D050B"/>
    <w:rsid w:val="008D1674"/>
    <w:rsid w:val="008D169C"/>
    <w:rsid w:val="008D28EB"/>
    <w:rsid w:val="008D3790"/>
    <w:rsid w:val="008D505D"/>
    <w:rsid w:val="008D57A3"/>
    <w:rsid w:val="008D5B96"/>
    <w:rsid w:val="008D5D80"/>
    <w:rsid w:val="008D6259"/>
    <w:rsid w:val="008D68AE"/>
    <w:rsid w:val="008D7BB3"/>
    <w:rsid w:val="008E0764"/>
    <w:rsid w:val="008E165B"/>
    <w:rsid w:val="008E191D"/>
    <w:rsid w:val="008E3835"/>
    <w:rsid w:val="008E4D6E"/>
    <w:rsid w:val="008E545B"/>
    <w:rsid w:val="008F11C2"/>
    <w:rsid w:val="008F1554"/>
    <w:rsid w:val="008F2DD5"/>
    <w:rsid w:val="008F3868"/>
    <w:rsid w:val="008F54C5"/>
    <w:rsid w:val="008F56BF"/>
    <w:rsid w:val="008F59B6"/>
    <w:rsid w:val="008F63EB"/>
    <w:rsid w:val="008F7883"/>
    <w:rsid w:val="00900779"/>
    <w:rsid w:val="00900A9C"/>
    <w:rsid w:val="00900D1A"/>
    <w:rsid w:val="00901380"/>
    <w:rsid w:val="00901726"/>
    <w:rsid w:val="00901CFA"/>
    <w:rsid w:val="00903019"/>
    <w:rsid w:val="009043B5"/>
    <w:rsid w:val="0090557B"/>
    <w:rsid w:val="00905AC8"/>
    <w:rsid w:val="009062FB"/>
    <w:rsid w:val="0091015C"/>
    <w:rsid w:val="00910B32"/>
    <w:rsid w:val="00910C3B"/>
    <w:rsid w:val="00911AC4"/>
    <w:rsid w:val="00911D0A"/>
    <w:rsid w:val="00911ED2"/>
    <w:rsid w:val="009120C5"/>
    <w:rsid w:val="0091611D"/>
    <w:rsid w:val="00916C60"/>
    <w:rsid w:val="00917D69"/>
    <w:rsid w:val="009205AF"/>
    <w:rsid w:val="00921AA0"/>
    <w:rsid w:val="00921ABD"/>
    <w:rsid w:val="00921B45"/>
    <w:rsid w:val="00922498"/>
    <w:rsid w:val="009237EC"/>
    <w:rsid w:val="009238CF"/>
    <w:rsid w:val="00923DB7"/>
    <w:rsid w:val="00924443"/>
    <w:rsid w:val="00924EDF"/>
    <w:rsid w:val="00926233"/>
    <w:rsid w:val="00933D53"/>
    <w:rsid w:val="00935634"/>
    <w:rsid w:val="00937654"/>
    <w:rsid w:val="00937D4A"/>
    <w:rsid w:val="00942771"/>
    <w:rsid w:val="00942BE1"/>
    <w:rsid w:val="009435A3"/>
    <w:rsid w:val="00943C58"/>
    <w:rsid w:val="0094726C"/>
    <w:rsid w:val="00950D50"/>
    <w:rsid w:val="00951639"/>
    <w:rsid w:val="009516C2"/>
    <w:rsid w:val="009529E7"/>
    <w:rsid w:val="0095369B"/>
    <w:rsid w:val="009538AA"/>
    <w:rsid w:val="00954815"/>
    <w:rsid w:val="0095554C"/>
    <w:rsid w:val="00957BFA"/>
    <w:rsid w:val="0096054A"/>
    <w:rsid w:val="0096210B"/>
    <w:rsid w:val="00962613"/>
    <w:rsid w:val="00962FE9"/>
    <w:rsid w:val="00964911"/>
    <w:rsid w:val="009651C0"/>
    <w:rsid w:val="00965222"/>
    <w:rsid w:val="00965987"/>
    <w:rsid w:val="009660FC"/>
    <w:rsid w:val="00967005"/>
    <w:rsid w:val="0097176E"/>
    <w:rsid w:val="00973AB8"/>
    <w:rsid w:val="00973B69"/>
    <w:rsid w:val="00974E7A"/>
    <w:rsid w:val="00975E01"/>
    <w:rsid w:val="00976415"/>
    <w:rsid w:val="00976556"/>
    <w:rsid w:val="00976751"/>
    <w:rsid w:val="00977BC6"/>
    <w:rsid w:val="0098110A"/>
    <w:rsid w:val="009811C7"/>
    <w:rsid w:val="00982395"/>
    <w:rsid w:val="009834D2"/>
    <w:rsid w:val="00983B63"/>
    <w:rsid w:val="00984149"/>
    <w:rsid w:val="00984C61"/>
    <w:rsid w:val="00986D28"/>
    <w:rsid w:val="00987C0E"/>
    <w:rsid w:val="0099073F"/>
    <w:rsid w:val="00991AC7"/>
    <w:rsid w:val="00993897"/>
    <w:rsid w:val="00994E88"/>
    <w:rsid w:val="00994F7D"/>
    <w:rsid w:val="00995A88"/>
    <w:rsid w:val="0099791C"/>
    <w:rsid w:val="009A2000"/>
    <w:rsid w:val="009A3455"/>
    <w:rsid w:val="009A3A70"/>
    <w:rsid w:val="009A489E"/>
    <w:rsid w:val="009A524E"/>
    <w:rsid w:val="009A63F7"/>
    <w:rsid w:val="009A7D3D"/>
    <w:rsid w:val="009B2552"/>
    <w:rsid w:val="009B343F"/>
    <w:rsid w:val="009B3B09"/>
    <w:rsid w:val="009B4870"/>
    <w:rsid w:val="009B50A6"/>
    <w:rsid w:val="009B59D2"/>
    <w:rsid w:val="009B6D1E"/>
    <w:rsid w:val="009C087E"/>
    <w:rsid w:val="009C16DC"/>
    <w:rsid w:val="009C1750"/>
    <w:rsid w:val="009C24BF"/>
    <w:rsid w:val="009C2B08"/>
    <w:rsid w:val="009C32AD"/>
    <w:rsid w:val="009C5114"/>
    <w:rsid w:val="009C5C7D"/>
    <w:rsid w:val="009C6559"/>
    <w:rsid w:val="009C6582"/>
    <w:rsid w:val="009C691B"/>
    <w:rsid w:val="009C6DD7"/>
    <w:rsid w:val="009C7345"/>
    <w:rsid w:val="009C7C71"/>
    <w:rsid w:val="009D0C3F"/>
    <w:rsid w:val="009D1A26"/>
    <w:rsid w:val="009D29AE"/>
    <w:rsid w:val="009D321B"/>
    <w:rsid w:val="009D3F96"/>
    <w:rsid w:val="009D4FC9"/>
    <w:rsid w:val="009D5778"/>
    <w:rsid w:val="009D5E25"/>
    <w:rsid w:val="009D6235"/>
    <w:rsid w:val="009D641E"/>
    <w:rsid w:val="009D6E18"/>
    <w:rsid w:val="009E0045"/>
    <w:rsid w:val="009E0122"/>
    <w:rsid w:val="009E0509"/>
    <w:rsid w:val="009E205F"/>
    <w:rsid w:val="009E432B"/>
    <w:rsid w:val="009E4EE1"/>
    <w:rsid w:val="009E52AD"/>
    <w:rsid w:val="009E549C"/>
    <w:rsid w:val="009E54FA"/>
    <w:rsid w:val="009E6F99"/>
    <w:rsid w:val="009E753E"/>
    <w:rsid w:val="009F1134"/>
    <w:rsid w:val="009F1A70"/>
    <w:rsid w:val="009F26E5"/>
    <w:rsid w:val="009F48B2"/>
    <w:rsid w:val="009F5E43"/>
    <w:rsid w:val="009F65B7"/>
    <w:rsid w:val="009F68A2"/>
    <w:rsid w:val="009F7492"/>
    <w:rsid w:val="009F74A9"/>
    <w:rsid w:val="009F7FA4"/>
    <w:rsid w:val="00A01B1A"/>
    <w:rsid w:val="00A01FA4"/>
    <w:rsid w:val="00A031A6"/>
    <w:rsid w:val="00A03894"/>
    <w:rsid w:val="00A03F42"/>
    <w:rsid w:val="00A04CB1"/>
    <w:rsid w:val="00A04F1A"/>
    <w:rsid w:val="00A0573F"/>
    <w:rsid w:val="00A05B58"/>
    <w:rsid w:val="00A0606F"/>
    <w:rsid w:val="00A07E4A"/>
    <w:rsid w:val="00A102C5"/>
    <w:rsid w:val="00A11799"/>
    <w:rsid w:val="00A11877"/>
    <w:rsid w:val="00A11C1D"/>
    <w:rsid w:val="00A134A8"/>
    <w:rsid w:val="00A134DF"/>
    <w:rsid w:val="00A13705"/>
    <w:rsid w:val="00A13D1E"/>
    <w:rsid w:val="00A151F1"/>
    <w:rsid w:val="00A16D51"/>
    <w:rsid w:val="00A17C96"/>
    <w:rsid w:val="00A17FF3"/>
    <w:rsid w:val="00A2049F"/>
    <w:rsid w:val="00A20609"/>
    <w:rsid w:val="00A20A72"/>
    <w:rsid w:val="00A21E4B"/>
    <w:rsid w:val="00A22E5F"/>
    <w:rsid w:val="00A230DB"/>
    <w:rsid w:val="00A2341F"/>
    <w:rsid w:val="00A23A00"/>
    <w:rsid w:val="00A23EE4"/>
    <w:rsid w:val="00A24FB3"/>
    <w:rsid w:val="00A25403"/>
    <w:rsid w:val="00A268F0"/>
    <w:rsid w:val="00A30A5F"/>
    <w:rsid w:val="00A32582"/>
    <w:rsid w:val="00A32C78"/>
    <w:rsid w:val="00A3536F"/>
    <w:rsid w:val="00A36261"/>
    <w:rsid w:val="00A36557"/>
    <w:rsid w:val="00A366A1"/>
    <w:rsid w:val="00A36D91"/>
    <w:rsid w:val="00A37BC4"/>
    <w:rsid w:val="00A438A1"/>
    <w:rsid w:val="00A43B69"/>
    <w:rsid w:val="00A440C7"/>
    <w:rsid w:val="00A45643"/>
    <w:rsid w:val="00A45AC3"/>
    <w:rsid w:val="00A53FB7"/>
    <w:rsid w:val="00A54190"/>
    <w:rsid w:val="00A565B8"/>
    <w:rsid w:val="00A604EA"/>
    <w:rsid w:val="00A60F28"/>
    <w:rsid w:val="00A611DA"/>
    <w:rsid w:val="00A61879"/>
    <w:rsid w:val="00A621C1"/>
    <w:rsid w:val="00A624D8"/>
    <w:rsid w:val="00A6293C"/>
    <w:rsid w:val="00A62BA5"/>
    <w:rsid w:val="00A62E1B"/>
    <w:rsid w:val="00A62FC8"/>
    <w:rsid w:val="00A6454D"/>
    <w:rsid w:val="00A6471E"/>
    <w:rsid w:val="00A66503"/>
    <w:rsid w:val="00A67889"/>
    <w:rsid w:val="00A6789B"/>
    <w:rsid w:val="00A7026A"/>
    <w:rsid w:val="00A703EA"/>
    <w:rsid w:val="00A736E7"/>
    <w:rsid w:val="00A74F32"/>
    <w:rsid w:val="00A76287"/>
    <w:rsid w:val="00A767BE"/>
    <w:rsid w:val="00A77B5A"/>
    <w:rsid w:val="00A77FA7"/>
    <w:rsid w:val="00A80F5F"/>
    <w:rsid w:val="00A82558"/>
    <w:rsid w:val="00A82898"/>
    <w:rsid w:val="00A82B39"/>
    <w:rsid w:val="00A82F52"/>
    <w:rsid w:val="00A83F2C"/>
    <w:rsid w:val="00A84154"/>
    <w:rsid w:val="00A8428C"/>
    <w:rsid w:val="00A85906"/>
    <w:rsid w:val="00A86F2A"/>
    <w:rsid w:val="00A8720B"/>
    <w:rsid w:val="00A919DB"/>
    <w:rsid w:val="00A91A23"/>
    <w:rsid w:val="00A921F5"/>
    <w:rsid w:val="00A95CF2"/>
    <w:rsid w:val="00A96EC4"/>
    <w:rsid w:val="00A97B47"/>
    <w:rsid w:val="00AA06F4"/>
    <w:rsid w:val="00AA0AC2"/>
    <w:rsid w:val="00AA28EA"/>
    <w:rsid w:val="00AA2CB5"/>
    <w:rsid w:val="00AA4222"/>
    <w:rsid w:val="00AA4EDC"/>
    <w:rsid w:val="00AA6AAB"/>
    <w:rsid w:val="00AA6C65"/>
    <w:rsid w:val="00AA7D8E"/>
    <w:rsid w:val="00AB1BB4"/>
    <w:rsid w:val="00AB3714"/>
    <w:rsid w:val="00AB4970"/>
    <w:rsid w:val="00AB4A4F"/>
    <w:rsid w:val="00AB4DF5"/>
    <w:rsid w:val="00AB4E3D"/>
    <w:rsid w:val="00AB4F86"/>
    <w:rsid w:val="00AB52BB"/>
    <w:rsid w:val="00AB5FD3"/>
    <w:rsid w:val="00AB7374"/>
    <w:rsid w:val="00AC00AE"/>
    <w:rsid w:val="00AC12AF"/>
    <w:rsid w:val="00AC1A7A"/>
    <w:rsid w:val="00AC201F"/>
    <w:rsid w:val="00AC2797"/>
    <w:rsid w:val="00AC2C87"/>
    <w:rsid w:val="00AC328B"/>
    <w:rsid w:val="00AC4374"/>
    <w:rsid w:val="00AC7A04"/>
    <w:rsid w:val="00AC7F64"/>
    <w:rsid w:val="00AD0411"/>
    <w:rsid w:val="00AD070E"/>
    <w:rsid w:val="00AD0BC2"/>
    <w:rsid w:val="00AD2597"/>
    <w:rsid w:val="00AD25F3"/>
    <w:rsid w:val="00AD26EF"/>
    <w:rsid w:val="00AD4E99"/>
    <w:rsid w:val="00AD58AF"/>
    <w:rsid w:val="00AD699F"/>
    <w:rsid w:val="00AE13FA"/>
    <w:rsid w:val="00AE18BE"/>
    <w:rsid w:val="00AE24CE"/>
    <w:rsid w:val="00AE2CB4"/>
    <w:rsid w:val="00AE31DF"/>
    <w:rsid w:val="00AE4374"/>
    <w:rsid w:val="00AE4888"/>
    <w:rsid w:val="00AE55ED"/>
    <w:rsid w:val="00AE57CA"/>
    <w:rsid w:val="00AE61FF"/>
    <w:rsid w:val="00AE68F5"/>
    <w:rsid w:val="00AE78CA"/>
    <w:rsid w:val="00AF00D9"/>
    <w:rsid w:val="00AF04E1"/>
    <w:rsid w:val="00AF0ED6"/>
    <w:rsid w:val="00AF1764"/>
    <w:rsid w:val="00AF1CC9"/>
    <w:rsid w:val="00AF25DB"/>
    <w:rsid w:val="00AF37FC"/>
    <w:rsid w:val="00AF3B45"/>
    <w:rsid w:val="00AF40A5"/>
    <w:rsid w:val="00AF5B5F"/>
    <w:rsid w:val="00AF7F25"/>
    <w:rsid w:val="00B000B0"/>
    <w:rsid w:val="00B00164"/>
    <w:rsid w:val="00B00561"/>
    <w:rsid w:val="00B00F1B"/>
    <w:rsid w:val="00B0211F"/>
    <w:rsid w:val="00B035FC"/>
    <w:rsid w:val="00B03B19"/>
    <w:rsid w:val="00B03B1F"/>
    <w:rsid w:val="00B03F49"/>
    <w:rsid w:val="00B0533C"/>
    <w:rsid w:val="00B053B0"/>
    <w:rsid w:val="00B0794D"/>
    <w:rsid w:val="00B10337"/>
    <w:rsid w:val="00B108D6"/>
    <w:rsid w:val="00B10BF6"/>
    <w:rsid w:val="00B115A2"/>
    <w:rsid w:val="00B12840"/>
    <w:rsid w:val="00B12C80"/>
    <w:rsid w:val="00B12EC0"/>
    <w:rsid w:val="00B15E94"/>
    <w:rsid w:val="00B16947"/>
    <w:rsid w:val="00B16F56"/>
    <w:rsid w:val="00B20C1E"/>
    <w:rsid w:val="00B20ECF"/>
    <w:rsid w:val="00B21407"/>
    <w:rsid w:val="00B214A5"/>
    <w:rsid w:val="00B21F14"/>
    <w:rsid w:val="00B2244D"/>
    <w:rsid w:val="00B22F92"/>
    <w:rsid w:val="00B239F4"/>
    <w:rsid w:val="00B243AF"/>
    <w:rsid w:val="00B2463B"/>
    <w:rsid w:val="00B254E4"/>
    <w:rsid w:val="00B274FB"/>
    <w:rsid w:val="00B27BF4"/>
    <w:rsid w:val="00B311FD"/>
    <w:rsid w:val="00B3467F"/>
    <w:rsid w:val="00B364FB"/>
    <w:rsid w:val="00B40173"/>
    <w:rsid w:val="00B40564"/>
    <w:rsid w:val="00B40843"/>
    <w:rsid w:val="00B41C97"/>
    <w:rsid w:val="00B435F3"/>
    <w:rsid w:val="00B43794"/>
    <w:rsid w:val="00B44677"/>
    <w:rsid w:val="00B44B31"/>
    <w:rsid w:val="00B4730A"/>
    <w:rsid w:val="00B47F6D"/>
    <w:rsid w:val="00B47FF4"/>
    <w:rsid w:val="00B51402"/>
    <w:rsid w:val="00B52270"/>
    <w:rsid w:val="00B52808"/>
    <w:rsid w:val="00B52CB7"/>
    <w:rsid w:val="00B5398F"/>
    <w:rsid w:val="00B53D54"/>
    <w:rsid w:val="00B55411"/>
    <w:rsid w:val="00B55EB0"/>
    <w:rsid w:val="00B6099F"/>
    <w:rsid w:val="00B60EAA"/>
    <w:rsid w:val="00B625F3"/>
    <w:rsid w:val="00B64732"/>
    <w:rsid w:val="00B65BCA"/>
    <w:rsid w:val="00B66183"/>
    <w:rsid w:val="00B66D67"/>
    <w:rsid w:val="00B66FC5"/>
    <w:rsid w:val="00B67703"/>
    <w:rsid w:val="00B73199"/>
    <w:rsid w:val="00B7337D"/>
    <w:rsid w:val="00B73397"/>
    <w:rsid w:val="00B7595E"/>
    <w:rsid w:val="00B75D73"/>
    <w:rsid w:val="00B7628E"/>
    <w:rsid w:val="00B77328"/>
    <w:rsid w:val="00B775AF"/>
    <w:rsid w:val="00B8038C"/>
    <w:rsid w:val="00B83EE0"/>
    <w:rsid w:val="00B865F2"/>
    <w:rsid w:val="00B8733E"/>
    <w:rsid w:val="00B93B91"/>
    <w:rsid w:val="00B93BED"/>
    <w:rsid w:val="00B94EDF"/>
    <w:rsid w:val="00B9515D"/>
    <w:rsid w:val="00B95A7C"/>
    <w:rsid w:val="00B96D79"/>
    <w:rsid w:val="00B973FF"/>
    <w:rsid w:val="00BA077E"/>
    <w:rsid w:val="00BA563B"/>
    <w:rsid w:val="00BA5997"/>
    <w:rsid w:val="00BA7014"/>
    <w:rsid w:val="00BA7EF7"/>
    <w:rsid w:val="00BA7F51"/>
    <w:rsid w:val="00BB04A8"/>
    <w:rsid w:val="00BB0FDF"/>
    <w:rsid w:val="00BB1345"/>
    <w:rsid w:val="00BB19F5"/>
    <w:rsid w:val="00BB641F"/>
    <w:rsid w:val="00BB6A0D"/>
    <w:rsid w:val="00BB7B30"/>
    <w:rsid w:val="00BB7E7A"/>
    <w:rsid w:val="00BC0029"/>
    <w:rsid w:val="00BC04CF"/>
    <w:rsid w:val="00BC31C9"/>
    <w:rsid w:val="00BC488E"/>
    <w:rsid w:val="00BC6E39"/>
    <w:rsid w:val="00BD0109"/>
    <w:rsid w:val="00BD1BDB"/>
    <w:rsid w:val="00BD2A25"/>
    <w:rsid w:val="00BD3BB8"/>
    <w:rsid w:val="00BD4272"/>
    <w:rsid w:val="00BD4491"/>
    <w:rsid w:val="00BD44CA"/>
    <w:rsid w:val="00BD6FF3"/>
    <w:rsid w:val="00BD761F"/>
    <w:rsid w:val="00BE00E7"/>
    <w:rsid w:val="00BE0144"/>
    <w:rsid w:val="00BE1BEF"/>
    <w:rsid w:val="00BE1D77"/>
    <w:rsid w:val="00BE21C2"/>
    <w:rsid w:val="00BE2E66"/>
    <w:rsid w:val="00BE3B3F"/>
    <w:rsid w:val="00BE51C7"/>
    <w:rsid w:val="00BE55C3"/>
    <w:rsid w:val="00BE68C1"/>
    <w:rsid w:val="00BF0D9D"/>
    <w:rsid w:val="00BF128E"/>
    <w:rsid w:val="00BF1792"/>
    <w:rsid w:val="00BF49C7"/>
    <w:rsid w:val="00BF4E0C"/>
    <w:rsid w:val="00BF5A2E"/>
    <w:rsid w:val="00BF6770"/>
    <w:rsid w:val="00BF6F0C"/>
    <w:rsid w:val="00BF76BC"/>
    <w:rsid w:val="00BF7C26"/>
    <w:rsid w:val="00C0054E"/>
    <w:rsid w:val="00C016B0"/>
    <w:rsid w:val="00C01D98"/>
    <w:rsid w:val="00C037E6"/>
    <w:rsid w:val="00C03F50"/>
    <w:rsid w:val="00C03F67"/>
    <w:rsid w:val="00C04449"/>
    <w:rsid w:val="00C04E94"/>
    <w:rsid w:val="00C0653F"/>
    <w:rsid w:val="00C07244"/>
    <w:rsid w:val="00C07C99"/>
    <w:rsid w:val="00C10723"/>
    <w:rsid w:val="00C15458"/>
    <w:rsid w:val="00C155C6"/>
    <w:rsid w:val="00C15991"/>
    <w:rsid w:val="00C15D7B"/>
    <w:rsid w:val="00C16989"/>
    <w:rsid w:val="00C16CF8"/>
    <w:rsid w:val="00C17836"/>
    <w:rsid w:val="00C17BAF"/>
    <w:rsid w:val="00C21AA7"/>
    <w:rsid w:val="00C21C6A"/>
    <w:rsid w:val="00C21F9D"/>
    <w:rsid w:val="00C235CE"/>
    <w:rsid w:val="00C313F0"/>
    <w:rsid w:val="00C3281F"/>
    <w:rsid w:val="00C328C5"/>
    <w:rsid w:val="00C330FB"/>
    <w:rsid w:val="00C345CC"/>
    <w:rsid w:val="00C345FE"/>
    <w:rsid w:val="00C34DB1"/>
    <w:rsid w:val="00C37C24"/>
    <w:rsid w:val="00C37D24"/>
    <w:rsid w:val="00C37E20"/>
    <w:rsid w:val="00C37E42"/>
    <w:rsid w:val="00C44575"/>
    <w:rsid w:val="00C45568"/>
    <w:rsid w:val="00C46780"/>
    <w:rsid w:val="00C46BAD"/>
    <w:rsid w:val="00C46FFC"/>
    <w:rsid w:val="00C47BDB"/>
    <w:rsid w:val="00C5117B"/>
    <w:rsid w:val="00C5162D"/>
    <w:rsid w:val="00C51F76"/>
    <w:rsid w:val="00C520A8"/>
    <w:rsid w:val="00C52100"/>
    <w:rsid w:val="00C526BE"/>
    <w:rsid w:val="00C52B00"/>
    <w:rsid w:val="00C53813"/>
    <w:rsid w:val="00C54781"/>
    <w:rsid w:val="00C54EFC"/>
    <w:rsid w:val="00C55132"/>
    <w:rsid w:val="00C55167"/>
    <w:rsid w:val="00C5535D"/>
    <w:rsid w:val="00C55EB5"/>
    <w:rsid w:val="00C56BF8"/>
    <w:rsid w:val="00C61DF9"/>
    <w:rsid w:val="00C62268"/>
    <w:rsid w:val="00C634C1"/>
    <w:rsid w:val="00C64D96"/>
    <w:rsid w:val="00C65020"/>
    <w:rsid w:val="00C65974"/>
    <w:rsid w:val="00C66244"/>
    <w:rsid w:val="00C678C8"/>
    <w:rsid w:val="00C70229"/>
    <w:rsid w:val="00C704BB"/>
    <w:rsid w:val="00C7085F"/>
    <w:rsid w:val="00C71053"/>
    <w:rsid w:val="00C7193E"/>
    <w:rsid w:val="00C726C7"/>
    <w:rsid w:val="00C74341"/>
    <w:rsid w:val="00C76AA5"/>
    <w:rsid w:val="00C80343"/>
    <w:rsid w:val="00C80653"/>
    <w:rsid w:val="00C81AA5"/>
    <w:rsid w:val="00C81E33"/>
    <w:rsid w:val="00C82D7C"/>
    <w:rsid w:val="00C83623"/>
    <w:rsid w:val="00C862D0"/>
    <w:rsid w:val="00C87DB4"/>
    <w:rsid w:val="00C90D7B"/>
    <w:rsid w:val="00C91395"/>
    <w:rsid w:val="00C92365"/>
    <w:rsid w:val="00C927D7"/>
    <w:rsid w:val="00C934D3"/>
    <w:rsid w:val="00C9355C"/>
    <w:rsid w:val="00C93648"/>
    <w:rsid w:val="00C94E95"/>
    <w:rsid w:val="00C95BDF"/>
    <w:rsid w:val="00C95CB1"/>
    <w:rsid w:val="00C96184"/>
    <w:rsid w:val="00C96482"/>
    <w:rsid w:val="00C972EC"/>
    <w:rsid w:val="00CA153E"/>
    <w:rsid w:val="00CA32E6"/>
    <w:rsid w:val="00CA46CE"/>
    <w:rsid w:val="00CA525A"/>
    <w:rsid w:val="00CA540E"/>
    <w:rsid w:val="00CA6DCE"/>
    <w:rsid w:val="00CA7018"/>
    <w:rsid w:val="00CB0A42"/>
    <w:rsid w:val="00CB1865"/>
    <w:rsid w:val="00CB29E9"/>
    <w:rsid w:val="00CB3BAA"/>
    <w:rsid w:val="00CB4C98"/>
    <w:rsid w:val="00CB4F81"/>
    <w:rsid w:val="00CB597F"/>
    <w:rsid w:val="00CB5CBA"/>
    <w:rsid w:val="00CB6A1F"/>
    <w:rsid w:val="00CB720B"/>
    <w:rsid w:val="00CC130B"/>
    <w:rsid w:val="00CC34A7"/>
    <w:rsid w:val="00CC4638"/>
    <w:rsid w:val="00CC5612"/>
    <w:rsid w:val="00CC57AC"/>
    <w:rsid w:val="00CC5A8B"/>
    <w:rsid w:val="00CC5DF2"/>
    <w:rsid w:val="00CC647F"/>
    <w:rsid w:val="00CC72E4"/>
    <w:rsid w:val="00CC7BF9"/>
    <w:rsid w:val="00CD0382"/>
    <w:rsid w:val="00CD1A8E"/>
    <w:rsid w:val="00CD1E9A"/>
    <w:rsid w:val="00CD2C94"/>
    <w:rsid w:val="00CD2E49"/>
    <w:rsid w:val="00CD35BE"/>
    <w:rsid w:val="00CD368B"/>
    <w:rsid w:val="00CD3DCB"/>
    <w:rsid w:val="00CD4947"/>
    <w:rsid w:val="00CD4B8C"/>
    <w:rsid w:val="00CD4D45"/>
    <w:rsid w:val="00CD5598"/>
    <w:rsid w:val="00CD7797"/>
    <w:rsid w:val="00CE1586"/>
    <w:rsid w:val="00CE318E"/>
    <w:rsid w:val="00CE344D"/>
    <w:rsid w:val="00CE5494"/>
    <w:rsid w:val="00CE5BC2"/>
    <w:rsid w:val="00CE5FF0"/>
    <w:rsid w:val="00CE61F7"/>
    <w:rsid w:val="00CE62FD"/>
    <w:rsid w:val="00CF0C46"/>
    <w:rsid w:val="00CF2418"/>
    <w:rsid w:val="00CF501B"/>
    <w:rsid w:val="00CF7899"/>
    <w:rsid w:val="00D00C15"/>
    <w:rsid w:val="00D0114D"/>
    <w:rsid w:val="00D01D1A"/>
    <w:rsid w:val="00D02082"/>
    <w:rsid w:val="00D02606"/>
    <w:rsid w:val="00D03967"/>
    <w:rsid w:val="00D042F5"/>
    <w:rsid w:val="00D06384"/>
    <w:rsid w:val="00D06419"/>
    <w:rsid w:val="00D06A68"/>
    <w:rsid w:val="00D07459"/>
    <w:rsid w:val="00D12FC0"/>
    <w:rsid w:val="00D146A1"/>
    <w:rsid w:val="00D15AB1"/>
    <w:rsid w:val="00D16345"/>
    <w:rsid w:val="00D16FE0"/>
    <w:rsid w:val="00D175EE"/>
    <w:rsid w:val="00D22644"/>
    <w:rsid w:val="00D22B96"/>
    <w:rsid w:val="00D22D5C"/>
    <w:rsid w:val="00D22FC3"/>
    <w:rsid w:val="00D241DB"/>
    <w:rsid w:val="00D24A05"/>
    <w:rsid w:val="00D25828"/>
    <w:rsid w:val="00D25B0B"/>
    <w:rsid w:val="00D26335"/>
    <w:rsid w:val="00D266FF"/>
    <w:rsid w:val="00D274BE"/>
    <w:rsid w:val="00D27643"/>
    <w:rsid w:val="00D3012B"/>
    <w:rsid w:val="00D31605"/>
    <w:rsid w:val="00D325BC"/>
    <w:rsid w:val="00D3383B"/>
    <w:rsid w:val="00D35F2D"/>
    <w:rsid w:val="00D400EB"/>
    <w:rsid w:val="00D4130B"/>
    <w:rsid w:val="00D42201"/>
    <w:rsid w:val="00D4220F"/>
    <w:rsid w:val="00D42EA6"/>
    <w:rsid w:val="00D42FAB"/>
    <w:rsid w:val="00D46051"/>
    <w:rsid w:val="00D47B70"/>
    <w:rsid w:val="00D47B89"/>
    <w:rsid w:val="00D502B5"/>
    <w:rsid w:val="00D502BC"/>
    <w:rsid w:val="00D503B5"/>
    <w:rsid w:val="00D51E7B"/>
    <w:rsid w:val="00D51F4B"/>
    <w:rsid w:val="00D528E9"/>
    <w:rsid w:val="00D52F37"/>
    <w:rsid w:val="00D532AD"/>
    <w:rsid w:val="00D534D9"/>
    <w:rsid w:val="00D53B05"/>
    <w:rsid w:val="00D53DCF"/>
    <w:rsid w:val="00D5458B"/>
    <w:rsid w:val="00D5474E"/>
    <w:rsid w:val="00D54997"/>
    <w:rsid w:val="00D54B1D"/>
    <w:rsid w:val="00D551E9"/>
    <w:rsid w:val="00D56471"/>
    <w:rsid w:val="00D564BE"/>
    <w:rsid w:val="00D567EA"/>
    <w:rsid w:val="00D57D1E"/>
    <w:rsid w:val="00D60260"/>
    <w:rsid w:val="00D60EAF"/>
    <w:rsid w:val="00D61107"/>
    <w:rsid w:val="00D616B6"/>
    <w:rsid w:val="00D62555"/>
    <w:rsid w:val="00D628FB"/>
    <w:rsid w:val="00D64B18"/>
    <w:rsid w:val="00D64B40"/>
    <w:rsid w:val="00D662D3"/>
    <w:rsid w:val="00D67A93"/>
    <w:rsid w:val="00D7184A"/>
    <w:rsid w:val="00D71C62"/>
    <w:rsid w:val="00D7207A"/>
    <w:rsid w:val="00D72A80"/>
    <w:rsid w:val="00D72F86"/>
    <w:rsid w:val="00D7326E"/>
    <w:rsid w:val="00D73DC1"/>
    <w:rsid w:val="00D73F49"/>
    <w:rsid w:val="00D74548"/>
    <w:rsid w:val="00D745DF"/>
    <w:rsid w:val="00D74F57"/>
    <w:rsid w:val="00D75903"/>
    <w:rsid w:val="00D767A9"/>
    <w:rsid w:val="00D7688A"/>
    <w:rsid w:val="00D7710F"/>
    <w:rsid w:val="00D77F13"/>
    <w:rsid w:val="00D8018C"/>
    <w:rsid w:val="00D80F50"/>
    <w:rsid w:val="00D82563"/>
    <w:rsid w:val="00D82953"/>
    <w:rsid w:val="00D82B6B"/>
    <w:rsid w:val="00D82DEB"/>
    <w:rsid w:val="00D8324C"/>
    <w:rsid w:val="00D83419"/>
    <w:rsid w:val="00D83A59"/>
    <w:rsid w:val="00D83D50"/>
    <w:rsid w:val="00D87B30"/>
    <w:rsid w:val="00D9049A"/>
    <w:rsid w:val="00D90977"/>
    <w:rsid w:val="00D90BDE"/>
    <w:rsid w:val="00D90DE9"/>
    <w:rsid w:val="00D92BCE"/>
    <w:rsid w:val="00D93125"/>
    <w:rsid w:val="00D94A4F"/>
    <w:rsid w:val="00D9652D"/>
    <w:rsid w:val="00D967E9"/>
    <w:rsid w:val="00D968CE"/>
    <w:rsid w:val="00D973E0"/>
    <w:rsid w:val="00D9741A"/>
    <w:rsid w:val="00DA0C9A"/>
    <w:rsid w:val="00DA1246"/>
    <w:rsid w:val="00DA2F62"/>
    <w:rsid w:val="00DA31B1"/>
    <w:rsid w:val="00DA556E"/>
    <w:rsid w:val="00DA6F15"/>
    <w:rsid w:val="00DB1A6A"/>
    <w:rsid w:val="00DB2C18"/>
    <w:rsid w:val="00DB2FEE"/>
    <w:rsid w:val="00DB320C"/>
    <w:rsid w:val="00DB3CF7"/>
    <w:rsid w:val="00DB45CA"/>
    <w:rsid w:val="00DB53A8"/>
    <w:rsid w:val="00DB541C"/>
    <w:rsid w:val="00DB5468"/>
    <w:rsid w:val="00DB56D1"/>
    <w:rsid w:val="00DB5A64"/>
    <w:rsid w:val="00DB609E"/>
    <w:rsid w:val="00DB6268"/>
    <w:rsid w:val="00DC036A"/>
    <w:rsid w:val="00DC0970"/>
    <w:rsid w:val="00DC0EBF"/>
    <w:rsid w:val="00DC0FF3"/>
    <w:rsid w:val="00DC2318"/>
    <w:rsid w:val="00DC4C92"/>
    <w:rsid w:val="00DC4EDA"/>
    <w:rsid w:val="00DC57C5"/>
    <w:rsid w:val="00DC5B1C"/>
    <w:rsid w:val="00DC7593"/>
    <w:rsid w:val="00DC7EBA"/>
    <w:rsid w:val="00DD0C1A"/>
    <w:rsid w:val="00DD16B2"/>
    <w:rsid w:val="00DD2CBE"/>
    <w:rsid w:val="00DD3522"/>
    <w:rsid w:val="00DD4C58"/>
    <w:rsid w:val="00DD5D92"/>
    <w:rsid w:val="00DD63B4"/>
    <w:rsid w:val="00DD67AA"/>
    <w:rsid w:val="00DD7E8D"/>
    <w:rsid w:val="00DE0B6C"/>
    <w:rsid w:val="00DE1E6F"/>
    <w:rsid w:val="00DE2B34"/>
    <w:rsid w:val="00DE31EA"/>
    <w:rsid w:val="00DE358F"/>
    <w:rsid w:val="00DE36F5"/>
    <w:rsid w:val="00DE621A"/>
    <w:rsid w:val="00DF02E0"/>
    <w:rsid w:val="00DF06BF"/>
    <w:rsid w:val="00DF0F9E"/>
    <w:rsid w:val="00DF322F"/>
    <w:rsid w:val="00DF423B"/>
    <w:rsid w:val="00DF437F"/>
    <w:rsid w:val="00DF5591"/>
    <w:rsid w:val="00DF5ED5"/>
    <w:rsid w:val="00DF5F14"/>
    <w:rsid w:val="00E006F2"/>
    <w:rsid w:val="00E022CC"/>
    <w:rsid w:val="00E02E83"/>
    <w:rsid w:val="00E03347"/>
    <w:rsid w:val="00E03CC3"/>
    <w:rsid w:val="00E053D1"/>
    <w:rsid w:val="00E058D6"/>
    <w:rsid w:val="00E06137"/>
    <w:rsid w:val="00E0697E"/>
    <w:rsid w:val="00E07990"/>
    <w:rsid w:val="00E10492"/>
    <w:rsid w:val="00E10B9E"/>
    <w:rsid w:val="00E11840"/>
    <w:rsid w:val="00E138C6"/>
    <w:rsid w:val="00E139BA"/>
    <w:rsid w:val="00E158E2"/>
    <w:rsid w:val="00E16233"/>
    <w:rsid w:val="00E16BB2"/>
    <w:rsid w:val="00E17692"/>
    <w:rsid w:val="00E179F4"/>
    <w:rsid w:val="00E17DB2"/>
    <w:rsid w:val="00E234B0"/>
    <w:rsid w:val="00E23AB7"/>
    <w:rsid w:val="00E24642"/>
    <w:rsid w:val="00E25DE2"/>
    <w:rsid w:val="00E26174"/>
    <w:rsid w:val="00E26E11"/>
    <w:rsid w:val="00E31E3C"/>
    <w:rsid w:val="00E31F38"/>
    <w:rsid w:val="00E322B0"/>
    <w:rsid w:val="00E33A3A"/>
    <w:rsid w:val="00E413CB"/>
    <w:rsid w:val="00E4150E"/>
    <w:rsid w:val="00E42BA4"/>
    <w:rsid w:val="00E4687A"/>
    <w:rsid w:val="00E46A79"/>
    <w:rsid w:val="00E472F0"/>
    <w:rsid w:val="00E47C9F"/>
    <w:rsid w:val="00E51A3B"/>
    <w:rsid w:val="00E531FD"/>
    <w:rsid w:val="00E5419F"/>
    <w:rsid w:val="00E56AF2"/>
    <w:rsid w:val="00E57A55"/>
    <w:rsid w:val="00E60747"/>
    <w:rsid w:val="00E6194B"/>
    <w:rsid w:val="00E61BBD"/>
    <w:rsid w:val="00E62195"/>
    <w:rsid w:val="00E63207"/>
    <w:rsid w:val="00E63476"/>
    <w:rsid w:val="00E639F1"/>
    <w:rsid w:val="00E65CF5"/>
    <w:rsid w:val="00E65EC6"/>
    <w:rsid w:val="00E700FF"/>
    <w:rsid w:val="00E7013F"/>
    <w:rsid w:val="00E71046"/>
    <w:rsid w:val="00E755F0"/>
    <w:rsid w:val="00E769A4"/>
    <w:rsid w:val="00E76EF0"/>
    <w:rsid w:val="00E802AD"/>
    <w:rsid w:val="00E80F7F"/>
    <w:rsid w:val="00E81793"/>
    <w:rsid w:val="00E8261D"/>
    <w:rsid w:val="00E82DF9"/>
    <w:rsid w:val="00E83926"/>
    <w:rsid w:val="00E85061"/>
    <w:rsid w:val="00E85887"/>
    <w:rsid w:val="00E87130"/>
    <w:rsid w:val="00E9078D"/>
    <w:rsid w:val="00E912A3"/>
    <w:rsid w:val="00E92034"/>
    <w:rsid w:val="00E922F1"/>
    <w:rsid w:val="00E92E26"/>
    <w:rsid w:val="00E934FD"/>
    <w:rsid w:val="00E942D2"/>
    <w:rsid w:val="00E95301"/>
    <w:rsid w:val="00E954E0"/>
    <w:rsid w:val="00E95E2E"/>
    <w:rsid w:val="00E9677C"/>
    <w:rsid w:val="00E97E8D"/>
    <w:rsid w:val="00EA08EF"/>
    <w:rsid w:val="00EA35AE"/>
    <w:rsid w:val="00EA38DF"/>
    <w:rsid w:val="00EA423F"/>
    <w:rsid w:val="00EA4A18"/>
    <w:rsid w:val="00EA5247"/>
    <w:rsid w:val="00EA6406"/>
    <w:rsid w:val="00EA6C04"/>
    <w:rsid w:val="00EA714E"/>
    <w:rsid w:val="00EA7BC2"/>
    <w:rsid w:val="00EB2125"/>
    <w:rsid w:val="00EB3E9A"/>
    <w:rsid w:val="00EB47EF"/>
    <w:rsid w:val="00EB4C13"/>
    <w:rsid w:val="00EB5370"/>
    <w:rsid w:val="00EB739C"/>
    <w:rsid w:val="00EB7709"/>
    <w:rsid w:val="00EC0C6F"/>
    <w:rsid w:val="00EC1A58"/>
    <w:rsid w:val="00EC2709"/>
    <w:rsid w:val="00EC4E9E"/>
    <w:rsid w:val="00EC73B2"/>
    <w:rsid w:val="00EC7A77"/>
    <w:rsid w:val="00EC7BC5"/>
    <w:rsid w:val="00ED1213"/>
    <w:rsid w:val="00ED1EA6"/>
    <w:rsid w:val="00ED1F97"/>
    <w:rsid w:val="00ED296A"/>
    <w:rsid w:val="00ED454B"/>
    <w:rsid w:val="00ED4791"/>
    <w:rsid w:val="00ED4E9C"/>
    <w:rsid w:val="00ED539B"/>
    <w:rsid w:val="00ED5BC7"/>
    <w:rsid w:val="00ED7C59"/>
    <w:rsid w:val="00ED7DC7"/>
    <w:rsid w:val="00EE026D"/>
    <w:rsid w:val="00EE1467"/>
    <w:rsid w:val="00EE287E"/>
    <w:rsid w:val="00EE3F2F"/>
    <w:rsid w:val="00EE50A3"/>
    <w:rsid w:val="00EE6361"/>
    <w:rsid w:val="00EF06CD"/>
    <w:rsid w:val="00EF1311"/>
    <w:rsid w:val="00EF1F73"/>
    <w:rsid w:val="00EF2AC1"/>
    <w:rsid w:val="00EF4087"/>
    <w:rsid w:val="00EF415C"/>
    <w:rsid w:val="00EF4317"/>
    <w:rsid w:val="00EF49BB"/>
    <w:rsid w:val="00EF5367"/>
    <w:rsid w:val="00EF5D19"/>
    <w:rsid w:val="00EF792C"/>
    <w:rsid w:val="00F00078"/>
    <w:rsid w:val="00F0101F"/>
    <w:rsid w:val="00F014A6"/>
    <w:rsid w:val="00F019E7"/>
    <w:rsid w:val="00F020D8"/>
    <w:rsid w:val="00F03465"/>
    <w:rsid w:val="00F03509"/>
    <w:rsid w:val="00F039F6"/>
    <w:rsid w:val="00F039F9"/>
    <w:rsid w:val="00F03A26"/>
    <w:rsid w:val="00F041CE"/>
    <w:rsid w:val="00F041E0"/>
    <w:rsid w:val="00F052F1"/>
    <w:rsid w:val="00F05345"/>
    <w:rsid w:val="00F055F6"/>
    <w:rsid w:val="00F05B41"/>
    <w:rsid w:val="00F0693E"/>
    <w:rsid w:val="00F07DEA"/>
    <w:rsid w:val="00F10D70"/>
    <w:rsid w:val="00F11158"/>
    <w:rsid w:val="00F1478F"/>
    <w:rsid w:val="00F147B2"/>
    <w:rsid w:val="00F15066"/>
    <w:rsid w:val="00F157D2"/>
    <w:rsid w:val="00F17D4A"/>
    <w:rsid w:val="00F206A9"/>
    <w:rsid w:val="00F219A5"/>
    <w:rsid w:val="00F22C36"/>
    <w:rsid w:val="00F230F4"/>
    <w:rsid w:val="00F23433"/>
    <w:rsid w:val="00F23490"/>
    <w:rsid w:val="00F24DE8"/>
    <w:rsid w:val="00F2541C"/>
    <w:rsid w:val="00F25EC3"/>
    <w:rsid w:val="00F26C37"/>
    <w:rsid w:val="00F30376"/>
    <w:rsid w:val="00F314FA"/>
    <w:rsid w:val="00F31ED1"/>
    <w:rsid w:val="00F32EB3"/>
    <w:rsid w:val="00F35EF6"/>
    <w:rsid w:val="00F40FDE"/>
    <w:rsid w:val="00F415B1"/>
    <w:rsid w:val="00F42341"/>
    <w:rsid w:val="00F45E65"/>
    <w:rsid w:val="00F461CE"/>
    <w:rsid w:val="00F46832"/>
    <w:rsid w:val="00F47115"/>
    <w:rsid w:val="00F47291"/>
    <w:rsid w:val="00F50525"/>
    <w:rsid w:val="00F50557"/>
    <w:rsid w:val="00F50BA9"/>
    <w:rsid w:val="00F50F2F"/>
    <w:rsid w:val="00F52658"/>
    <w:rsid w:val="00F53D17"/>
    <w:rsid w:val="00F54445"/>
    <w:rsid w:val="00F552A9"/>
    <w:rsid w:val="00F5628B"/>
    <w:rsid w:val="00F56688"/>
    <w:rsid w:val="00F572B1"/>
    <w:rsid w:val="00F60448"/>
    <w:rsid w:val="00F60B18"/>
    <w:rsid w:val="00F611B3"/>
    <w:rsid w:val="00F63AAF"/>
    <w:rsid w:val="00F63E0A"/>
    <w:rsid w:val="00F644DD"/>
    <w:rsid w:val="00F65330"/>
    <w:rsid w:val="00F7096E"/>
    <w:rsid w:val="00F71D06"/>
    <w:rsid w:val="00F741E3"/>
    <w:rsid w:val="00F75C54"/>
    <w:rsid w:val="00F800B7"/>
    <w:rsid w:val="00F80AE7"/>
    <w:rsid w:val="00F83DF2"/>
    <w:rsid w:val="00F84195"/>
    <w:rsid w:val="00F843F8"/>
    <w:rsid w:val="00F84665"/>
    <w:rsid w:val="00F8482C"/>
    <w:rsid w:val="00F86280"/>
    <w:rsid w:val="00F87824"/>
    <w:rsid w:val="00F878F0"/>
    <w:rsid w:val="00F90852"/>
    <w:rsid w:val="00F910A7"/>
    <w:rsid w:val="00F916B8"/>
    <w:rsid w:val="00F91D1B"/>
    <w:rsid w:val="00F91DF7"/>
    <w:rsid w:val="00F92634"/>
    <w:rsid w:val="00F92683"/>
    <w:rsid w:val="00F942A2"/>
    <w:rsid w:val="00F950EB"/>
    <w:rsid w:val="00F953AE"/>
    <w:rsid w:val="00F9545A"/>
    <w:rsid w:val="00F956C9"/>
    <w:rsid w:val="00F96B84"/>
    <w:rsid w:val="00F96F5A"/>
    <w:rsid w:val="00F974F0"/>
    <w:rsid w:val="00FA1E0D"/>
    <w:rsid w:val="00FA55CF"/>
    <w:rsid w:val="00FA59DD"/>
    <w:rsid w:val="00FA6372"/>
    <w:rsid w:val="00FA669F"/>
    <w:rsid w:val="00FA7771"/>
    <w:rsid w:val="00FB167D"/>
    <w:rsid w:val="00FB1C2E"/>
    <w:rsid w:val="00FB3165"/>
    <w:rsid w:val="00FB457A"/>
    <w:rsid w:val="00FB673B"/>
    <w:rsid w:val="00FB6BCD"/>
    <w:rsid w:val="00FB74E8"/>
    <w:rsid w:val="00FC04DE"/>
    <w:rsid w:val="00FC1D6A"/>
    <w:rsid w:val="00FC22A4"/>
    <w:rsid w:val="00FC29BF"/>
    <w:rsid w:val="00FC3997"/>
    <w:rsid w:val="00FC41FF"/>
    <w:rsid w:val="00FC421C"/>
    <w:rsid w:val="00FC4791"/>
    <w:rsid w:val="00FC4BFE"/>
    <w:rsid w:val="00FC5E8A"/>
    <w:rsid w:val="00FC75C9"/>
    <w:rsid w:val="00FD0159"/>
    <w:rsid w:val="00FD0BBA"/>
    <w:rsid w:val="00FD20E1"/>
    <w:rsid w:val="00FD2818"/>
    <w:rsid w:val="00FD4A30"/>
    <w:rsid w:val="00FD5808"/>
    <w:rsid w:val="00FD625A"/>
    <w:rsid w:val="00FD627D"/>
    <w:rsid w:val="00FD6382"/>
    <w:rsid w:val="00FD74CE"/>
    <w:rsid w:val="00FE0E81"/>
    <w:rsid w:val="00FE3004"/>
    <w:rsid w:val="00FE32AF"/>
    <w:rsid w:val="00FE3CF4"/>
    <w:rsid w:val="00FE6A1E"/>
    <w:rsid w:val="00FE6B2A"/>
    <w:rsid w:val="00FE7F66"/>
    <w:rsid w:val="00FF0343"/>
    <w:rsid w:val="00FF0CF7"/>
    <w:rsid w:val="00FF1F8D"/>
    <w:rsid w:val="00FF2D9D"/>
    <w:rsid w:val="00FF40BB"/>
    <w:rsid w:val="00FF5CED"/>
    <w:rsid w:val="00FF7300"/>
    <w:rsid w:val="00FF735B"/>
    <w:rsid w:val="031F252E"/>
    <w:rsid w:val="04AE1978"/>
    <w:rsid w:val="0A456833"/>
    <w:rsid w:val="0BA431A7"/>
    <w:rsid w:val="18E743BB"/>
    <w:rsid w:val="1ABD55E2"/>
    <w:rsid w:val="1FE96C05"/>
    <w:rsid w:val="20067791"/>
    <w:rsid w:val="2B30377A"/>
    <w:rsid w:val="2C36340F"/>
    <w:rsid w:val="2F945C9C"/>
    <w:rsid w:val="33272AF2"/>
    <w:rsid w:val="36047CFF"/>
    <w:rsid w:val="36E96223"/>
    <w:rsid w:val="403025F3"/>
    <w:rsid w:val="5385202A"/>
    <w:rsid w:val="57AC0AE4"/>
    <w:rsid w:val="6E535B46"/>
    <w:rsid w:val="6F8D0382"/>
    <w:rsid w:val="701901B8"/>
    <w:rsid w:val="70BE70F5"/>
    <w:rsid w:val="7155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0"/>
    <w:pPr>
      <w:keepNext/>
      <w:keepLines/>
      <w:spacing w:before="340" w:after="330" w:line="578" w:lineRule="auto"/>
      <w:jc w:val="center"/>
      <w:outlineLvl w:val="0"/>
    </w:pPr>
    <w:rPr>
      <w:rFonts w:eastAsia="华文行楷"/>
      <w:kern w:val="44"/>
      <w:sz w:val="44"/>
      <w:szCs w:val="20"/>
    </w:rPr>
  </w:style>
  <w:style w:type="paragraph" w:styleId="3">
    <w:name w:val="heading 2"/>
    <w:basedOn w:val="1"/>
    <w:next w:val="1"/>
    <w:link w:val="17"/>
    <w:qFormat/>
    <w:uiPriority w:val="99"/>
    <w:pPr>
      <w:keepNext/>
      <w:keepLines/>
      <w:spacing w:line="360" w:lineRule="auto"/>
      <w:jc w:val="center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4"/>
    <w:basedOn w:val="1"/>
    <w:next w:val="1"/>
    <w:link w:val="27"/>
    <w:semiHidden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0"/>
    <w:semiHidden/>
    <w:unhideWhenUsed/>
    <w:qFormat/>
    <w:uiPriority w:val="99"/>
    <w:pPr>
      <w:jc w:val="left"/>
    </w:pPr>
  </w:style>
  <w:style w:type="paragraph" w:styleId="6">
    <w:name w:val="Balloon Text"/>
    <w:basedOn w:val="1"/>
    <w:link w:val="22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2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0">
    <w:name w:val="annotation subject"/>
    <w:basedOn w:val="5"/>
    <w:next w:val="5"/>
    <w:link w:val="21"/>
    <w:semiHidden/>
    <w:unhideWhenUsed/>
    <w:qFormat/>
    <w:uiPriority w:val="99"/>
    <w:rPr>
      <w:b/>
      <w:bCs/>
    </w:rPr>
  </w:style>
  <w:style w:type="table" w:styleId="12">
    <w:name w:val="Table Grid"/>
    <w:basedOn w:val="11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Strong"/>
    <w:basedOn w:val="13"/>
    <w:qFormat/>
    <w:uiPriority w:val="22"/>
    <w:rPr>
      <w:b/>
      <w:bCs/>
    </w:rPr>
  </w:style>
  <w:style w:type="character" w:styleId="15">
    <w:name w:val="Hyperlink"/>
    <w:basedOn w:val="13"/>
    <w:semiHidden/>
    <w:unhideWhenUsed/>
    <w:qFormat/>
    <w:uiPriority w:val="99"/>
    <w:rPr>
      <w:color w:val="0000FF"/>
      <w:u w:val="single"/>
    </w:rPr>
  </w:style>
  <w:style w:type="character" w:styleId="16">
    <w:name w:val="annotation reference"/>
    <w:basedOn w:val="13"/>
    <w:semiHidden/>
    <w:unhideWhenUsed/>
    <w:qFormat/>
    <w:uiPriority w:val="99"/>
    <w:rPr>
      <w:sz w:val="21"/>
      <w:szCs w:val="21"/>
    </w:rPr>
  </w:style>
  <w:style w:type="character" w:customStyle="1" w:styleId="17">
    <w:name w:val="标题 2 Char"/>
    <w:basedOn w:val="13"/>
    <w:link w:val="3"/>
    <w:qFormat/>
    <w:uiPriority w:val="99"/>
    <w:rPr>
      <w:rFonts w:ascii="Cambria" w:hAnsi="Cambria" w:eastAsia="宋体" w:cs="Times New Roman"/>
      <w:b/>
      <w:bCs/>
      <w:sz w:val="32"/>
      <w:szCs w:val="32"/>
    </w:rPr>
  </w:style>
  <w:style w:type="character" w:customStyle="1" w:styleId="18">
    <w:name w:val="标题 1 Char"/>
    <w:basedOn w:val="13"/>
    <w:link w:val="2"/>
    <w:qFormat/>
    <w:uiPriority w:val="0"/>
    <w:rPr>
      <w:rFonts w:ascii="Times New Roman" w:hAnsi="Times New Roman" w:eastAsia="华文行楷" w:cs="Times New Roman"/>
      <w:kern w:val="44"/>
      <w:sz w:val="44"/>
      <w:szCs w:val="20"/>
    </w:rPr>
  </w:style>
  <w:style w:type="paragraph" w:customStyle="1" w:styleId="19">
    <w:name w:val="Default"/>
    <w:qFormat/>
    <w:uiPriority w:val="0"/>
    <w:pPr>
      <w:autoSpaceDE w:val="0"/>
      <w:autoSpaceDN w:val="0"/>
      <w:adjustRightInd w:val="0"/>
    </w:pPr>
    <w:rPr>
      <w:rFonts w:ascii="Georgia" w:hAnsi="Georgia" w:eastAsia="宋体" w:cs="Georgia"/>
      <w:color w:val="000000"/>
      <w:sz w:val="24"/>
      <w:szCs w:val="24"/>
      <w:lang w:val="en-US" w:eastAsia="zh-CN" w:bidi="ar-SA"/>
    </w:rPr>
  </w:style>
  <w:style w:type="character" w:customStyle="1" w:styleId="20">
    <w:name w:val="批注文字 Char"/>
    <w:basedOn w:val="13"/>
    <w:link w:val="5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1">
    <w:name w:val="批注主题 Char"/>
    <w:basedOn w:val="20"/>
    <w:link w:val="10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22">
    <w:name w:val="批注框文本 Char"/>
    <w:basedOn w:val="13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3">
    <w:name w:val="页眉 Char"/>
    <w:basedOn w:val="13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4">
    <w:name w:val="页脚 Char"/>
    <w:basedOn w:val="13"/>
    <w:link w:val="7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25">
    <w:name w:val="vsbcontent_end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6">
    <w:name w:val="List Paragraph"/>
    <w:basedOn w:val="1"/>
    <w:qFormat/>
    <w:uiPriority w:val="99"/>
    <w:pPr>
      <w:ind w:firstLine="420" w:firstLineChars="200"/>
    </w:pPr>
  </w:style>
  <w:style w:type="character" w:customStyle="1" w:styleId="27">
    <w:name w:val="标题 4 Char"/>
    <w:basedOn w:val="13"/>
    <w:link w:val="4"/>
    <w:semiHidden/>
    <w:qFormat/>
    <w:uiPriority w:val="9"/>
    <w:rPr>
      <w:rFonts w:asciiTheme="majorHAnsi" w:hAnsiTheme="majorHAnsi" w:eastAsiaTheme="majorEastAsia" w:cstheme="majorBidi"/>
      <w:b/>
      <w:bCs/>
      <w:kern w:val="2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33F283-EA02-4CAB-B7D9-8B6BED356CB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yanjiushengyuan</Company>
  <Pages>8</Pages>
  <Words>5758</Words>
  <Characters>6128</Characters>
  <Lines>137</Lines>
  <Paragraphs>38</Paragraphs>
  <TotalTime>2</TotalTime>
  <ScaleCrop>false</ScaleCrop>
  <LinksUpToDate>false</LinksUpToDate>
  <CharactersWithSpaces>6141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2025-03-05T06:47:00Z</dcterms:created>
  <dc:creator>刘明旭</dc:creator>
  <cp:lastModifiedBy>HBU</cp:lastModifiedBy>
  <cp:lastPrinted>2025-06-12T09:18:00Z</cp:lastPrinted>
  <dcterms:modified xsi:type="dcterms:W3CDTF">2025-06-12T13:42:29Z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eyJoZGlkIjoiNDIxNWE0MjhkM2VhM2U5MzIwMTc5MDY5N2Q1ZTUyZDQifQ==</vt:lpwstr>
  </property>
  <property fmtid="{D5CDD505-2E9C-101B-9397-08002B2CF9AE}" pid="4" name="ICV">
    <vt:lpwstr>CE08673C8C10412E87FC8F47DA85CE84_13</vt:lpwstr>
  </property>
</Properties>
</file>