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AFA68">
      <w:pPr>
        <w:spacing w:after="0" w:line="240" w:lineRule="auto"/>
        <w:ind w:left="337" w:leftChars="153" w:right="227"/>
        <w:jc w:val="center"/>
        <w:rPr>
          <w:rFonts w:ascii="Times New Roman" w:hAnsi="Times New Roman" w:eastAsia="黑体" w:cs="Times New Roman"/>
          <w:b/>
          <w:bCs/>
          <w:sz w:val="36"/>
          <w:szCs w:val="36"/>
          <w14:ligatures w14:val="none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  <w14:ligatures w14:val="none"/>
        </w:rPr>
        <w:t>新闻学</w:t>
      </w:r>
      <w:r>
        <w:rPr>
          <w:rFonts w:ascii="Times New Roman" w:hAnsi="Times New Roman" w:eastAsia="黑体" w:cs="Times New Roman"/>
          <w:b/>
          <w:bCs/>
          <w:sz w:val="36"/>
          <w:szCs w:val="36"/>
          <w14:ligatures w14:val="none"/>
        </w:rPr>
        <w:t>专业学术学位硕士研究生培养方案</w:t>
      </w:r>
    </w:p>
    <w:p w14:paraId="01556870">
      <w:pPr>
        <w:spacing w:after="0" w:line="240" w:lineRule="auto"/>
        <w:ind w:left="337" w:leftChars="153" w:right="227"/>
        <w:jc w:val="center"/>
        <w:rPr>
          <w:rFonts w:ascii="Times New Roman" w:hAnsi="Times New Roman" w:eastAsia="黑体" w:cs="Times New Roman"/>
          <w:b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/>
          <w:bCs/>
          <w:sz w:val="28"/>
          <w:szCs w:val="28"/>
          <w14:ligatures w14:val="none"/>
        </w:rPr>
        <w:t>（</w:t>
      </w:r>
      <w:r>
        <w:rPr>
          <w:rFonts w:hint="eastAsia" w:ascii="Times New Roman" w:hAnsi="Times New Roman" w:eastAsia="黑体" w:cs="Times New Roman"/>
          <w:b/>
          <w:bCs/>
          <w:sz w:val="28"/>
          <w:szCs w:val="28"/>
          <w14:ligatures w14:val="none"/>
        </w:rPr>
        <w:t>新闻传播</w:t>
      </w:r>
      <w:r>
        <w:rPr>
          <w:rFonts w:ascii="Times New Roman" w:hAnsi="Times New Roman" w:eastAsia="黑体" w:cs="Times New Roman"/>
          <w:b/>
          <w:bCs/>
          <w:sz w:val="28"/>
          <w:szCs w:val="28"/>
          <w14:ligatures w14:val="none"/>
        </w:rPr>
        <w:t>学院)</w:t>
      </w:r>
    </w:p>
    <w:p w14:paraId="2B11A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一、专业名称、代码</w:t>
      </w:r>
    </w:p>
    <w:p w14:paraId="5E9BFE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专业名称：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新闻学</w:t>
      </w:r>
    </w:p>
    <w:p w14:paraId="2174D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专业代码：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050301</w:t>
      </w:r>
    </w:p>
    <w:p w14:paraId="6CAF1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i/>
          <w:color w:val="FF0000"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二、</w:t>
      </w:r>
      <w:r>
        <w:rPr>
          <w:rFonts w:ascii="Times New Roman" w:hAnsi="Times New Roman" w:eastAsia="黑体" w:cs="Times New Roman"/>
          <w:bCs/>
          <w:color w:val="000000"/>
          <w:sz w:val="28"/>
          <w:szCs w:val="28"/>
          <w14:ligatures w14:val="none"/>
        </w:rPr>
        <w:t>专业简介</w:t>
      </w:r>
    </w:p>
    <w:p w14:paraId="6EF273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河北大学新闻学专业创办于1981年，1998年获得新闻学二级学科硕士学位授予权，2006年获得新闻传播学一级学科硕士学位授予权，2007年被评为首批国家级特色专业，2010年获得全国首批新闻与传播专业硕士学位授予权，2011年获得新闻传播学一级学科博士学位授予权，2012获评河北省重点学科。在多年的教学科研实践中，新闻学专业形成了“厚基础、宽口径、理论与实践相结合、服务地方经济社会发展”的办学特色。新闻学专业注重课程思政引领，引导学生形成多学科的视野，培养学生多方面的兴趣；在人才培养中，既注重学生新闻专业能力提升，也兼顾与之相关的宣传、沟通、公关、创意等传播能力的培养；注重以社会实践、工作坊、实践课等方式提升学生综合能力，充分利用社会资源、媒体资源，走出去、请进来，形成学校与社会、媒体融合的培养模式。</w:t>
      </w:r>
    </w:p>
    <w:p w14:paraId="2D109A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经过四十余年的建设和发展，新闻学专业形成了一支整体实力较强、梯队结构合理的师资队伍。2022年，“中国共产党新闻史教学”虚拟教研室获批教育部第二批虚拟教研室试点，“新闻学教学团队”获评河北省优秀教学团队；2023年，“部校共建史论融合马新观教研室”获评省级优秀基层教研室。新闻学专业教师主持国家和省部级科研项目40余项，取得了丰硕的科研成果。在重视理论教学的同时，学院还加强与媒体行业的深度合作，先后与中国新闻社、人民网、新华网、国际在线、长城新媒体、河北广播电视台、河北日报、保定新闻传媒中心等新闻单位签订战略合作协议。为了拓展学生的国际视野，提升新闻人才的培养质量，学院与美国、俄罗斯等国家签有联合人才培养项目，有20多名教师在美国、德国、法国、英国、比利时、日本、马来西亚等国家取得博士、硕士学位或开展过访学。</w:t>
      </w:r>
    </w:p>
    <w:p w14:paraId="4A2CE6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三、研究方向</w:t>
      </w:r>
    </w:p>
    <w:p w14:paraId="42B24A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为全面提升新闻传播学科建设水平，培养具有国际视野、创新能力和实践引领力的复合型传媒人才，新闻学学硕立足学科前沿发展趋势，依托在地资源，融合跨学科理论方法与创新性学术话语体系，特开设以下四个研究方向：</w:t>
      </w:r>
    </w:p>
    <w:p w14:paraId="6CAA2648">
      <w:pPr>
        <w:numPr>
          <w:ilvl w:val="0"/>
          <w:numId w:val="1"/>
        </w:numPr>
        <w:spacing w:after="0" w:line="360" w:lineRule="auto"/>
        <w:ind w:firstLine="480" w:firstLineChars="200"/>
        <w:jc w:val="both"/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新闻史论</w:t>
      </w:r>
    </w:p>
    <w:p w14:paraId="6346F156">
      <w:pPr>
        <w:spacing w:after="0" w:line="360" w:lineRule="auto"/>
        <w:ind w:firstLine="480" w:firstLineChars="200"/>
        <w:jc w:val="both"/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本方向立足中国新闻事业的历史演进与理论建构，重点研究马克思主义新闻观的本土化发展、近代华北地区新闻传播生态、红色报刊史及燕赵文化传播史等核心领域。聚焦新闻传播活动的历史脉络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和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经典范式，挖掘新闻活动与社会变革的互动关系，构建兼具历史纵深与当代价值的史论体系。毕业生可在高校、社科机构从事新闻史教学与研究工作，或进入主流媒体内容智库，为传承中国新闻事业精神、服务国家文化战略提供学术支撑。</w:t>
      </w:r>
    </w:p>
    <w:p w14:paraId="42224630">
      <w:pPr>
        <w:numPr>
          <w:ilvl w:val="0"/>
          <w:numId w:val="1"/>
        </w:numPr>
        <w:spacing w:after="0" w:line="360" w:lineRule="auto"/>
        <w:ind w:left="0" w:leftChars="0" w:firstLine="480" w:firstLineChars="200"/>
        <w:jc w:val="both"/>
        <w:rPr>
          <w:rFonts w:hint="eastAsia" w:ascii="Times New Roman" w:hAnsi="Times New Roman" w:eastAsia="宋体" w:cs="宋体"/>
          <w:i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新闻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实务</w:t>
      </w:r>
    </w:p>
    <w:p w14:paraId="345703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本方向强调马克思主义新闻观的指导作用，聚焦全媒体时代新闻生产流程重构与创新实践，重点涵盖新闻采访与写作、深度报道、新闻编辑与评论、视听新闻制作等核心领域，培养具有扎实新闻理论基础、精湛业务能力和全媒体实践素养的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具有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复合技能的专家型记者。围绕融媒体策采编发体系、新闻叙事创新及非虚构写作等核心议题，探索5G直播、AI辅助写作等前沿技术应用场景。依托实习基地，开展京津冀协同发展、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数字媒介与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乡村振兴等在地化项目。毕业生可在主流媒体、政务新媒体平台担任记者、编辑等，推动新闻生产智能化。</w:t>
      </w:r>
    </w:p>
    <w:p w14:paraId="2653509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融合新闻</w:t>
      </w:r>
    </w:p>
    <w:p w14:paraId="5292D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本方向基于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媒体深度融合发展趋势，重点研究多媒体新闻生产、数据可视化叙事、移动端新闻产品设计、社会化媒体传播等前沿领域，课程体系采用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  <w14:ligatures w14:val="none"/>
        </w:rPr>
        <w:t>“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技术+内容+传播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  <w14:ligatures w14:val="none"/>
        </w:rPr>
        <w:t>”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的跨学科架构，涵盖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融媒体研究、智能传播研究、新媒体运营等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核心课程，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注重将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新闻传播规律与人工智能、大数据、虚拟现实等技术创新应用有机结合，着重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提升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学生整合文字、图像、音频、视频等多形态内容进行融合传播的专业能力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  <w14:ligatures w14:val="none"/>
        </w:rPr>
        <w:t>，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培养学生运用智能化工具进行内容创新和传播优化的实践能力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与研究能力，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旨在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塑造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具备跨媒体叙事能力、数字技术应用能力和创新传播思维的适应媒体变革需求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  <w14:ligatures w14:val="none"/>
        </w:rPr>
        <w:t>的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高层次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应用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型新闻人才。</w:t>
      </w:r>
    </w:p>
    <w:p w14:paraId="672DEFC6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480" w:firstLineChars="200"/>
        <w:jc w:val="both"/>
        <w:textAlignment w:val="auto"/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媒介与社会治理</w:t>
      </w:r>
    </w:p>
    <w:p w14:paraId="6162B06A">
      <w:pPr>
        <w:spacing w:after="0" w:line="360" w:lineRule="auto"/>
        <w:ind w:firstLine="480" w:firstLineChars="200"/>
        <w:jc w:val="both"/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本方向重在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探索媒介技术在社会治理现代化中的赋能机制，研究政务新媒体创新、网络舆情治理及风险沟通策略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eastAsia="zh-CN"/>
          <w14:textFill>
            <w14:solidFill>
              <w14:schemeClr w14:val="tx1"/>
            </w14:solidFill>
          </w14:textFill>
          <w14:ligatures w14:val="none"/>
        </w:rPr>
        <w:t>，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构建“媒介-制度-公众”协同治理模型。通过舆论学研究、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新媒介批评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、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新媒体运营</w:t>
      </w:r>
      <w:r>
        <w:rPr>
          <w:rFonts w:hint="eastAsia" w:ascii="Times New Roman" w:hAnsi="Times New Roman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等课程，培养学生运用大数据进行舆情监测能力与社会化媒体动员能力。毕业生主要服务于党政机关宣传部门、社会治理智库及企业ESG传播岗位，助力治理能力数字化转型。</w:t>
      </w:r>
    </w:p>
    <w:p w14:paraId="240D49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四、学制及学习年限</w:t>
      </w:r>
    </w:p>
    <w:p w14:paraId="49916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本专业学制为3年，在校最长学习年限（含休学）不超过6年。</w:t>
      </w:r>
    </w:p>
    <w:p w14:paraId="06E5D9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五、培养目标</w:t>
      </w:r>
    </w:p>
    <w:p w14:paraId="523E0B9F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 xml:space="preserve">1. 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践行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社会主义核心价值观，具有坚定的理想信念，高尚的道德情操，优良的学术作风，高度的社会责任感。</w:t>
      </w:r>
    </w:p>
    <w:p w14:paraId="3150C0E8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2. 牢固树立马克思主义新闻观，熟悉中外新闻传播业的历史与现状，具有坚实的理论基础、系统的专业知识、熟练的专业技能。</w:t>
      </w:r>
    </w:p>
    <w:p w14:paraId="02055E93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3. 至少掌握一门外国语，能熟练阅读本专业的外文资料，具有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用外文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撰写学术论文和进行国际学术交流的能力。</w:t>
      </w:r>
    </w:p>
    <w:p w14:paraId="2309DC29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4. 具有良好的团队意识和团队合作精神。</w:t>
      </w:r>
    </w:p>
    <w:p w14:paraId="4C4FD18F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5. 具有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健康的身体和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良好的心理素养。</w:t>
      </w:r>
    </w:p>
    <w:p w14:paraId="1EBCD6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六、培养方式</w:t>
      </w:r>
    </w:p>
    <w:p w14:paraId="765B6993">
      <w:pPr>
        <w:spacing w:after="0" w:line="360" w:lineRule="auto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新闻学学术型硕士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培养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方式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包括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模块化课程体系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产学研协同育人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阶梯式科研训练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、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全链条实践平台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以及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动态考核与个性化发展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相结合等，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注重扎根中国新闻实践沃土，突出服务京津冀协同发展与雄安新区建设的使命，旨在培养兼具理论深度、技术素养与家国情怀的高层次新闻传播人才。</w:t>
      </w:r>
    </w:p>
    <w:p w14:paraId="120F0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七、中期筛选</w:t>
      </w:r>
    </w:p>
    <w:p w14:paraId="654269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bookmarkStart w:id="0" w:name="_Toc59002625"/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在完成培养方案规定的课程学习、考核成绩合格、获得规定的学分后，</w:t>
      </w:r>
      <w:bookmarkEnd w:id="0"/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按照《河北大学研究生中期筛选管理办法》（校政字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〔2021〕15号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）的相关规定，组织开展中期筛选工作。</w:t>
      </w:r>
    </w:p>
    <w:p w14:paraId="3FE52E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  <w14:ligatures w14:val="none"/>
        </w:rPr>
        <w:t>八</w:t>
      </w: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、学位（毕业）论文</w:t>
      </w:r>
    </w:p>
    <w:p w14:paraId="562E8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bCs/>
          <w:color w:val="222222"/>
          <w:kern w:val="0"/>
          <w:sz w:val="24"/>
          <w14:ligatures w14:val="none"/>
        </w:rPr>
        <w:t>1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.总体要求：按照《河北大学关于开展2025版研究生培养方案修订工作的指导意见》（校政字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〔2025〕</w:t>
      </w:r>
      <w:r>
        <w:rPr>
          <w:rFonts w:hint="eastAsia" w:ascii="宋体" w:hAnsi="宋体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9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号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）规定，硕士研究生论文开题与答辩时间间隔原则上不少于12个月。学位（毕业）论文应当表明作者具有独立从事学术研究工作的能力，鼓励硕士研究生参与科学研究，取得创新性成果</w:t>
      </w:r>
    </w:p>
    <w:p w14:paraId="46A110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2.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原则上在入学后第3学期（最迟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在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第4学期）完成开题。开题由3-5名具有高级专业技术职务人员参加，以学术报告的方式进行。</w:t>
      </w:r>
    </w:p>
    <w:p w14:paraId="2C0349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5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学期进行；各导师组自行制定中期考核办法并组织考核。</w:t>
      </w:r>
    </w:p>
    <w:p w14:paraId="151B50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4.学位申请：达到学位授予条件的申请人，经导师同意后，应于答辩前三个月，向所属学位评定分委员会提出学位申请，提交学位申请材料。</w:t>
      </w:r>
    </w:p>
    <w:p w14:paraId="53EC93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5.预答辩：学位申请人须进行学位论文预答辩。预答辩通过者，方可进入学位论文评阅、学位论文答辩等环节。学位（毕业）论文预答辩在正式答辩前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3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个月进行。</w:t>
      </w:r>
    </w:p>
    <w:p w14:paraId="35E43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6.论文评阅：学位（毕业）论文在获得导师组认可，经培养单位形式审查合格，并通过预答辩，方可提出进入评阅程序的申请。论文评阅在正式答辩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前40天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由研究生提出，由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学院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依据相关规定进行匿名评审。评阅结果及异议处理按照《河北大学研究生学位论文或者实践成果评审管理办法》（校政字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〔2025〕8号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）执行。</w:t>
      </w:r>
    </w:p>
    <w:p w14:paraId="622F52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7.答辩：学位（毕业）论文答辩按照《河北大学博士、硕士学位授予工作实施细则》（校政字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〔2025〕7号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）执行。</w:t>
      </w:r>
    </w:p>
    <w:p w14:paraId="3E95B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  <w14:ligatures w14:val="none"/>
        </w:rPr>
        <w:t>九</w:t>
      </w: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、毕业条件</w:t>
      </w:r>
    </w:p>
    <w:p w14:paraId="112641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bCs/>
          <w:sz w:val="24"/>
          <w14:ligatures w14:val="none"/>
        </w:rPr>
        <w:t>1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. 课程学习。研究生在规定修业年限内完成培养方案规定的课程学习，考核成绩合格，获得规定的学分。</w:t>
      </w:r>
    </w:p>
    <w:p w14:paraId="03A60B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2. 学术活动。研究生在读期间参加不少于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10次学术活动，并撰写学术报告小结；以主讲人或宣讲人身份，参加在校内外举行的学术报告或学术讲座不少于1次。</w:t>
      </w:r>
    </w:p>
    <w:p w14:paraId="3AFB83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3. 符合提前毕业条件的研究生，可按照学校相关规定申请提前毕业。</w:t>
      </w:r>
    </w:p>
    <w:p w14:paraId="5DE236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4. 论文答辩。学位（毕业）论文经专家评审合格、通过学位（毕业）答辩，符合毕业资格审查后，准予毕业。</w:t>
      </w:r>
    </w:p>
    <w:p w14:paraId="4A5BF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  <w14:ligatures w14:val="none"/>
        </w:rPr>
        <w:t>十</w:t>
      </w: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、创新性成果</w:t>
      </w:r>
    </w:p>
    <w:p w14:paraId="7FD9F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鼓励研究生参加导师相关课题研究，具体要求与标准见《新闻传播学院关于研究生申请学位取得创新性成果的规定》。</w:t>
      </w:r>
    </w:p>
    <w:p w14:paraId="5A4292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十一、学位授予</w:t>
      </w:r>
    </w:p>
    <w:p w14:paraId="46FB9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研究生通过毕业资格审查，满足</w:t>
      </w:r>
      <w:r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本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学院制定的创新性成果要求，符合《河北大学博士、硕士学位授予工作实施细则》（校政字〔2025〕7号）的有关规定</w:t>
      </w: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，达到学校学位授予标准，经学校学位评定委员会审议，授予硕士学位。</w:t>
      </w:r>
    </w:p>
    <w:p w14:paraId="3DBB76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560" w:firstLineChars="200"/>
        <w:jc w:val="both"/>
        <w:textAlignment w:val="auto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十</w:t>
      </w:r>
      <w:r>
        <w:rPr>
          <w:rFonts w:hint="eastAsia" w:ascii="Times New Roman" w:hAnsi="Times New Roman" w:eastAsia="黑体" w:cs="Times New Roman"/>
          <w:bCs/>
          <w:sz w:val="28"/>
          <w:szCs w:val="28"/>
          <w14:ligatures w14:val="none"/>
        </w:rPr>
        <w:t>二</w:t>
      </w: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、学分及课程设置</w:t>
      </w:r>
    </w:p>
    <w:p w14:paraId="0209A5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本专业最低毕业学分为</w:t>
      </w:r>
      <w:r>
        <w:rPr>
          <w:rFonts w:hint="eastAsia" w:ascii="宋体" w:hAnsi="宋体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30学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分，其中学位课</w:t>
      </w:r>
      <w:r>
        <w:rPr>
          <w:rFonts w:hint="eastAsia" w:ascii="宋体" w:hAnsi="宋体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17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学分，非学位课</w:t>
      </w:r>
      <w:r>
        <w:rPr>
          <w:rFonts w:hint="eastAsia" w:ascii="宋体" w:hAnsi="宋体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12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学分，必修环节</w:t>
      </w:r>
      <w:r>
        <w:rPr>
          <w:rFonts w:hint="eastAsia" w:ascii="宋体" w:hAnsi="宋体" w:eastAsia="宋体" w:cs="宋体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  <w:t>1学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分。</w:t>
      </w:r>
    </w:p>
    <w:p w14:paraId="47208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研究生课程考试不设补考环节，考试成绩低于60分的需重修。</w:t>
      </w:r>
    </w:p>
    <w:p w14:paraId="5A080D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课程考核方式包括考试和考查，可以采用口试、笔试或写读书报告、论文的形式。无论采取何种考核方式，均应能真实反映学生对所学课程掌握的程度及运用知识的能力，成绩均按百分制成绩评定。</w:t>
      </w:r>
    </w:p>
    <w:p w14:paraId="29D66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096AC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2798C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28BEB3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1AA158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1E1F43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55D4F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7DC92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04903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272720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7996DE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3699A6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0659E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21A8E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3FFE2C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34D344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4436D4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54A1D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22D775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454B13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0A4FFE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0008C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40AD3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firstLine="480" w:firstLineChars="200"/>
        <w:jc w:val="both"/>
        <w:textAlignment w:val="auto"/>
        <w:rPr>
          <w:rFonts w:hint="eastAsia"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</w:p>
    <w:p w14:paraId="55489C4D">
      <w:pPr>
        <w:spacing w:after="156" w:afterLines="50" w:line="440" w:lineRule="exact"/>
        <w:ind w:firstLine="482" w:firstLineChars="200"/>
        <w:jc w:val="center"/>
        <w:rPr>
          <w:rFonts w:ascii="Times New Roman" w:hAnsi="Times New Roman" w:eastAsia="宋体" w:cs="Times New Roman"/>
          <w:b/>
          <w:bCs/>
          <w:sz w:val="24"/>
          <w14:ligatures w14:val="none"/>
        </w:rPr>
      </w:pPr>
      <w:r>
        <w:rPr>
          <w:rFonts w:hint="eastAsia" w:ascii="Times New Roman" w:hAnsi="Times New Roman" w:eastAsia="宋体" w:cs="Times New Roman"/>
          <w:b/>
          <w:bCs/>
          <w:sz w:val="24"/>
          <w14:ligatures w14:val="none"/>
        </w:rPr>
        <w:t>新闻学</w:t>
      </w:r>
      <w:r>
        <w:rPr>
          <w:rFonts w:ascii="Times New Roman" w:hAnsi="Times New Roman" w:eastAsia="宋体" w:cs="Times New Roman"/>
          <w:b/>
          <w:bCs/>
          <w:sz w:val="24"/>
          <w14:ligatures w14:val="none"/>
        </w:rPr>
        <w:t>专业学术学位硕士研究生课程及培养环节设置一览表</w:t>
      </w:r>
    </w:p>
    <w:tbl>
      <w:tblPr>
        <w:tblStyle w:val="13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104000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gridSpan w:val="2"/>
            <w:vAlign w:val="center"/>
          </w:tcPr>
          <w:p w14:paraId="5DA1065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057E408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77E68F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  <w:t>课程编号</w:t>
            </w:r>
          </w:p>
        </w:tc>
        <w:tc>
          <w:tcPr>
            <w:tcW w:w="709" w:type="dxa"/>
            <w:vAlign w:val="center"/>
          </w:tcPr>
          <w:p w14:paraId="278D911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  <w:t>学分</w:t>
            </w:r>
          </w:p>
        </w:tc>
        <w:tc>
          <w:tcPr>
            <w:tcW w:w="709" w:type="dxa"/>
            <w:vAlign w:val="center"/>
          </w:tcPr>
          <w:p w14:paraId="7D04E70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  <w:t>学期</w:t>
            </w:r>
          </w:p>
        </w:tc>
        <w:tc>
          <w:tcPr>
            <w:tcW w:w="1045" w:type="dxa"/>
            <w:vAlign w:val="center"/>
          </w:tcPr>
          <w:p w14:paraId="401F6A5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21"/>
                <w:szCs w:val="21"/>
                <w14:ligatures w14:val="none"/>
              </w:rPr>
              <w:t>备注</w:t>
            </w:r>
          </w:p>
        </w:tc>
      </w:tr>
      <w:tr w14:paraId="06C3AF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571" w:type="dxa"/>
            <w:vMerge w:val="restart"/>
            <w:vAlign w:val="center"/>
          </w:tcPr>
          <w:p w14:paraId="02508D2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67441BB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公共必修课</w:t>
            </w:r>
          </w:p>
          <w:p w14:paraId="3AE7E95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4</w:t>
            </w: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学分）</w:t>
            </w:r>
          </w:p>
        </w:tc>
        <w:tc>
          <w:tcPr>
            <w:tcW w:w="3516" w:type="dxa"/>
            <w:vAlign w:val="center"/>
          </w:tcPr>
          <w:p w14:paraId="6DEF7F60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17F67EBD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TS0000001</w:t>
            </w:r>
          </w:p>
        </w:tc>
        <w:tc>
          <w:tcPr>
            <w:tcW w:w="709" w:type="dxa"/>
            <w:vAlign w:val="center"/>
          </w:tcPr>
          <w:p w14:paraId="6668CBA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5D5AED2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0449300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3DE121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571" w:type="dxa"/>
            <w:vMerge w:val="continue"/>
            <w:vAlign w:val="center"/>
          </w:tcPr>
          <w:p w14:paraId="1C20001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2AF13F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619DE6BC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01A9ABBE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TS0000002</w:t>
            </w:r>
          </w:p>
        </w:tc>
        <w:tc>
          <w:tcPr>
            <w:tcW w:w="709" w:type="dxa"/>
            <w:vAlign w:val="center"/>
          </w:tcPr>
          <w:p w14:paraId="652E4BA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3C18FEE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25F8339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153208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0D76A3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3124F5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14:ligatures w14:val="none"/>
              </w:rPr>
              <w:t>学科基础课</w:t>
            </w:r>
          </w:p>
          <w:p w14:paraId="507A9F8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14:ligatures w14:val="none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:lang w:val="en-US" w:eastAsia="zh-CN"/>
                <w14:ligatures w14:val="none"/>
              </w:rPr>
              <w:t>7</w:t>
            </w: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14:ligatures w14:val="none"/>
              </w:rPr>
              <w:t>学分）</w:t>
            </w:r>
          </w:p>
        </w:tc>
        <w:tc>
          <w:tcPr>
            <w:tcW w:w="3516" w:type="dxa"/>
            <w:vAlign w:val="center"/>
          </w:tcPr>
          <w:p w14:paraId="0B4640E8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文献阅读、</w:t>
            </w: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学术道德与论文写作</w:t>
            </w:r>
          </w:p>
        </w:tc>
        <w:tc>
          <w:tcPr>
            <w:tcW w:w="1081" w:type="dxa"/>
            <w:vAlign w:val="center"/>
          </w:tcPr>
          <w:p w14:paraId="2134AF5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i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XS0203001</w:t>
            </w:r>
          </w:p>
        </w:tc>
        <w:tc>
          <w:tcPr>
            <w:tcW w:w="709" w:type="dxa"/>
            <w:vAlign w:val="center"/>
          </w:tcPr>
          <w:p w14:paraId="7D386DA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78D2BA7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47474BC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i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446EFE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B848FD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78F42FC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2E1ECC4B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新闻传播史</w:t>
            </w:r>
          </w:p>
        </w:tc>
        <w:tc>
          <w:tcPr>
            <w:tcW w:w="1081" w:type="dxa"/>
            <w:vAlign w:val="center"/>
          </w:tcPr>
          <w:p w14:paraId="6E902BAA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FF0000"/>
                <w:sz w:val="18"/>
                <w:szCs w:val="18"/>
                <w:lang w:val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XS0203002</w:t>
            </w:r>
          </w:p>
        </w:tc>
        <w:tc>
          <w:tcPr>
            <w:tcW w:w="709" w:type="dxa"/>
            <w:vAlign w:val="center"/>
          </w:tcPr>
          <w:p w14:paraId="2BE81178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FF0000"/>
                <w:sz w:val="21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00F2F40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038946D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17DAB8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113E45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32BA9A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5D1879F5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新闻传播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学</w:t>
            </w: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研究方法</w:t>
            </w:r>
          </w:p>
        </w:tc>
        <w:tc>
          <w:tcPr>
            <w:tcW w:w="1081" w:type="dxa"/>
            <w:vAlign w:val="center"/>
          </w:tcPr>
          <w:p w14:paraId="0F0B836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XS0203003</w:t>
            </w:r>
          </w:p>
        </w:tc>
        <w:tc>
          <w:tcPr>
            <w:tcW w:w="709" w:type="dxa"/>
            <w:vAlign w:val="center"/>
          </w:tcPr>
          <w:p w14:paraId="47BBA56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3</w:t>
            </w:r>
          </w:p>
        </w:tc>
        <w:tc>
          <w:tcPr>
            <w:tcW w:w="709" w:type="dxa"/>
            <w:vAlign w:val="center"/>
          </w:tcPr>
          <w:p w14:paraId="04C5751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2629422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10F99E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CF2DE1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C3DD53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专业必修课</w:t>
            </w:r>
          </w:p>
          <w:p w14:paraId="7B2A85A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14:ligatures w14:val="none"/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:lang w:val="en-US" w:eastAsia="zh-CN"/>
                <w14:ligatures w14:val="none"/>
              </w:rPr>
              <w:t>6</w:t>
            </w: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:highlight w:val="none"/>
                <w14:ligatures w14:val="none"/>
              </w:rPr>
              <w:t>学分）</w:t>
            </w:r>
          </w:p>
        </w:tc>
        <w:tc>
          <w:tcPr>
            <w:tcW w:w="3516" w:type="dxa"/>
            <w:vAlign w:val="top"/>
          </w:tcPr>
          <w:p w14:paraId="295691F1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18"/>
                <w:szCs w:val="18"/>
                <w14:ligatures w14:val="none"/>
              </w:rPr>
              <w:t>新闻传播理论</w:t>
            </w:r>
          </w:p>
        </w:tc>
        <w:tc>
          <w:tcPr>
            <w:tcW w:w="1081" w:type="dxa"/>
            <w:vAlign w:val="center"/>
          </w:tcPr>
          <w:p w14:paraId="79299374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FF0000"/>
                <w:sz w:val="18"/>
                <w:szCs w:val="18"/>
                <w:lang w:val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XS0203004</w:t>
            </w:r>
          </w:p>
        </w:tc>
        <w:tc>
          <w:tcPr>
            <w:tcW w:w="709" w:type="dxa"/>
            <w:vAlign w:val="center"/>
          </w:tcPr>
          <w:p w14:paraId="4B0ABF3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7656F819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0178C3B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7FE58C4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35384B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617BE9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17F8192D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21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新闻传播政策、法律与伦理</w:t>
            </w:r>
          </w:p>
        </w:tc>
        <w:tc>
          <w:tcPr>
            <w:tcW w:w="1081" w:type="dxa"/>
            <w:vAlign w:val="center"/>
          </w:tcPr>
          <w:p w14:paraId="23EA9729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FF0000"/>
                <w:sz w:val="18"/>
                <w:szCs w:val="18"/>
                <w:lang w:val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XS0203005</w:t>
            </w:r>
          </w:p>
        </w:tc>
        <w:tc>
          <w:tcPr>
            <w:tcW w:w="709" w:type="dxa"/>
            <w:vAlign w:val="center"/>
          </w:tcPr>
          <w:p w14:paraId="79B5C22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4CE55BB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21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15FC020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5D50C58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34C85CA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597202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top"/>
          </w:tcPr>
          <w:p w14:paraId="11B93576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i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18"/>
                <w:szCs w:val="18"/>
                <w14:ligatures w14:val="none"/>
              </w:rPr>
              <w:t>马克思主义新闻学</w:t>
            </w:r>
          </w:p>
        </w:tc>
        <w:tc>
          <w:tcPr>
            <w:tcW w:w="1081" w:type="dxa"/>
            <w:vAlign w:val="center"/>
          </w:tcPr>
          <w:p w14:paraId="0944B9AD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i/>
                <w:color w:val="FF0000"/>
                <w:sz w:val="18"/>
                <w:szCs w:val="18"/>
                <w:lang w:val="en-US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XS0205006</w:t>
            </w:r>
          </w:p>
        </w:tc>
        <w:tc>
          <w:tcPr>
            <w:tcW w:w="709" w:type="dxa"/>
            <w:vAlign w:val="center"/>
          </w:tcPr>
          <w:p w14:paraId="2C93D21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3DF0086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Align w:val="center"/>
          </w:tcPr>
          <w:p w14:paraId="3C7E88B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30D42D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571" w:type="dxa"/>
            <w:vMerge w:val="restart"/>
            <w:vAlign w:val="center"/>
          </w:tcPr>
          <w:p w14:paraId="24431DD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非学位课</w:t>
            </w:r>
          </w:p>
          <w:p w14:paraId="2486457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DDC94C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公共通识课</w:t>
            </w:r>
          </w:p>
          <w:p w14:paraId="5245523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（2学分）</w:t>
            </w:r>
          </w:p>
        </w:tc>
        <w:tc>
          <w:tcPr>
            <w:tcW w:w="3516" w:type="dxa"/>
            <w:vAlign w:val="center"/>
          </w:tcPr>
          <w:p w14:paraId="486EF3D9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638DA1B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TT0000101</w:t>
            </w:r>
          </w:p>
        </w:tc>
        <w:tc>
          <w:tcPr>
            <w:tcW w:w="709" w:type="dxa"/>
            <w:vAlign w:val="center"/>
          </w:tcPr>
          <w:p w14:paraId="4B81300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361BB0B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5F573D3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2A3E705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571" w:type="dxa"/>
            <w:vMerge w:val="continue"/>
            <w:vAlign w:val="center"/>
          </w:tcPr>
          <w:p w14:paraId="56E4CB3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tcBorders>
              <w:bottom w:val="single" w:color="000000" w:sz="4" w:space="0"/>
            </w:tcBorders>
            <w:vAlign w:val="center"/>
          </w:tcPr>
          <w:p w14:paraId="22542DDC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12700B98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马克思主义与社会科学方法论</w:t>
            </w:r>
          </w:p>
        </w:tc>
        <w:tc>
          <w:tcPr>
            <w:tcW w:w="1081" w:type="dxa"/>
            <w:vAlign w:val="center"/>
          </w:tcPr>
          <w:p w14:paraId="6F79824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TS0000101</w:t>
            </w:r>
          </w:p>
        </w:tc>
        <w:tc>
          <w:tcPr>
            <w:tcW w:w="709" w:type="dxa"/>
            <w:vAlign w:val="center"/>
          </w:tcPr>
          <w:p w14:paraId="2389047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5A7D152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0BA0934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21229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" w:hRule="atLeast"/>
          <w:jc w:val="center"/>
        </w:trPr>
        <w:tc>
          <w:tcPr>
            <w:tcW w:w="571" w:type="dxa"/>
            <w:vMerge w:val="continue"/>
            <w:vAlign w:val="center"/>
          </w:tcPr>
          <w:p w14:paraId="1B89D08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restart"/>
            <w:tcBorders>
              <w:top w:val="single" w:color="000000" w:sz="4" w:space="0"/>
            </w:tcBorders>
            <w:vAlign w:val="center"/>
          </w:tcPr>
          <w:p w14:paraId="11116F76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  <w14:ligatures w14:val="none"/>
              </w:rPr>
              <w:t>专业选修课</w:t>
            </w:r>
          </w:p>
          <w:p w14:paraId="6CCE7517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/>
                <w:sz w:val="18"/>
                <w:szCs w:val="18"/>
                <w:lang w:val="en-US" w:eastAsia="zh-CN"/>
                <w14:ligatures w14:val="none"/>
              </w:rPr>
              <w:t>（共18学分，至少选修10学分）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64EDBFFB">
            <w:pPr>
              <w:spacing w:after="0" w:line="240" w:lineRule="auto"/>
              <w:jc w:val="both"/>
              <w:rPr>
                <w:rFonts w:hint="eastAsia" w:ascii="Times New Roman" w:hAnsi="Times New Roman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国际传播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FEAF048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XS0203101</w:t>
            </w:r>
          </w:p>
        </w:tc>
        <w:tc>
          <w:tcPr>
            <w:tcW w:w="709" w:type="dxa"/>
            <w:vAlign w:val="center"/>
          </w:tcPr>
          <w:p w14:paraId="4310A37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705B031C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6E9339F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48EB8A6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71" w:type="dxa"/>
            <w:vMerge w:val="continue"/>
            <w:vAlign w:val="center"/>
          </w:tcPr>
          <w:p w14:paraId="6D97F91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DEF757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254E59B">
            <w:pPr>
              <w:spacing w:after="0" w:line="240" w:lineRule="auto"/>
              <w:jc w:val="both"/>
              <w:rPr>
                <w:rFonts w:hint="eastAsia" w:ascii="Times New Roman" w:hAnsi="Times New Roman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智能传播研究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92378D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XS0203102</w:t>
            </w:r>
          </w:p>
        </w:tc>
        <w:tc>
          <w:tcPr>
            <w:tcW w:w="709" w:type="dxa"/>
            <w:vAlign w:val="center"/>
          </w:tcPr>
          <w:p w14:paraId="154DADD6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2BC9DAF3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0FFE3282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考查</w:t>
            </w:r>
          </w:p>
        </w:tc>
      </w:tr>
      <w:tr w14:paraId="471CB9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  <w:jc w:val="center"/>
        </w:trPr>
        <w:tc>
          <w:tcPr>
            <w:tcW w:w="571" w:type="dxa"/>
            <w:vMerge w:val="continue"/>
            <w:vAlign w:val="center"/>
          </w:tcPr>
          <w:p w14:paraId="2DB2E88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BE57D8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E0E9177">
            <w:pPr>
              <w:spacing w:after="0" w:line="240" w:lineRule="auto"/>
              <w:jc w:val="both"/>
              <w:rPr>
                <w:rFonts w:hint="eastAsia" w:ascii="Times New Roman" w:hAnsi="Times New Roman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新媒介批评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FEF7D1D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XS0203103</w:t>
            </w:r>
          </w:p>
        </w:tc>
        <w:tc>
          <w:tcPr>
            <w:tcW w:w="709" w:type="dxa"/>
            <w:vAlign w:val="center"/>
          </w:tcPr>
          <w:p w14:paraId="619F972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42778AC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7F14415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5D7DE9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71" w:type="dxa"/>
            <w:vMerge w:val="continue"/>
            <w:vAlign w:val="center"/>
          </w:tcPr>
          <w:p w14:paraId="186A28F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BB2AE7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0DC45E0">
            <w:pPr>
              <w:spacing w:after="0" w:line="240" w:lineRule="auto"/>
              <w:jc w:val="both"/>
              <w:rPr>
                <w:rFonts w:hint="eastAsia" w:ascii="Times New Roman" w:hAnsi="Times New Roman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融媒体研究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D718E20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XS0203104</w:t>
            </w:r>
          </w:p>
        </w:tc>
        <w:tc>
          <w:tcPr>
            <w:tcW w:w="709" w:type="dxa"/>
            <w:vAlign w:val="center"/>
          </w:tcPr>
          <w:p w14:paraId="78661CB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00698AEE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6C03812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237A72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571" w:type="dxa"/>
            <w:vMerge w:val="continue"/>
            <w:vAlign w:val="center"/>
          </w:tcPr>
          <w:p w14:paraId="7CE0FAB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DFFA79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3CCDC44">
            <w:pPr>
              <w:spacing w:after="0" w:line="240" w:lineRule="auto"/>
              <w:jc w:val="both"/>
              <w:rPr>
                <w:rFonts w:hint="eastAsia" w:ascii="Times New Roman" w:hAnsi="Times New Roman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舆论学研究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52AEE1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XS0203105</w:t>
            </w:r>
          </w:p>
        </w:tc>
        <w:tc>
          <w:tcPr>
            <w:tcW w:w="709" w:type="dxa"/>
            <w:vAlign w:val="center"/>
          </w:tcPr>
          <w:p w14:paraId="6AFC32C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6835015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54823D6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186F87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571" w:type="dxa"/>
            <w:vMerge w:val="continue"/>
            <w:vAlign w:val="center"/>
          </w:tcPr>
          <w:p w14:paraId="639C480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D83501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1A35FC3">
            <w:pPr>
              <w:spacing w:after="0" w:line="240" w:lineRule="auto"/>
              <w:jc w:val="both"/>
              <w:rPr>
                <w:rFonts w:hint="eastAsia" w:ascii="Times New Roman" w:hAnsi="Times New Roman" w:eastAsiaTheme="minorEastAsia" w:cstheme="minorBidi"/>
                <w:kern w:val="2"/>
                <w:sz w:val="22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世界经典新闻作品选讲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39D8F88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XS0203106</w:t>
            </w:r>
          </w:p>
        </w:tc>
        <w:tc>
          <w:tcPr>
            <w:tcW w:w="709" w:type="dxa"/>
            <w:vAlign w:val="center"/>
          </w:tcPr>
          <w:p w14:paraId="2E98507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24549D7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5D29675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2C12C24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71" w:type="dxa"/>
            <w:vMerge w:val="continue"/>
            <w:vAlign w:val="center"/>
          </w:tcPr>
          <w:p w14:paraId="55AB996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32A1F1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1F7F1DF">
            <w:pPr>
              <w:spacing w:after="0" w:line="240" w:lineRule="auto"/>
              <w:jc w:val="both"/>
              <w:rPr>
                <w:rFonts w:hint="eastAsia" w:ascii="Times New Roman" w:hAnsi="Times New Roman" w:eastAsiaTheme="minorEastAsia" w:cstheme="minorBidi"/>
                <w:kern w:val="2"/>
                <w:sz w:val="22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:lang w:val="en-US" w:eastAsia="zh-CN"/>
                <w14:ligatures w14:val="none"/>
              </w:rPr>
              <w:t>新媒体运营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006F88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XS0203107</w:t>
            </w:r>
          </w:p>
        </w:tc>
        <w:tc>
          <w:tcPr>
            <w:tcW w:w="709" w:type="dxa"/>
            <w:vAlign w:val="center"/>
          </w:tcPr>
          <w:p w14:paraId="3678A73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4DB3927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7D07B75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考查</w:t>
            </w:r>
          </w:p>
        </w:tc>
      </w:tr>
      <w:tr w14:paraId="09C96A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71" w:type="dxa"/>
            <w:vMerge w:val="continue"/>
            <w:vAlign w:val="center"/>
          </w:tcPr>
          <w:p w14:paraId="017E469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46693E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E43D8BC">
            <w:pPr>
              <w:spacing w:after="0" w:line="240" w:lineRule="auto"/>
              <w:jc w:val="both"/>
              <w:rPr>
                <w:rFonts w:hint="eastAsia" w:ascii="Times New Roman" w:hAnsi="Times New Roman" w:eastAsiaTheme="minorEastAsia" w:cstheme="minorBidi"/>
                <w:kern w:val="2"/>
                <w:sz w:val="22"/>
                <w:szCs w:val="24"/>
                <w:lang w:val="en-US" w:eastAsia="zh-CN" w:bidi="ar-SA"/>
                <w14:ligatures w14:val="standardContextual"/>
              </w:rPr>
            </w:pPr>
            <w:r>
              <w:rPr>
                <w:rFonts w:hint="eastAsia" w:ascii="Times New Roman" w:hAnsi="Times New Roman" w:eastAsia="宋体" w:cs="宋体"/>
                <w:bCs/>
                <w:sz w:val="18"/>
                <w:szCs w:val="18"/>
                <w14:ligatures w14:val="none"/>
              </w:rPr>
              <w:t>视觉传播经典文献选读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BDE79DE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XS0205116</w:t>
            </w:r>
          </w:p>
        </w:tc>
        <w:tc>
          <w:tcPr>
            <w:tcW w:w="709" w:type="dxa"/>
            <w:vAlign w:val="center"/>
          </w:tcPr>
          <w:p w14:paraId="40F5FDC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2</w:t>
            </w:r>
          </w:p>
        </w:tc>
        <w:tc>
          <w:tcPr>
            <w:tcW w:w="709" w:type="dxa"/>
            <w:vAlign w:val="center"/>
          </w:tcPr>
          <w:p w14:paraId="3814D99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vAlign w:val="center"/>
          </w:tcPr>
          <w:p w14:paraId="12EC2EB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14:ligatures w14:val="none"/>
              </w:rPr>
              <w:t>考查</w:t>
            </w:r>
          </w:p>
        </w:tc>
      </w:tr>
      <w:tr w14:paraId="5801223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3044E6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03C949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7A521B1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  <w14:ligatures w14:val="none"/>
              </w:rPr>
              <w:t>马克思主义新闻观论著导读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F04733B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B8AA9E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1DBD26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1C73FA1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考查</w:t>
            </w:r>
          </w:p>
        </w:tc>
      </w:tr>
      <w:tr w14:paraId="3387C9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571" w:type="dxa"/>
            <w:vMerge w:val="restart"/>
            <w:vAlign w:val="center"/>
          </w:tcPr>
          <w:p w14:paraId="4EA0657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必修环节</w:t>
            </w:r>
          </w:p>
          <w:p w14:paraId="7A61058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71F006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7B609915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43DDB71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BC5959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608B07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2666098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i/>
                <w:color w:val="FF0000"/>
                <w:sz w:val="18"/>
                <w:szCs w:val="18"/>
                <w14:ligatures w14:val="none"/>
              </w:rPr>
            </w:pPr>
          </w:p>
        </w:tc>
      </w:tr>
      <w:tr w14:paraId="72D542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2" w:hRule="atLeast"/>
          <w:jc w:val="center"/>
        </w:trPr>
        <w:tc>
          <w:tcPr>
            <w:tcW w:w="571" w:type="dxa"/>
            <w:vMerge w:val="continue"/>
            <w:vAlign w:val="center"/>
          </w:tcPr>
          <w:p w14:paraId="7B441E3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F49123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314D35E1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7A18C77C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3A9DC9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467FEF42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045" w:type="dxa"/>
            <w:vMerge w:val="continue"/>
            <w:vAlign w:val="center"/>
          </w:tcPr>
          <w:p w14:paraId="350A9A7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  <w:tr w14:paraId="19C746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  <w:jc w:val="center"/>
        </w:trPr>
        <w:tc>
          <w:tcPr>
            <w:tcW w:w="571" w:type="dxa"/>
            <w:vMerge w:val="continue"/>
            <w:vAlign w:val="center"/>
          </w:tcPr>
          <w:p w14:paraId="7A74E9DD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23CC1D6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1FE52701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竞赛活动</w:t>
            </w:r>
          </w:p>
        </w:tc>
        <w:tc>
          <w:tcPr>
            <w:tcW w:w="1081" w:type="dxa"/>
            <w:vAlign w:val="center"/>
          </w:tcPr>
          <w:p w14:paraId="3516195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2BD81A5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FF0000"/>
                <w:sz w:val="18"/>
                <w:szCs w:val="18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709" w:type="dxa"/>
            <w:vAlign w:val="center"/>
          </w:tcPr>
          <w:p w14:paraId="1C776ABA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045" w:type="dxa"/>
            <w:vMerge w:val="continue"/>
            <w:vAlign w:val="center"/>
          </w:tcPr>
          <w:p w14:paraId="2C46235C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  <w:tr w14:paraId="758E18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571" w:type="dxa"/>
            <w:vMerge w:val="continue"/>
            <w:vAlign w:val="center"/>
          </w:tcPr>
          <w:p w14:paraId="12A89E2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FD54F0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126249B8">
            <w:pPr>
              <w:adjustRightInd w:val="0"/>
              <w:snapToGrid w:val="0"/>
              <w:spacing w:after="0" w:line="240" w:lineRule="auto"/>
              <w:jc w:val="both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  <w14:ligatures w14:val="none"/>
              </w:rPr>
              <w:t>学术组会</w:t>
            </w:r>
            <w:bookmarkStart w:id="1" w:name="_GoBack"/>
            <w:bookmarkEnd w:id="1"/>
          </w:p>
        </w:tc>
        <w:tc>
          <w:tcPr>
            <w:tcW w:w="1081" w:type="dxa"/>
            <w:vAlign w:val="center"/>
          </w:tcPr>
          <w:p w14:paraId="69B086C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58A4A583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34C1374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highlight w:val="none"/>
                <w:lang w:val="en-US" w:eastAsia="zh-CN"/>
                <w14:ligatures w14:val="none"/>
              </w:rPr>
              <w:t>3</w:t>
            </w:r>
          </w:p>
        </w:tc>
        <w:tc>
          <w:tcPr>
            <w:tcW w:w="1045" w:type="dxa"/>
            <w:vAlign w:val="center"/>
          </w:tcPr>
          <w:p w14:paraId="344E307D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每月不少于2次</w:t>
            </w:r>
          </w:p>
        </w:tc>
      </w:tr>
      <w:tr w14:paraId="5DCBB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DA7C093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2D0DB9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318400F9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30262C3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37C33E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EE09FB5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3</w:t>
            </w:r>
          </w:p>
        </w:tc>
        <w:tc>
          <w:tcPr>
            <w:tcW w:w="1045" w:type="dxa"/>
            <w:vMerge w:val="restart"/>
            <w:vAlign w:val="center"/>
          </w:tcPr>
          <w:p w14:paraId="5A5B945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过程管理</w:t>
            </w:r>
          </w:p>
          <w:p w14:paraId="06574A5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无学分</w:t>
            </w:r>
          </w:p>
        </w:tc>
      </w:tr>
      <w:tr w14:paraId="5618A2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B826DAE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5B6A9A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4B96D4F7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7474E02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2C7D22B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06D696AA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715E9F7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  <w:tr w14:paraId="377E8E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A295A3A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F7723C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48A593A4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sz w:val="18"/>
                <w:szCs w:val="18"/>
                <w14:ligatures w14:val="none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131DD385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7A48601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59B5D3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5</w:t>
            </w:r>
          </w:p>
        </w:tc>
        <w:tc>
          <w:tcPr>
            <w:tcW w:w="1045" w:type="dxa"/>
            <w:vMerge w:val="continue"/>
          </w:tcPr>
          <w:p w14:paraId="7453375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  <w:tr w14:paraId="78F50F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D2D7714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43E050C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b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7A545B79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1146210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A6EBF5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15B07C9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5-6</w:t>
            </w:r>
          </w:p>
        </w:tc>
        <w:tc>
          <w:tcPr>
            <w:tcW w:w="1045" w:type="dxa"/>
            <w:vMerge w:val="continue"/>
          </w:tcPr>
          <w:p w14:paraId="2EA7DDCF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  <w:tr w14:paraId="01C075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C6D6313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</w:tcPr>
          <w:p w14:paraId="3B7EC41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09368240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0B2F9271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B11AD9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303CC6E8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45" w:type="dxa"/>
            <w:vMerge w:val="continue"/>
          </w:tcPr>
          <w:p w14:paraId="26A77857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  <w:tr w14:paraId="64AC869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F584114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1226" w:type="dxa"/>
            <w:vMerge w:val="continue"/>
          </w:tcPr>
          <w:p w14:paraId="07C57AA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3516" w:type="dxa"/>
            <w:vAlign w:val="center"/>
          </w:tcPr>
          <w:p w14:paraId="3E002A98">
            <w:pPr>
              <w:spacing w:after="0" w:line="240" w:lineRule="auto"/>
              <w:jc w:val="both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276EEAB4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652EBAEE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  <w:tc>
          <w:tcPr>
            <w:tcW w:w="709" w:type="dxa"/>
            <w:vAlign w:val="center"/>
          </w:tcPr>
          <w:p w14:paraId="4CC61780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  <w:t>6</w:t>
            </w:r>
          </w:p>
        </w:tc>
        <w:tc>
          <w:tcPr>
            <w:tcW w:w="1045" w:type="dxa"/>
            <w:vMerge w:val="continue"/>
          </w:tcPr>
          <w:p w14:paraId="66805793">
            <w:pPr>
              <w:spacing w:after="0" w:line="240" w:lineRule="auto"/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  <w14:ligatures w14:val="none"/>
              </w:rPr>
            </w:pPr>
          </w:p>
        </w:tc>
      </w:tr>
    </w:tbl>
    <w:p w14:paraId="49B3D659">
      <w:pPr>
        <w:spacing w:after="0" w:line="440" w:lineRule="exact"/>
        <w:ind w:firstLine="480" w:firstLineChars="200"/>
        <w:jc w:val="both"/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*公共外语课程按入学时的外国语考试科目修读相关语种。</w:t>
      </w:r>
    </w:p>
    <w:p w14:paraId="1332F478">
      <w:pPr>
        <w:spacing w:after="0" w:line="440" w:lineRule="exact"/>
        <w:ind w:firstLine="560" w:firstLineChars="200"/>
        <w:jc w:val="both"/>
        <w:rPr>
          <w:rFonts w:ascii="Times New Roman" w:hAnsi="Times New Roman" w:eastAsia="黑体" w:cs="Times New Roman"/>
          <w:bCs/>
          <w:sz w:val="28"/>
          <w:szCs w:val="28"/>
          <w14:ligatures w14:val="none"/>
        </w:rPr>
      </w:pP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十</w:t>
      </w:r>
      <w:r>
        <w:rPr>
          <w:rFonts w:hint="eastAsia" w:ascii="Times New Roman" w:hAnsi="Times New Roman" w:eastAsia="黑体" w:cs="Times New Roman"/>
          <w:bCs/>
          <w:sz w:val="28"/>
          <w:szCs w:val="28"/>
          <w14:ligatures w14:val="none"/>
        </w:rPr>
        <w:t>三</w:t>
      </w:r>
      <w:r>
        <w:rPr>
          <w:rFonts w:ascii="Times New Roman" w:hAnsi="Times New Roman" w:eastAsia="黑体" w:cs="Times New Roman"/>
          <w:bCs/>
          <w:sz w:val="28"/>
          <w:szCs w:val="28"/>
          <w14:ligatures w14:val="none"/>
        </w:rPr>
        <w:t>、其他需要说明事项</w:t>
      </w:r>
    </w:p>
    <w:p w14:paraId="52F08296">
      <w:pPr>
        <w:spacing w:after="0" w:line="440" w:lineRule="exact"/>
        <w:ind w:firstLine="480" w:firstLineChars="200"/>
        <w:jc w:val="both"/>
        <w:rPr>
          <w:rFonts w:hint="default" w:ascii="Times New Roman" w:hAnsi="Times New Roman" w:eastAsia="宋体" w:cs="Times New Roman"/>
          <w:iCs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  <w14:ligatures w14:val="none"/>
        </w:rPr>
      </w:pPr>
      <w:r>
        <w:rPr>
          <w:rFonts w:ascii="Times New Roman" w:hAnsi="Times New Roman" w:eastAsia="宋体" w:cs="Times New Roman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学生毕业总学</w:t>
      </w:r>
      <w:r>
        <w:rPr>
          <w:rFonts w:hint="eastAsia" w:ascii="宋体" w:hAnsi="宋体" w:eastAsia="宋体" w:cs="宋体"/>
          <w:iCs/>
          <w:color w:val="000000" w:themeColor="text1"/>
          <w:sz w:val="24"/>
          <w14:textFill>
            <w14:solidFill>
              <w14:schemeClr w14:val="tx1"/>
            </w14:solidFill>
          </w14:textFill>
          <w14:ligatures w14:val="none"/>
        </w:rPr>
        <w:t>分为：</w:t>
      </w:r>
      <w:r>
        <w:rPr>
          <w:rFonts w:hint="eastAsia" w:ascii="宋体" w:hAnsi="宋体" w:eastAsia="宋体" w:cs="宋体"/>
          <w:bCs/>
          <w:sz w:val="24"/>
        </w:rPr>
        <w:t>学位课+非学位课+必修环节。</w:t>
      </w:r>
    </w:p>
    <w:sectPr>
      <w:pgSz w:w="11906" w:h="16838"/>
      <w:pgMar w:top="1247" w:right="1417" w:bottom="124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55B8078"/>
    <w:multiLevelType w:val="singleLevel"/>
    <w:tmpl w:val="C55B807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6C0"/>
    <w:rsid w:val="000F394F"/>
    <w:rsid w:val="001B16F3"/>
    <w:rsid w:val="001D3FD9"/>
    <w:rsid w:val="002317EA"/>
    <w:rsid w:val="0027444D"/>
    <w:rsid w:val="002E4D71"/>
    <w:rsid w:val="00335408"/>
    <w:rsid w:val="00381B72"/>
    <w:rsid w:val="00481EA1"/>
    <w:rsid w:val="005716C0"/>
    <w:rsid w:val="00575FAC"/>
    <w:rsid w:val="00647680"/>
    <w:rsid w:val="00694F5C"/>
    <w:rsid w:val="007A080B"/>
    <w:rsid w:val="007E5A26"/>
    <w:rsid w:val="007F0896"/>
    <w:rsid w:val="00896861"/>
    <w:rsid w:val="009155BA"/>
    <w:rsid w:val="0093024A"/>
    <w:rsid w:val="00931CAC"/>
    <w:rsid w:val="00BA30F8"/>
    <w:rsid w:val="00D0764F"/>
    <w:rsid w:val="00E2272E"/>
    <w:rsid w:val="0965098F"/>
    <w:rsid w:val="14205759"/>
    <w:rsid w:val="165C118C"/>
    <w:rsid w:val="1731757C"/>
    <w:rsid w:val="19F24611"/>
    <w:rsid w:val="22FF3B1F"/>
    <w:rsid w:val="27043470"/>
    <w:rsid w:val="27F03715"/>
    <w:rsid w:val="2A336250"/>
    <w:rsid w:val="38B93741"/>
    <w:rsid w:val="3D73238B"/>
    <w:rsid w:val="42C47A16"/>
    <w:rsid w:val="46D81A3F"/>
    <w:rsid w:val="4B924B09"/>
    <w:rsid w:val="4D747FC5"/>
    <w:rsid w:val="52AF0C32"/>
    <w:rsid w:val="530337AE"/>
    <w:rsid w:val="53387CBB"/>
    <w:rsid w:val="590D6ECD"/>
    <w:rsid w:val="5EEB27C8"/>
    <w:rsid w:val="65E25D05"/>
    <w:rsid w:val="6B433D86"/>
    <w:rsid w:val="6E457BF6"/>
    <w:rsid w:val="726522EC"/>
    <w:rsid w:val="77EF3E7F"/>
    <w:rsid w:val="7B6C7366"/>
    <w:rsid w:val="7B8A691F"/>
    <w:rsid w:val="7E3A63DB"/>
    <w:rsid w:val="7F181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3929</Words>
  <Characters>4167</Characters>
  <Lines>48</Lines>
  <Paragraphs>13</Paragraphs>
  <TotalTime>2</TotalTime>
  <ScaleCrop>false</ScaleCrop>
  <LinksUpToDate>false</LinksUpToDate>
  <CharactersWithSpaces>4176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2025-04-05T02:48:00Z</dcterms:created>
  <dc:creator>丂 木</dc:creator>
  <cp:lastModifiedBy>未知</cp:lastModifiedBy>
  <dcterms:modified xsi:type="dcterms:W3CDTF">2025-06-30T02:40:33Z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eyJoZGlkIjoiNjZmYjFlOTAyOWMxNzIwMGQ3MTE3ZGUxZjUwOTAwYjIiLCJ1c2VySWQiOiIzMzI1ODEwMzgifQ==</vt:lpwstr>
  </property>
  <property fmtid="{D5CDD505-2E9C-101B-9397-08002B2CF9AE}" pid="3" name="KSOProductBuildVer">
    <vt:lpwstr>2052-12.1.0.21541</vt:lpwstr>
  </property>
  <property fmtid="{D5CDD505-2E9C-101B-9397-08002B2CF9AE}" pid="4" name="ICV">
    <vt:lpwstr>E73CDCEEF756414BAE5C9FFB47AFCC30_13</vt:lpwstr>
  </property>
</Properties>
</file>