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D808C1">
      <w:pPr>
        <w:snapToGrid w:val="0"/>
        <w:spacing w:line="360" w:lineRule="auto"/>
        <w:ind w:left="430" w:firstLine="560"/>
      </w:pPr>
    </w:p>
    <w:p w14:paraId="13D4BDFD">
      <w:pPr>
        <w:snapToGrid w:val="0"/>
        <w:spacing w:line="360" w:lineRule="auto"/>
        <w:ind w:left="321" w:leftChars="153" w:right="227" w:firstLine="723"/>
        <w:jc w:val="center"/>
        <w:rPr>
          <w:rFonts w:hint="eastAsia" w:ascii="黑体" w:hAnsi="黑体" w:eastAsia="黑体"/>
          <w:b/>
          <w:bCs/>
          <w:sz w:val="36"/>
          <w:szCs w:val="36"/>
        </w:rPr>
      </w:pPr>
      <w:r>
        <w:rPr>
          <w:rFonts w:hint="eastAsia" w:ascii="黑体" w:hAnsi="黑体" w:eastAsia="黑体"/>
          <w:b/>
          <w:bCs/>
          <w:iCs/>
          <w:sz w:val="36"/>
          <w:szCs w:val="36"/>
          <w:u w:val="single"/>
        </w:rPr>
        <w:t>新闻传播学</w:t>
      </w:r>
      <w:r>
        <w:rPr>
          <w:rFonts w:hint="eastAsia" w:ascii="黑体" w:hAnsi="黑体" w:eastAsia="黑体"/>
          <w:b/>
          <w:bCs/>
          <w:iCs/>
          <w:color w:val="auto"/>
          <w:sz w:val="36"/>
          <w:szCs w:val="36"/>
        </w:rPr>
        <w:t>专业</w:t>
      </w:r>
      <w:r>
        <w:rPr>
          <w:rFonts w:hint="eastAsia" w:ascii="黑体" w:hAnsi="黑体" w:eastAsia="黑体"/>
          <w:b/>
          <w:bCs/>
          <w:sz w:val="36"/>
          <w:szCs w:val="36"/>
        </w:rPr>
        <w:t>学术学位博士研究生培养方案</w:t>
      </w:r>
    </w:p>
    <w:p w14:paraId="63895FB6">
      <w:pPr>
        <w:snapToGrid w:val="0"/>
        <w:spacing w:line="360" w:lineRule="auto"/>
        <w:ind w:left="321" w:leftChars="153" w:right="227" w:firstLine="562"/>
        <w:jc w:val="center"/>
        <w:rPr>
          <w:rFonts w:hint="eastAsia" w:ascii="黑体" w:hAnsi="黑体" w:eastAsia="黑体"/>
          <w:b/>
          <w:bCs/>
          <w:sz w:val="28"/>
          <w:szCs w:val="28"/>
        </w:rPr>
      </w:pPr>
      <w:r>
        <w:rPr>
          <w:rFonts w:hint="eastAsia" w:ascii="黑体" w:hAnsi="黑体" w:eastAsia="黑体"/>
          <w:b/>
          <w:bCs/>
          <w:sz w:val="28"/>
          <w:szCs w:val="28"/>
        </w:rPr>
        <w:t>（新闻传播学院</w:t>
      </w:r>
      <w:r>
        <w:rPr>
          <w:rFonts w:ascii="黑体" w:hAnsi="黑体" w:eastAsia="黑体"/>
          <w:b/>
          <w:bCs/>
          <w:sz w:val="28"/>
          <w:szCs w:val="28"/>
        </w:rPr>
        <w:t>)</w:t>
      </w:r>
    </w:p>
    <w:p w14:paraId="59A4E0C4">
      <w:pPr>
        <w:keepNext w:val="0"/>
        <w:keepLines w:val="0"/>
        <w:pageBreakBefore w:val="0"/>
        <w:kinsoku/>
        <w:wordWrap/>
        <w:overflowPunct/>
        <w:topLinePunct w:val="0"/>
        <w:autoSpaceDE/>
        <w:autoSpaceDN/>
        <w:bidi w:val="0"/>
        <w:adjustRightInd/>
        <w:snapToGrid w:val="0"/>
        <w:spacing w:line="360" w:lineRule="auto"/>
        <w:ind w:left="0" w:leftChars="0" w:firstLine="560" w:firstLineChars="200"/>
        <w:textAlignment w:val="auto"/>
        <w:rPr>
          <w:rFonts w:hint="eastAsia" w:ascii="黑体" w:hAnsi="宋体" w:eastAsia="黑体"/>
          <w:bCs/>
          <w:color w:val="auto"/>
          <w:sz w:val="28"/>
          <w:szCs w:val="28"/>
          <w:highlight w:val="none"/>
        </w:rPr>
      </w:pPr>
      <w:r>
        <w:rPr>
          <w:rFonts w:hint="eastAsia" w:ascii="黑体" w:hAnsi="宋体" w:eastAsia="黑体"/>
          <w:bCs/>
          <w:color w:val="auto"/>
          <w:sz w:val="28"/>
          <w:szCs w:val="28"/>
          <w:highlight w:val="none"/>
        </w:rPr>
        <w:t>一、</w:t>
      </w:r>
      <w:r>
        <w:rPr>
          <w:rFonts w:eastAsia="黑体"/>
          <w:bCs/>
          <w:color w:val="auto"/>
          <w:sz w:val="28"/>
          <w:szCs w:val="28"/>
          <w:highlight w:val="none"/>
        </w:rPr>
        <w:t>专业名称、代码</w:t>
      </w:r>
    </w:p>
    <w:p w14:paraId="62776DA2">
      <w:pPr>
        <w:keepNext w:val="0"/>
        <w:keepLines w:val="0"/>
        <w:pageBreakBefore w:val="0"/>
        <w:widowControl/>
        <w:kinsoku/>
        <w:wordWrap/>
        <w:overflowPunct/>
        <w:topLinePunct w:val="0"/>
        <w:autoSpaceDE/>
        <w:autoSpaceDN/>
        <w:bidi w:val="0"/>
        <w:adjustRightInd/>
        <w:snapToGrid w:val="0"/>
        <w:spacing w:line="360" w:lineRule="auto"/>
        <w:ind w:left="0" w:leftChars="0" w:firstLine="960" w:firstLineChars="400"/>
        <w:jc w:val="left"/>
        <w:textAlignment w:val="auto"/>
        <w:rPr>
          <w:color w:val="auto"/>
          <w:kern w:val="0"/>
          <w:sz w:val="18"/>
          <w:szCs w:val="18"/>
          <w:highlight w:val="none"/>
        </w:rPr>
      </w:pPr>
      <w:r>
        <w:rPr>
          <w:color w:val="auto"/>
          <w:kern w:val="0"/>
          <w:sz w:val="24"/>
          <w:highlight w:val="none"/>
        </w:rPr>
        <w:t>专业名称：</w:t>
      </w:r>
      <w:r>
        <w:rPr>
          <w:rFonts w:hint="eastAsia"/>
          <w:color w:val="auto"/>
          <w:kern w:val="0"/>
          <w:sz w:val="24"/>
          <w:highlight w:val="none"/>
        </w:rPr>
        <w:t>新闻传播学</w:t>
      </w:r>
    </w:p>
    <w:p w14:paraId="1AB5BA84">
      <w:pPr>
        <w:keepNext w:val="0"/>
        <w:keepLines w:val="0"/>
        <w:pageBreakBefore w:val="0"/>
        <w:widowControl/>
        <w:kinsoku/>
        <w:wordWrap/>
        <w:overflowPunct/>
        <w:topLinePunct w:val="0"/>
        <w:autoSpaceDE/>
        <w:autoSpaceDN/>
        <w:bidi w:val="0"/>
        <w:adjustRightInd/>
        <w:snapToGrid w:val="0"/>
        <w:spacing w:line="360" w:lineRule="auto"/>
        <w:ind w:left="0" w:leftChars="0" w:firstLine="960" w:firstLineChars="400"/>
        <w:jc w:val="left"/>
        <w:textAlignment w:val="auto"/>
        <w:rPr>
          <w:color w:val="auto"/>
          <w:kern w:val="0"/>
          <w:sz w:val="18"/>
          <w:szCs w:val="18"/>
          <w:highlight w:val="none"/>
        </w:rPr>
      </w:pPr>
      <w:r>
        <w:rPr>
          <w:color w:val="auto"/>
          <w:kern w:val="0"/>
          <w:sz w:val="24"/>
          <w:highlight w:val="none"/>
        </w:rPr>
        <w:t>专业代码：</w:t>
      </w:r>
      <w:r>
        <w:rPr>
          <w:rFonts w:hint="eastAsia" w:cs="Arial" w:asciiTheme="minorEastAsia" w:hAnsiTheme="minorEastAsia"/>
          <w:color w:val="auto"/>
          <w:sz w:val="24"/>
          <w:highlight w:val="none"/>
          <w:shd w:val="clear" w:color="auto" w:fill="FFFFFF"/>
        </w:rPr>
        <w:t>050300</w:t>
      </w:r>
    </w:p>
    <w:p w14:paraId="2829A9ED">
      <w:pPr>
        <w:keepNext w:val="0"/>
        <w:keepLines w:val="0"/>
        <w:pageBreakBefore w:val="0"/>
        <w:kinsoku/>
        <w:wordWrap/>
        <w:overflowPunct/>
        <w:topLinePunct w:val="0"/>
        <w:autoSpaceDE/>
        <w:autoSpaceDN/>
        <w:bidi w:val="0"/>
        <w:adjustRightInd/>
        <w:snapToGrid w:val="0"/>
        <w:spacing w:line="360" w:lineRule="auto"/>
        <w:ind w:left="0" w:leftChars="0" w:firstLine="560" w:firstLineChars="200"/>
        <w:textAlignment w:val="auto"/>
        <w:rPr>
          <w:rFonts w:eastAsia="黑体"/>
          <w:bCs/>
          <w:color w:val="auto"/>
          <w:sz w:val="28"/>
          <w:szCs w:val="28"/>
          <w:highlight w:val="none"/>
        </w:rPr>
      </w:pPr>
      <w:r>
        <w:rPr>
          <w:rFonts w:hint="eastAsia" w:ascii="黑体" w:hAnsi="宋体" w:eastAsia="黑体"/>
          <w:bCs/>
          <w:color w:val="auto"/>
          <w:sz w:val="28"/>
          <w:szCs w:val="28"/>
          <w:highlight w:val="none"/>
        </w:rPr>
        <w:t>二、</w:t>
      </w:r>
      <w:r>
        <w:rPr>
          <w:rFonts w:hint="eastAsia" w:eastAsia="黑体"/>
          <w:bCs/>
          <w:color w:val="auto"/>
          <w:sz w:val="28"/>
          <w:szCs w:val="28"/>
          <w:highlight w:val="none"/>
        </w:rPr>
        <w:t>专业</w:t>
      </w:r>
      <w:r>
        <w:rPr>
          <w:rFonts w:eastAsia="黑体"/>
          <w:bCs/>
          <w:color w:val="auto"/>
          <w:sz w:val="28"/>
          <w:szCs w:val="28"/>
          <w:highlight w:val="none"/>
        </w:rPr>
        <w:t>简介</w:t>
      </w:r>
    </w:p>
    <w:p w14:paraId="6DDC2D4D">
      <w:pPr>
        <w:keepNext w:val="0"/>
        <w:keepLines w:val="0"/>
        <w:pageBreakBefore w:val="0"/>
        <w:kinsoku/>
        <w:wordWrap/>
        <w:overflowPunct/>
        <w:topLinePunct w:val="0"/>
        <w:autoSpaceDE/>
        <w:autoSpaceDN/>
        <w:bidi w:val="0"/>
        <w:adjustRightInd/>
        <w:snapToGrid w:val="0"/>
        <w:spacing w:line="360" w:lineRule="auto"/>
        <w:ind w:left="0" w:leftChars="0" w:firstLine="480" w:firstLineChars="200"/>
        <w:textAlignment w:val="auto"/>
        <w:rPr>
          <w:rFonts w:hint="eastAsia" w:cs="Arial" w:asciiTheme="minorEastAsia" w:hAnsiTheme="minorEastAsia"/>
          <w:color w:val="auto"/>
          <w:sz w:val="24"/>
          <w:highlight w:val="none"/>
          <w:shd w:val="clear" w:color="auto" w:fill="FFFFFF"/>
        </w:rPr>
      </w:pPr>
      <w:r>
        <w:rPr>
          <w:rFonts w:hint="eastAsia" w:cs="Arial" w:asciiTheme="minorEastAsia" w:hAnsiTheme="minorEastAsia"/>
          <w:color w:val="000000" w:themeColor="text1"/>
          <w:sz w:val="24"/>
          <w:shd w:val="clear" w:color="auto" w:fill="FFFFFF"/>
          <w14:textFill>
            <w14:solidFill>
              <w14:schemeClr w14:val="tx1"/>
            </w14:solidFill>
          </w14:textFill>
        </w:rPr>
        <w:t>河北大学新闻学专业创办于1981年，1998年获得新闻学二级学科硕士学位授予权，2006年获得新闻传播学一级学科硕士学位授予权，2007年被评为首批国家级特色专业，2010年获得全国首批新闻与传播专业硕士学位授予权，2011年获得新闻传播学一级学科博士学位授予权，是华北地区除北京外第一个新闻传播学博士点。2013年，新闻传播学科被确立为河北省重点学科。2018年，新闻传播学科被纳入河北大学燕赵文化学科群建设序列，成为学科群的重要支撑学科。2017年、2022年河北大学新闻传播学科在教育部第四、</w:t>
      </w:r>
      <w:r>
        <w:rPr>
          <w:rFonts w:hint="eastAsia" w:cs="Arial" w:asciiTheme="minorEastAsia" w:hAnsiTheme="minorEastAsia"/>
          <w:color w:val="000000" w:themeColor="text1"/>
          <w:sz w:val="24"/>
          <w:shd w:val="clear" w:color="auto" w:fill="FFFFFF"/>
          <w:lang w:val="en-US" w:eastAsia="zh-CN"/>
          <w14:textFill>
            <w14:solidFill>
              <w14:schemeClr w14:val="tx1"/>
            </w14:solidFill>
          </w14:textFill>
        </w:rPr>
        <w:t>第</w:t>
      </w:r>
      <w:r>
        <w:rPr>
          <w:rFonts w:hint="eastAsia" w:cs="Arial" w:asciiTheme="minorEastAsia" w:hAnsiTheme="minorEastAsia"/>
          <w:color w:val="000000" w:themeColor="text1"/>
          <w:sz w:val="24"/>
          <w:shd w:val="clear" w:color="auto" w:fill="FFFFFF"/>
          <w14:textFill>
            <w14:solidFill>
              <w14:schemeClr w14:val="tx1"/>
            </w14:solidFill>
          </w14:textFill>
        </w:rPr>
        <w:t>五轮学科评估中列B层次，2022年被教育部确定为“十四五”教育发展规划优先发展学科。在多年的教学科研实践中，新闻学专业形成了“厚基础、宽口径、理论与实践相结合、服务地方经济社会发展”的办学特色。</w:t>
      </w:r>
      <w:r>
        <w:rPr>
          <w:rFonts w:hint="eastAsia" w:cs="Arial" w:asciiTheme="minorEastAsia" w:hAnsiTheme="minorEastAsia"/>
          <w:color w:val="000000" w:themeColor="text1"/>
          <w:sz w:val="24"/>
          <w:shd w:val="clear" w:color="auto" w:fill="FFFFFF"/>
          <w:lang w:val="en-US" w:eastAsia="zh-CN"/>
          <w14:textFill>
            <w14:solidFill>
              <w14:schemeClr w14:val="tx1"/>
            </w14:solidFill>
          </w14:textFill>
        </w:rPr>
        <w:t>一是以</w:t>
      </w:r>
      <w:r>
        <w:rPr>
          <w:rFonts w:hint="eastAsia" w:cs="Arial" w:asciiTheme="minorEastAsia" w:hAnsiTheme="minorEastAsia"/>
          <w:color w:val="000000" w:themeColor="text1"/>
          <w:sz w:val="24"/>
          <w:shd w:val="clear" w:color="auto" w:fill="FFFFFF"/>
          <w14:textFill>
            <w14:solidFill>
              <w14:schemeClr w14:val="tx1"/>
            </w14:solidFill>
          </w14:textFill>
        </w:rPr>
        <w:t>史论为学科之基</w:t>
      </w:r>
      <w:r>
        <w:rPr>
          <w:rFonts w:hint="eastAsia" w:cs="Arial" w:asciiTheme="minorEastAsia" w:hAnsiTheme="minorEastAsia"/>
          <w:color w:val="000000" w:themeColor="text1"/>
          <w:sz w:val="24"/>
          <w:shd w:val="clear" w:color="auto" w:fill="FFFFFF"/>
          <w:lang w:eastAsia="zh-CN"/>
          <w14:textFill>
            <w14:solidFill>
              <w14:schemeClr w14:val="tx1"/>
            </w14:solidFill>
          </w14:textFill>
        </w:rPr>
        <w:t>，</w:t>
      </w:r>
      <w:r>
        <w:rPr>
          <w:rFonts w:hint="eastAsia" w:cs="Arial" w:asciiTheme="minorEastAsia" w:hAnsiTheme="minorEastAsia"/>
          <w:color w:val="000000" w:themeColor="text1"/>
          <w:sz w:val="24"/>
          <w:shd w:val="clear" w:color="auto" w:fill="FFFFFF"/>
          <w14:textFill>
            <w14:solidFill>
              <w14:schemeClr w14:val="tx1"/>
            </w14:solidFill>
          </w14:textFill>
        </w:rPr>
        <w:t>以新媒体知识体系建设</w:t>
      </w:r>
      <w:r>
        <w:rPr>
          <w:rFonts w:hint="eastAsia" w:cs="Arial" w:asciiTheme="minorEastAsia" w:hAnsiTheme="minorEastAsia"/>
          <w:color w:val="000000" w:themeColor="text1"/>
          <w:sz w:val="24"/>
          <w:shd w:val="clear" w:color="auto" w:fill="FFFFFF"/>
          <w:lang w:val="en-US" w:eastAsia="zh-CN"/>
          <w14:textFill>
            <w14:solidFill>
              <w14:schemeClr w14:val="tx1"/>
            </w14:solidFill>
          </w14:textFill>
        </w:rPr>
        <w:t>为新的学科增长点，以</w:t>
      </w:r>
      <w:r>
        <w:rPr>
          <w:rFonts w:hint="eastAsia" w:cs="Arial" w:asciiTheme="minorEastAsia" w:hAnsiTheme="minorEastAsia"/>
          <w:color w:val="000000" w:themeColor="text1"/>
          <w:sz w:val="24"/>
          <w:shd w:val="clear" w:color="auto" w:fill="FFFFFF"/>
          <w14:textFill>
            <w14:solidFill>
              <w14:schemeClr w14:val="tx1"/>
            </w14:solidFill>
          </w14:textFill>
        </w:rPr>
        <w:t>对接国家战略</w:t>
      </w:r>
      <w:r>
        <w:rPr>
          <w:rFonts w:hint="eastAsia" w:cs="Arial" w:asciiTheme="minorEastAsia" w:hAnsiTheme="minorEastAsia"/>
          <w:color w:val="000000" w:themeColor="text1"/>
          <w:sz w:val="24"/>
          <w:shd w:val="clear" w:color="auto" w:fill="FFFFFF"/>
          <w:lang w:val="en-US" w:eastAsia="zh-CN"/>
          <w14:textFill>
            <w14:solidFill>
              <w14:schemeClr w14:val="tx1"/>
            </w14:solidFill>
          </w14:textFill>
        </w:rPr>
        <w:t>为社会服务的方向</w:t>
      </w:r>
      <w:r>
        <w:rPr>
          <w:rFonts w:hint="eastAsia" w:cs="Arial" w:asciiTheme="minorEastAsia" w:hAnsiTheme="minorEastAsia"/>
          <w:color w:val="000000" w:themeColor="text1"/>
          <w:sz w:val="24"/>
          <w:shd w:val="clear" w:color="auto" w:fill="FFFFFF"/>
          <w14:textFill>
            <w14:solidFill>
              <w14:schemeClr w14:val="tx1"/>
            </w14:solidFill>
          </w14:textFill>
        </w:rPr>
        <w:t>，通过探索新文科建设，着力培养卓越高层次新闻传播人才。</w:t>
      </w:r>
      <w:r>
        <w:rPr>
          <w:rFonts w:hint="eastAsia" w:cs="Arial" w:asciiTheme="minorEastAsia" w:hAnsiTheme="minorEastAsia"/>
          <w:color w:val="000000" w:themeColor="text1"/>
          <w:sz w:val="24"/>
          <w:shd w:val="clear" w:color="auto" w:fill="FFFFFF"/>
          <w:lang w:val="en-US" w:eastAsia="zh-CN"/>
          <w14:textFill>
            <w14:solidFill>
              <w14:schemeClr w14:val="tx1"/>
            </w14:solidFill>
          </w14:textFill>
        </w:rPr>
        <w:t>二是回</w:t>
      </w:r>
      <w:r>
        <w:rPr>
          <w:rFonts w:hint="eastAsia" w:cs="Arial" w:asciiTheme="minorEastAsia" w:hAnsiTheme="minorEastAsia"/>
          <w:color w:val="000000" w:themeColor="text1"/>
          <w:sz w:val="24"/>
          <w:shd w:val="clear" w:color="auto" w:fill="FFFFFF"/>
          <w14:textFill>
            <w14:solidFill>
              <w14:schemeClr w14:val="tx1"/>
            </w14:solidFill>
          </w14:textFill>
        </w:rPr>
        <w:t>应学术特色建设的要求，进一步建设科研队伍，培育有全国影响力的研究力量，进一步提升学院高水平人才的培养能力。</w:t>
      </w:r>
      <w:r>
        <w:rPr>
          <w:rFonts w:hint="eastAsia" w:cs="Arial" w:asciiTheme="minorEastAsia" w:hAnsiTheme="minorEastAsia"/>
          <w:color w:val="auto"/>
          <w:sz w:val="24"/>
          <w:highlight w:val="none"/>
          <w:shd w:val="clear" w:color="auto" w:fill="FFFFFF"/>
        </w:rPr>
        <w:t>建有学术平台多个，其中国家级科研教学平台3个：河北大学跨文化传播研究中心（2023-2024年度入选中央网信办舆情合作培育单位）、伊斯兰合作组织研究中心、新闻学专业（中国共产党新闻史教学）虚拟教研室；建有省级数字媒体传播虚拟仿真实验教学中心1个、国家广播电视总局中国（京津冀）广播电视媒体融合发展创新中心共建点1个；建有河北省新型智库3个：河北大学跨文化传播研究中心、河北省城市传播研究院、河北省文化产业发展研究中心；建有河北省哲学社会科学研究基地2个：河北省传媒与社会发展研究基地、河北省文化产业创新与融合发展研究基地；建有河北省民委铸牢中华民族共同体意识研究基地1个；建有京津冀新视听媒体融合学院河北分院1家，建有长城新媒体融媒体人才培养平台1个。</w:t>
      </w:r>
    </w:p>
    <w:p w14:paraId="13AD8DCE">
      <w:pPr>
        <w:keepNext w:val="0"/>
        <w:keepLines w:val="0"/>
        <w:pageBreakBefore w:val="0"/>
        <w:kinsoku/>
        <w:wordWrap/>
        <w:overflowPunct/>
        <w:topLinePunct w:val="0"/>
        <w:autoSpaceDE/>
        <w:autoSpaceDN/>
        <w:bidi w:val="0"/>
        <w:adjustRightInd/>
        <w:snapToGrid w:val="0"/>
        <w:spacing w:line="360" w:lineRule="auto"/>
        <w:ind w:left="0" w:leftChars="0" w:firstLine="480" w:firstLineChars="200"/>
        <w:textAlignment w:val="auto"/>
        <w:rPr>
          <w:rFonts w:hint="eastAsia" w:cs="Arial" w:asciiTheme="minorEastAsia" w:hAnsiTheme="minorEastAsia"/>
          <w:color w:val="FF0000"/>
          <w:sz w:val="24"/>
          <w:highlight w:val="yellow"/>
          <w:shd w:val="clear" w:color="auto" w:fill="FFFFFF"/>
        </w:rPr>
      </w:pPr>
      <w:r>
        <w:rPr>
          <w:rFonts w:hint="eastAsia" w:cs="Arial" w:asciiTheme="minorEastAsia" w:hAnsiTheme="minorEastAsia"/>
          <w:color w:val="000000" w:themeColor="text1"/>
          <w:sz w:val="24"/>
          <w:shd w:val="clear" w:color="auto" w:fill="FFFFFF"/>
          <w14:textFill>
            <w14:solidFill>
              <w14:schemeClr w14:val="tx1"/>
            </w14:solidFill>
          </w14:textFill>
        </w:rPr>
        <w:t>新闻传播</w:t>
      </w:r>
      <w:r>
        <w:rPr>
          <w:rFonts w:cs="Arial" w:asciiTheme="minorEastAsia" w:hAnsiTheme="minorEastAsia"/>
          <w:color w:val="000000" w:themeColor="text1"/>
          <w:sz w:val="24"/>
          <w:shd w:val="clear" w:color="auto" w:fill="FFFFFF"/>
          <w14:textFill>
            <w14:solidFill>
              <w14:schemeClr w14:val="tx1"/>
            </w14:solidFill>
          </w14:textFill>
        </w:rPr>
        <w:t>专业</w:t>
      </w:r>
      <w:r>
        <w:rPr>
          <w:rFonts w:hint="eastAsia" w:cs="Arial" w:asciiTheme="minorEastAsia" w:hAnsiTheme="minorEastAsia"/>
          <w:color w:val="000000" w:themeColor="text1"/>
          <w:sz w:val="24"/>
          <w:shd w:val="clear" w:color="auto" w:fill="FFFFFF"/>
          <w14:textFill>
            <w14:solidFill>
              <w14:schemeClr w14:val="tx1"/>
            </w14:solidFill>
          </w14:textFill>
        </w:rPr>
        <w:t>学术学位博士培养德、智、体全面发展，具有坚实的理论基础、系统的专业知识和熟练的专业技能，能从事新闻传播教学与研究</w:t>
      </w:r>
      <w:r>
        <w:rPr>
          <w:rFonts w:hint="eastAsia" w:cs="Arial" w:asciiTheme="minorEastAsia" w:hAnsiTheme="minorEastAsia"/>
          <w:color w:val="000000" w:themeColor="text1"/>
          <w:sz w:val="24"/>
          <w:shd w:val="clear" w:color="auto" w:fill="FFFFFF"/>
          <w:lang w:val="en-US" w:eastAsia="zh-CN"/>
          <w14:textFill>
            <w14:solidFill>
              <w14:schemeClr w14:val="tx1"/>
            </w14:solidFill>
          </w14:textFill>
        </w:rPr>
        <w:t>或者</w:t>
      </w:r>
      <w:r>
        <w:rPr>
          <w:rFonts w:hint="eastAsia" w:cs="Arial" w:asciiTheme="minorEastAsia" w:hAnsiTheme="minorEastAsia"/>
          <w:color w:val="000000" w:themeColor="text1"/>
          <w:sz w:val="24"/>
          <w:shd w:val="clear" w:color="auto" w:fill="FFFFFF"/>
          <w14:textFill>
            <w14:solidFill>
              <w14:schemeClr w14:val="tx1"/>
            </w14:solidFill>
          </w14:textFill>
        </w:rPr>
        <w:t>新闻宣传</w:t>
      </w:r>
      <w:r>
        <w:rPr>
          <w:rFonts w:hint="eastAsia" w:cs="Arial" w:asciiTheme="minorEastAsia" w:hAnsiTheme="minorEastAsia"/>
          <w:color w:val="000000" w:themeColor="text1"/>
          <w:sz w:val="24"/>
          <w:shd w:val="clear" w:color="auto" w:fill="FFFFFF"/>
          <w:lang w:val="en-US" w:eastAsia="zh-CN"/>
          <w14:textFill>
            <w14:solidFill>
              <w14:schemeClr w14:val="tx1"/>
            </w14:solidFill>
          </w14:textFill>
        </w:rPr>
        <w:t>工作</w:t>
      </w:r>
      <w:r>
        <w:rPr>
          <w:rFonts w:hint="eastAsia" w:cs="Arial" w:asciiTheme="minorEastAsia" w:hAnsiTheme="minorEastAsia"/>
          <w:color w:val="000000" w:themeColor="text1"/>
          <w:sz w:val="24"/>
          <w:shd w:val="clear" w:color="auto" w:fill="FFFFFF"/>
          <w14:textFill>
            <w14:solidFill>
              <w14:schemeClr w14:val="tx1"/>
            </w14:solidFill>
          </w14:textFill>
        </w:rPr>
        <w:t>的高层次专门人才。</w:t>
      </w:r>
    </w:p>
    <w:p w14:paraId="64712908">
      <w:pPr>
        <w:keepNext w:val="0"/>
        <w:keepLines w:val="0"/>
        <w:pageBreakBefore w:val="0"/>
        <w:kinsoku/>
        <w:wordWrap/>
        <w:overflowPunct/>
        <w:topLinePunct w:val="0"/>
        <w:autoSpaceDE/>
        <w:autoSpaceDN/>
        <w:bidi w:val="0"/>
        <w:adjustRightInd/>
        <w:snapToGrid w:val="0"/>
        <w:spacing w:line="360" w:lineRule="auto"/>
        <w:ind w:left="0" w:leftChars="0" w:firstLine="560" w:firstLineChars="200"/>
        <w:textAlignment w:val="auto"/>
        <w:rPr>
          <w:rFonts w:hint="eastAsia" w:ascii="黑体" w:hAnsi="宋体" w:eastAsia="黑体"/>
          <w:bCs/>
          <w:sz w:val="28"/>
          <w:szCs w:val="28"/>
        </w:rPr>
      </w:pPr>
      <w:r>
        <w:rPr>
          <w:rFonts w:hint="eastAsia" w:ascii="黑体" w:hAnsi="宋体" w:eastAsia="黑体"/>
          <w:bCs/>
          <w:sz w:val="28"/>
          <w:szCs w:val="28"/>
        </w:rPr>
        <w:t>三、研究方向</w:t>
      </w:r>
    </w:p>
    <w:p w14:paraId="4640ECDD">
      <w:pPr>
        <w:snapToGrid w:val="0"/>
        <w:spacing w:line="360" w:lineRule="auto"/>
        <w:ind w:firstLine="480" w:firstLineChars="200"/>
        <w:rPr>
          <w:rFonts w:hint="eastAsia" w:ascii="宋体" w:hAnsi="宋体"/>
          <w:sz w:val="24"/>
        </w:rPr>
      </w:pPr>
      <w:r>
        <w:rPr>
          <w:rFonts w:hint="eastAsia" w:ascii="宋体" w:hAnsi="宋体"/>
          <w:sz w:val="24"/>
        </w:rPr>
        <w:t>本学科作为一级博士点下设有四个研究方向：新闻史论、智能</w:t>
      </w:r>
      <w:r>
        <w:rPr>
          <w:rFonts w:hint="eastAsia" w:ascii="宋体" w:hAnsi="宋体"/>
          <w:sz w:val="24"/>
          <w:lang w:val="en-US" w:eastAsia="zh-CN"/>
        </w:rPr>
        <w:t>传播</w:t>
      </w:r>
      <w:r>
        <w:rPr>
          <w:rFonts w:hint="eastAsia" w:ascii="宋体" w:hAnsi="宋体"/>
          <w:sz w:val="24"/>
        </w:rPr>
        <w:t>、文化传播</w:t>
      </w:r>
      <w:r>
        <w:rPr>
          <w:rFonts w:hint="eastAsia" w:ascii="宋体" w:hAnsi="宋体"/>
          <w:sz w:val="24"/>
          <w:lang w:eastAsia="zh-CN"/>
        </w:rPr>
        <w:t>、</w:t>
      </w:r>
      <w:r>
        <w:rPr>
          <w:rFonts w:hint="eastAsia" w:ascii="宋体" w:hAnsi="宋体"/>
          <w:sz w:val="24"/>
        </w:rPr>
        <w:t>出版与版权。</w:t>
      </w:r>
    </w:p>
    <w:p w14:paraId="15273FE5">
      <w:pPr>
        <w:snapToGrid w:val="0"/>
        <w:spacing w:line="360" w:lineRule="auto"/>
        <w:ind w:firstLine="480" w:firstLineChars="200"/>
        <w:rPr>
          <w:rFonts w:hint="eastAsia" w:ascii="宋体" w:hAnsi="宋体"/>
          <w:sz w:val="24"/>
        </w:rPr>
      </w:pPr>
      <w:r>
        <w:rPr>
          <w:rFonts w:hint="eastAsia" w:ascii="宋体" w:hAnsi="宋体"/>
          <w:sz w:val="24"/>
        </w:rPr>
        <w:t>1.新闻史论</w:t>
      </w:r>
    </w:p>
    <w:p w14:paraId="336871F2">
      <w:pPr>
        <w:snapToGrid w:val="0"/>
        <w:spacing w:line="360" w:lineRule="auto"/>
        <w:ind w:firstLine="480" w:firstLineChars="200"/>
        <w:rPr>
          <w:rFonts w:hint="eastAsia" w:ascii="宋体" w:hAnsi="宋体"/>
          <w:sz w:val="24"/>
        </w:rPr>
      </w:pPr>
      <w:r>
        <w:rPr>
          <w:rFonts w:hint="eastAsia" w:ascii="宋体" w:hAnsi="宋体"/>
          <w:sz w:val="24"/>
        </w:rPr>
        <w:t>新闻史论以历史维度为轴线，系统梳理新闻思想、理论与实践的发展脉络，深入探究新闻传播现象的本质规律与时代价值。在研究内容上，重点挖掘中国共产党新闻史、宋代新闻史、地方新闻史、民族新闻史的演进与变迁，重大历史事件中新闻传播的社会功能与舆论导向价值。同时聚焦新闻理论与社会政治、经济、文化环境的互动关系，探索新闻理论在数字时代的适应性变革。还将关注新闻史研究方法论的创新，结合新史料的发现与数字化技术，重新审视与建构新闻史研究的框架与叙事逻辑。</w:t>
      </w:r>
    </w:p>
    <w:p w14:paraId="06191D23">
      <w:pPr>
        <w:snapToGrid w:val="0"/>
        <w:spacing w:line="360" w:lineRule="auto"/>
        <w:ind w:firstLine="480" w:firstLineChars="200"/>
        <w:rPr>
          <w:rFonts w:hint="eastAsia" w:ascii="宋体" w:hAnsi="宋体"/>
          <w:sz w:val="24"/>
        </w:rPr>
      </w:pPr>
      <w:r>
        <w:rPr>
          <w:rFonts w:hint="eastAsia" w:ascii="宋体" w:hAnsi="宋体"/>
          <w:sz w:val="24"/>
        </w:rPr>
        <w:t>2.智能传播</w:t>
      </w:r>
    </w:p>
    <w:p w14:paraId="36425C21">
      <w:pPr>
        <w:snapToGrid w:val="0"/>
        <w:spacing w:line="360" w:lineRule="auto"/>
        <w:ind w:firstLine="480" w:firstLineChars="200"/>
        <w:rPr>
          <w:rFonts w:hint="eastAsia" w:ascii="宋体" w:hAnsi="宋体"/>
          <w:sz w:val="24"/>
        </w:rPr>
      </w:pPr>
      <w:r>
        <w:rPr>
          <w:rFonts w:hint="eastAsia" w:ascii="宋体" w:hAnsi="宋体"/>
          <w:sz w:val="24"/>
        </w:rPr>
        <w:t>智能传播以人工智能、大数据、区块链等前沿技术为驱动，系统研究传播领域的智能化变革。研究内容将人工智能时代的情绪传播、认知传播做为研究的重点，涵盖智能传播技术的演进对传播模式、传播生态的重塑，深入分析算法推荐、深度学习在内容生产、分发与消费环节的应用机制。关注智能传播带来的伦理挑战与社会影响，研究建立智能传播的伦理规范与治理体系。</w:t>
      </w:r>
    </w:p>
    <w:p w14:paraId="7AEA4209">
      <w:pPr>
        <w:snapToGrid w:val="0"/>
        <w:spacing w:line="360" w:lineRule="auto"/>
        <w:ind w:firstLine="480" w:firstLineChars="200"/>
        <w:rPr>
          <w:rFonts w:ascii="宋体"/>
          <w:sz w:val="24"/>
        </w:rPr>
      </w:pPr>
      <w:r>
        <w:rPr>
          <w:rFonts w:hint="eastAsia" w:ascii="宋体" w:hAnsi="宋体"/>
          <w:sz w:val="24"/>
        </w:rPr>
        <w:t>3.文化传播</w:t>
      </w:r>
    </w:p>
    <w:p w14:paraId="2946A362">
      <w:pPr>
        <w:widowControl/>
        <w:snapToGrid w:val="0"/>
        <w:spacing w:line="360" w:lineRule="auto"/>
        <w:ind w:firstLine="480" w:firstLineChars="200"/>
        <w:jc w:val="left"/>
        <w:rPr>
          <w:rFonts w:hint="eastAsia" w:ascii="宋体" w:hAnsi="宋体"/>
          <w:sz w:val="24"/>
        </w:rPr>
      </w:pPr>
      <w:r>
        <w:rPr>
          <w:rFonts w:hint="eastAsia" w:ascii="宋体" w:hAnsi="宋体"/>
          <w:sz w:val="24"/>
        </w:rPr>
        <w:t>文化传播聚焦文化与传播的深度融合，以跨学科视角探究文化在不同时空维度下的传播规律、机制与影响。在研究内容上，重点剖析对一带一路沿线国家的跨文化传播研究、传统文化的现代性转化与创新性传播，挖掘非遗、民俗等文化资源在数字时代的传播路径。同时还会深入研究城市文化、乡村文化等地域文化传播，分析文化传播对地方形象塑造与社区凝聚力提升的作用。</w:t>
      </w:r>
    </w:p>
    <w:p w14:paraId="6C4B3534">
      <w:pPr>
        <w:snapToGrid w:val="0"/>
        <w:spacing w:line="360" w:lineRule="auto"/>
        <w:ind w:firstLine="480" w:firstLineChars="200"/>
        <w:rPr>
          <w:rFonts w:hint="eastAsia" w:ascii="宋体" w:hAnsi="宋体"/>
          <w:sz w:val="24"/>
        </w:rPr>
      </w:pPr>
      <w:r>
        <w:rPr>
          <w:rFonts w:hint="eastAsia" w:ascii="宋体" w:hAnsi="宋体"/>
          <w:sz w:val="24"/>
        </w:rPr>
        <w:t>4.出版与版权</w:t>
      </w:r>
    </w:p>
    <w:p w14:paraId="14F4C40F">
      <w:pPr>
        <w:snapToGrid w:val="0"/>
        <w:spacing w:line="360" w:lineRule="auto"/>
        <w:ind w:firstLine="480" w:firstLineChars="200"/>
        <w:rPr>
          <w:rFonts w:hint="eastAsia" w:ascii="宋体" w:hAnsi="宋体"/>
          <w:sz w:val="24"/>
        </w:rPr>
      </w:pPr>
      <w:r>
        <w:rPr>
          <w:rFonts w:hint="eastAsia" w:ascii="宋体" w:hAnsi="宋体"/>
          <w:sz w:val="24"/>
        </w:rPr>
        <w:t>出版与版权方向紧扣出版产业发展与版权保护的前沿动态，以多学科交叉视角研究出版活动的全流程规律、版权制度的演变及其社会影响。在研究内容上，以中国出版史、出版经营管理、数字出版版权保护为主要研究对象，以融合出版、主题出版、版权运营等为研究重点，同时积极培育版权与版权文化这一学术增长点。深度剖析数字技术驱动下出版形态的革新，探索传统出版业向数字出版转型的路径与策略；聚焦版权理论与实践研究，梳理版权制度的历史沿革，分析数字环境下版权确权、授权、维权面临的新挑战，研究构建适应数字时代的版权保护体系与利益分配机制；关注出版与版权在文化传承、知识传播、产业经济中的重要作用。</w:t>
      </w:r>
    </w:p>
    <w:p w14:paraId="5123BFB6">
      <w:pPr>
        <w:keepNext w:val="0"/>
        <w:keepLines w:val="0"/>
        <w:pageBreakBefore w:val="0"/>
        <w:kinsoku/>
        <w:wordWrap/>
        <w:overflowPunct/>
        <w:topLinePunct w:val="0"/>
        <w:autoSpaceDE/>
        <w:autoSpaceDN/>
        <w:bidi w:val="0"/>
        <w:adjustRightInd/>
        <w:snapToGrid w:val="0"/>
        <w:spacing w:line="360" w:lineRule="auto"/>
        <w:ind w:left="0" w:leftChars="0" w:firstLine="560" w:firstLineChars="200"/>
        <w:textAlignment w:val="auto"/>
        <w:rPr>
          <w:rFonts w:hint="eastAsia" w:ascii="黑体" w:hAnsi="宋体" w:eastAsia="黑体"/>
          <w:bCs/>
          <w:sz w:val="28"/>
          <w:szCs w:val="28"/>
        </w:rPr>
      </w:pPr>
      <w:r>
        <w:rPr>
          <w:rFonts w:hint="eastAsia" w:ascii="黑体" w:hAnsi="宋体" w:eastAsia="黑体"/>
          <w:bCs/>
          <w:sz w:val="28"/>
          <w:szCs w:val="28"/>
        </w:rPr>
        <w:t>四、学制及学习年限</w:t>
      </w:r>
    </w:p>
    <w:p w14:paraId="72D29944">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rFonts w:hint="eastAsia" w:asciiTheme="minorEastAsia" w:hAnsiTheme="minorEastAsia"/>
          <w:color w:val="auto"/>
          <w:sz w:val="24"/>
        </w:rPr>
      </w:pPr>
      <w:r>
        <w:rPr>
          <w:rFonts w:eastAsiaTheme="minorEastAsia"/>
          <w:color w:val="000000"/>
          <w:sz w:val="24"/>
        </w:rPr>
        <w:t>本专业学制</w:t>
      </w:r>
      <w:r>
        <w:rPr>
          <w:rFonts w:hint="eastAsia" w:ascii="宋体" w:hAnsi="宋体" w:eastAsia="宋体" w:cs="宋体"/>
          <w:color w:val="000000"/>
          <w:sz w:val="24"/>
        </w:rPr>
        <w:t>为</w:t>
      </w:r>
      <w:r>
        <w:rPr>
          <w:rFonts w:hint="eastAsia" w:ascii="宋体" w:hAnsi="宋体" w:eastAsia="宋体" w:cs="宋体"/>
          <w:color w:val="000000"/>
          <w:sz w:val="24"/>
        </w:rPr>
        <w:t>4</w:t>
      </w:r>
      <w:r>
        <w:rPr>
          <w:rFonts w:eastAsiaTheme="minorEastAsia"/>
          <w:color w:val="000000"/>
          <w:sz w:val="24"/>
        </w:rPr>
        <w:t>年，在校最长学习年限（含休学）不超过</w:t>
      </w:r>
      <w:r>
        <w:rPr>
          <w:rFonts w:hint="eastAsia" w:ascii="宋体" w:hAnsi="宋体" w:eastAsia="宋体" w:cs="宋体"/>
          <w:color w:val="000000"/>
          <w:sz w:val="24"/>
        </w:rPr>
        <w:t>8</w:t>
      </w:r>
      <w:r>
        <w:rPr>
          <w:rFonts w:eastAsiaTheme="minorEastAsia"/>
          <w:color w:val="000000"/>
          <w:sz w:val="24"/>
        </w:rPr>
        <w:t>年。</w:t>
      </w:r>
      <w:r>
        <w:rPr>
          <w:rFonts w:hint="eastAsia" w:asciiTheme="minorEastAsia" w:hAnsiTheme="minorEastAsia"/>
          <w:color w:val="auto"/>
          <w:sz w:val="24"/>
        </w:rPr>
        <w:t>硕博连读研究生博士阶段的学制和学习年限与普通博士研究生相同。</w:t>
      </w:r>
    </w:p>
    <w:p w14:paraId="03BF794F">
      <w:pPr>
        <w:keepNext w:val="0"/>
        <w:keepLines w:val="0"/>
        <w:pageBreakBefore w:val="0"/>
        <w:kinsoku/>
        <w:wordWrap/>
        <w:overflowPunct/>
        <w:topLinePunct w:val="0"/>
        <w:autoSpaceDE/>
        <w:autoSpaceDN/>
        <w:bidi w:val="0"/>
        <w:adjustRightInd/>
        <w:snapToGrid w:val="0"/>
        <w:spacing w:line="360" w:lineRule="auto"/>
        <w:ind w:left="0" w:leftChars="0" w:firstLine="560" w:firstLineChars="200"/>
        <w:textAlignment w:val="auto"/>
        <w:rPr>
          <w:rFonts w:hint="eastAsia" w:ascii="黑体" w:hAnsi="宋体" w:eastAsia="黑体"/>
          <w:bCs/>
          <w:sz w:val="28"/>
          <w:szCs w:val="28"/>
        </w:rPr>
      </w:pPr>
      <w:r>
        <w:rPr>
          <w:rFonts w:hint="eastAsia" w:ascii="黑体" w:hAnsi="宋体" w:eastAsia="黑体"/>
          <w:bCs/>
          <w:sz w:val="28"/>
          <w:szCs w:val="28"/>
        </w:rPr>
        <w:t>五、培养目标</w:t>
      </w:r>
    </w:p>
    <w:p w14:paraId="6C0AD496">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rFonts w:hint="eastAsia" w:ascii="宋体" w:hAnsi="宋体" w:cs="宋体"/>
          <w:sz w:val="24"/>
        </w:rPr>
      </w:pPr>
      <w:r>
        <w:rPr>
          <w:rFonts w:hint="eastAsia" w:ascii="宋体" w:hAnsi="宋体" w:cs="宋体"/>
          <w:sz w:val="24"/>
        </w:rPr>
        <w:t>博士研究生应具有坚定的理想信念，高尚的道德情操，优良的学术作风，高度的社会责任感；具有良好的团队意识和团队合作精神；具有健康的身体和良好的心理素质；熟稔学科学术研究的发展脉络，掌握新闻传播学理论的最新进展和科学的研究方法；对学术研究有问题意识，对研究方法的合理性、针对性、有效性，以及新闻传播学研究成果有自己的评判能力；对新闻传播学科的生长点认识敏锐，能提出具有前沿性的学术问题，并合理运用相关研究方法；至少掌握一门外国语，能阅读本学科的外文资料并进行国际学术交流。</w:t>
      </w:r>
    </w:p>
    <w:p w14:paraId="5E73CD7C">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eastAsia="黑体"/>
          <w:bCs/>
          <w:sz w:val="28"/>
          <w:szCs w:val="28"/>
        </w:rPr>
      </w:pPr>
      <w:r>
        <w:rPr>
          <w:rFonts w:hint="eastAsia" w:eastAsia="黑体"/>
          <w:bCs/>
          <w:sz w:val="28"/>
          <w:szCs w:val="28"/>
        </w:rPr>
        <w:t>六、培养方式</w:t>
      </w:r>
    </w:p>
    <w:p w14:paraId="4FDADE6F">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rFonts w:hint="eastAsia" w:ascii="宋体" w:hAnsi="宋体" w:eastAsia="宋体"/>
          <w:bCs/>
          <w:sz w:val="24"/>
          <w:szCs w:val="24"/>
        </w:rPr>
      </w:pPr>
      <w:r>
        <w:rPr>
          <w:rFonts w:hint="eastAsia" w:ascii="宋体" w:hAnsi="宋体" w:eastAsia="宋体"/>
          <w:bCs/>
          <w:sz w:val="24"/>
          <w:szCs w:val="24"/>
        </w:rPr>
        <w:t>1.培养方式</w:t>
      </w:r>
    </w:p>
    <w:p w14:paraId="1A9435DF">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rFonts w:hint="eastAsia" w:ascii="宋体" w:hAnsi="宋体" w:eastAsia="宋体"/>
          <w:bCs/>
          <w:sz w:val="24"/>
          <w:szCs w:val="24"/>
        </w:rPr>
      </w:pPr>
      <w:r>
        <w:rPr>
          <w:rFonts w:hint="eastAsia" w:ascii="宋体" w:hAnsi="宋体" w:eastAsia="宋体"/>
          <w:bCs/>
          <w:sz w:val="24"/>
          <w:szCs w:val="24"/>
        </w:rPr>
        <w:t>博士研究生实行导师组集体指导和导师指导相结合制，博士学位论文由导师负责指导。</w:t>
      </w:r>
    </w:p>
    <w:p w14:paraId="42E374EB">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rFonts w:hint="eastAsia" w:ascii="宋体" w:hAnsi="宋体" w:eastAsia="宋体"/>
          <w:bCs/>
          <w:sz w:val="24"/>
          <w:szCs w:val="24"/>
        </w:rPr>
      </w:pPr>
      <w:r>
        <w:rPr>
          <w:rFonts w:hint="eastAsia" w:ascii="宋体" w:hAnsi="宋体" w:eastAsia="宋体"/>
          <w:bCs/>
          <w:sz w:val="24"/>
          <w:szCs w:val="24"/>
        </w:rPr>
        <w:t>2.主要培养环节的学习进度要求</w:t>
      </w:r>
    </w:p>
    <w:p w14:paraId="1A6E9B9F">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rFonts w:hint="eastAsia" w:ascii="宋体" w:hAnsi="宋体" w:eastAsia="宋体"/>
          <w:bCs/>
          <w:sz w:val="24"/>
          <w:szCs w:val="24"/>
        </w:rPr>
      </w:pPr>
      <w:r>
        <w:rPr>
          <w:rFonts w:hint="eastAsia" w:ascii="宋体" w:hAnsi="宋体" w:eastAsia="宋体"/>
          <w:bCs/>
          <w:sz w:val="24"/>
          <w:szCs w:val="24"/>
        </w:rPr>
        <w:t>（1）课程学习：1-2学期以课程学习为主，修满本方案所要求的课程学分。</w:t>
      </w:r>
    </w:p>
    <w:p w14:paraId="76F63F87">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rFonts w:hint="eastAsia" w:ascii="宋体" w:hAnsi="宋体" w:eastAsia="宋体"/>
          <w:bCs/>
          <w:sz w:val="24"/>
          <w:szCs w:val="24"/>
        </w:rPr>
      </w:pPr>
      <w:r>
        <w:rPr>
          <w:rFonts w:hint="eastAsia" w:ascii="宋体" w:hAnsi="宋体" w:eastAsia="宋体"/>
          <w:bCs/>
          <w:sz w:val="24"/>
          <w:szCs w:val="24"/>
        </w:rPr>
        <w:t>（</w:t>
      </w:r>
      <w:r>
        <w:rPr>
          <w:rFonts w:hint="eastAsia" w:ascii="宋体" w:hAnsi="宋体" w:eastAsia="宋体"/>
          <w:bCs/>
          <w:sz w:val="24"/>
          <w:szCs w:val="24"/>
          <w:lang w:val="en-US" w:eastAsia="zh-CN"/>
        </w:rPr>
        <w:t>2</w:t>
      </w:r>
      <w:r>
        <w:rPr>
          <w:rFonts w:hint="eastAsia" w:ascii="宋体" w:hAnsi="宋体" w:eastAsia="宋体"/>
          <w:bCs/>
          <w:sz w:val="24"/>
          <w:szCs w:val="24"/>
        </w:rPr>
        <w:t>）学科综合考试：完成本方案除选修课外的其他主修课程后，可进入综合考试环节。考核合格进入学位论文开题报告环节。</w:t>
      </w:r>
    </w:p>
    <w:p w14:paraId="7A951D2D">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rFonts w:hint="eastAsia" w:ascii="宋体" w:hAnsi="宋体" w:eastAsia="宋体"/>
          <w:bCs/>
          <w:sz w:val="24"/>
          <w:szCs w:val="24"/>
        </w:rPr>
      </w:pPr>
      <w:r>
        <w:rPr>
          <w:rFonts w:hint="eastAsia" w:ascii="宋体" w:hAnsi="宋体" w:eastAsia="宋体"/>
          <w:bCs/>
          <w:sz w:val="24"/>
          <w:szCs w:val="24"/>
        </w:rPr>
        <w:t>3.科研成果审核：申请答辩前完成。</w:t>
      </w:r>
    </w:p>
    <w:p w14:paraId="01E186EF">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rFonts w:hint="eastAsia" w:ascii="宋体" w:hAnsi="宋体" w:eastAsia="宋体"/>
          <w:bCs/>
          <w:sz w:val="24"/>
          <w:szCs w:val="24"/>
        </w:rPr>
      </w:pPr>
      <w:r>
        <w:rPr>
          <w:rFonts w:hint="eastAsia" w:ascii="宋体" w:hAnsi="宋体" w:eastAsia="宋体"/>
          <w:bCs/>
          <w:sz w:val="24"/>
          <w:szCs w:val="24"/>
        </w:rPr>
        <w:t>4.加强学风建设，严格自律，恪守学术道德与学术规范</w:t>
      </w:r>
      <w:r>
        <w:rPr>
          <w:rFonts w:hint="eastAsia" w:ascii="宋体" w:hAnsi="宋体" w:eastAsia="宋体"/>
          <w:bCs/>
          <w:sz w:val="24"/>
          <w:szCs w:val="24"/>
          <w:lang w:eastAsia="zh-CN"/>
        </w:rPr>
        <w:t>、</w:t>
      </w:r>
      <w:r>
        <w:rPr>
          <w:rFonts w:hint="eastAsia" w:ascii="宋体" w:hAnsi="宋体" w:eastAsia="宋体"/>
          <w:bCs/>
          <w:sz w:val="24"/>
          <w:szCs w:val="24"/>
        </w:rPr>
        <w:t>严格自律，应当贯彻于博士研究生阶段学习的各个环节：在课程学习中踏实认真，刻苦努力，遵守课堂纪律；在课程考试中诚实认真，遵守考试纪律；在学术研究中严谨细致，不慕虚名，遵守学术规范；在论文写作和发表中不剽窃、不冒用他人研究成果，遵守学术道德，严格自律。</w:t>
      </w:r>
    </w:p>
    <w:p w14:paraId="44022676">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rFonts w:hint="eastAsia" w:ascii="宋体" w:hAnsi="宋体" w:eastAsia="宋体"/>
          <w:bCs/>
          <w:sz w:val="24"/>
          <w:szCs w:val="24"/>
        </w:rPr>
      </w:pPr>
      <w:r>
        <w:rPr>
          <w:rFonts w:hint="eastAsia" w:ascii="宋体" w:hAnsi="宋体" w:eastAsia="宋体"/>
          <w:bCs/>
          <w:sz w:val="24"/>
          <w:szCs w:val="24"/>
        </w:rPr>
        <w:t>5.建立“学业进展报告”制度</w:t>
      </w:r>
    </w:p>
    <w:p w14:paraId="7C0D6E44">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rFonts w:hint="eastAsia" w:ascii="宋体" w:hAnsi="宋体" w:eastAsia="宋体"/>
          <w:bCs/>
          <w:sz w:val="24"/>
          <w:szCs w:val="24"/>
        </w:rPr>
      </w:pPr>
      <w:r>
        <w:rPr>
          <w:rFonts w:hint="eastAsia" w:ascii="宋体" w:hAnsi="宋体" w:eastAsia="宋体"/>
          <w:bCs/>
          <w:sz w:val="24"/>
          <w:szCs w:val="24"/>
        </w:rPr>
        <w:t>学生入学后，按照培养方案和个人培养计划推进学业，每学年应对照计划向导师和学院汇报学业进展情况，包括学习情况和科研工作进展。学院和导师要认真审核博士生学业进展报告，督促学生按照培养方案推进学业。</w:t>
      </w:r>
    </w:p>
    <w:p w14:paraId="0DBD1F59">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eastAsia="黑体"/>
          <w:bCs/>
          <w:sz w:val="28"/>
          <w:szCs w:val="28"/>
        </w:rPr>
      </w:pPr>
      <w:r>
        <w:rPr>
          <w:rFonts w:hint="eastAsia" w:eastAsia="黑体"/>
          <w:bCs/>
          <w:sz w:val="28"/>
          <w:szCs w:val="28"/>
        </w:rPr>
        <w:t>七、中期筛选</w:t>
      </w:r>
    </w:p>
    <w:p w14:paraId="2B6859EC">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color w:val="000000"/>
          <w:sz w:val="24"/>
        </w:rPr>
      </w:pPr>
      <w:r>
        <w:rPr>
          <w:rFonts w:hint="eastAsia"/>
          <w:bCs/>
          <w:sz w:val="24"/>
        </w:rPr>
        <w:t>在完成培养方案规定的课程学习、考核成绩合格、获得规定的学分后，按照《河北大学研究生中期筛选管理办法》</w:t>
      </w:r>
      <w:r>
        <w:rPr>
          <w:rFonts w:hint="eastAsia" w:asciiTheme="minorEastAsia" w:hAnsiTheme="minorEastAsia"/>
          <w:iCs/>
          <w:sz w:val="24"/>
        </w:rPr>
        <w:t>（校政字〔2021〕15号）</w:t>
      </w:r>
      <w:r>
        <w:rPr>
          <w:rFonts w:hint="eastAsia"/>
          <w:bCs/>
          <w:sz w:val="24"/>
        </w:rPr>
        <w:t>的相关规定，组织开展中期筛选工作。</w:t>
      </w:r>
    </w:p>
    <w:p w14:paraId="5D4E7C3D">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eastAsia="黑体"/>
          <w:bCs/>
          <w:sz w:val="28"/>
          <w:szCs w:val="28"/>
        </w:rPr>
      </w:pPr>
      <w:r>
        <w:rPr>
          <w:rFonts w:hint="eastAsia" w:eastAsia="黑体"/>
          <w:bCs/>
          <w:sz w:val="28"/>
          <w:szCs w:val="28"/>
        </w:rPr>
        <w:t>八、学位（毕业）论文</w:t>
      </w:r>
    </w:p>
    <w:p w14:paraId="772E225A">
      <w:pPr>
        <w:keepNext w:val="0"/>
        <w:keepLines w:val="0"/>
        <w:pageBreakBefore w:val="0"/>
        <w:widowControl w:val="0"/>
        <w:kinsoku/>
        <w:wordWrap/>
        <w:overflowPunct/>
        <w:topLinePunct w:val="0"/>
        <w:autoSpaceDE/>
        <w:autoSpaceDN/>
        <w:bidi w:val="0"/>
        <w:adjustRightInd/>
        <w:snapToGrid w:val="0"/>
        <w:spacing w:line="360" w:lineRule="auto"/>
        <w:ind w:left="0" w:leftChars="0" w:firstLine="480"/>
        <w:textAlignment w:val="auto"/>
        <w:rPr>
          <w:rFonts w:hint="eastAsia" w:asciiTheme="minorEastAsia" w:hAnsiTheme="minorEastAsia"/>
          <w:iCs/>
          <w:sz w:val="24"/>
        </w:rPr>
      </w:pPr>
      <w:r>
        <w:rPr>
          <w:rFonts w:hint="eastAsia"/>
          <w:iCs/>
          <w:sz w:val="24"/>
        </w:rPr>
        <w:t>1.</w:t>
      </w:r>
      <w:r>
        <w:rPr>
          <w:rFonts w:hint="eastAsia" w:asciiTheme="minorEastAsia" w:hAnsiTheme="minorEastAsia"/>
          <w:iCs/>
          <w:sz w:val="24"/>
        </w:rPr>
        <w:t>总体要求：按照《河北大学关于开展2025版研究生培养方案修订工作的指导意见》（校政字〔2025〕9号）规定，博士研究生论文开题与答辩时间间隔原则上不少于18个月。学位（毕业）论文应当表明作者具有独立从事学术研究工作的能力， 在学术研究领域做出创新性成果。</w:t>
      </w:r>
    </w:p>
    <w:p w14:paraId="58689325">
      <w:pPr>
        <w:keepNext w:val="0"/>
        <w:keepLines w:val="0"/>
        <w:pageBreakBefore w:val="0"/>
        <w:kinsoku/>
        <w:wordWrap/>
        <w:overflowPunct/>
        <w:topLinePunct w:val="0"/>
        <w:autoSpaceDE/>
        <w:autoSpaceDN/>
        <w:bidi w:val="0"/>
        <w:adjustRightInd/>
        <w:snapToGrid w:val="0"/>
        <w:spacing w:line="360" w:lineRule="auto"/>
        <w:ind w:left="0" w:leftChars="0" w:firstLine="480"/>
        <w:textAlignment w:val="auto"/>
        <w:rPr>
          <w:iCs/>
          <w:sz w:val="24"/>
        </w:rPr>
      </w:pPr>
      <w:r>
        <w:rPr>
          <w:rFonts w:hint="eastAsia"/>
          <w:iCs/>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3EE1D366">
      <w:pPr>
        <w:keepNext w:val="0"/>
        <w:keepLines w:val="0"/>
        <w:pageBreakBefore w:val="0"/>
        <w:kinsoku/>
        <w:wordWrap/>
        <w:overflowPunct/>
        <w:topLinePunct w:val="0"/>
        <w:autoSpaceDE/>
        <w:autoSpaceDN/>
        <w:bidi w:val="0"/>
        <w:adjustRightInd/>
        <w:snapToGrid w:val="0"/>
        <w:spacing w:line="360" w:lineRule="auto"/>
        <w:ind w:left="0" w:leftChars="0" w:firstLine="480"/>
        <w:textAlignment w:val="auto"/>
        <w:rPr>
          <w:rFonts w:hint="eastAsia" w:asciiTheme="minorEastAsia" w:hAnsiTheme="minorEastAsia"/>
          <w:iCs/>
          <w:sz w:val="24"/>
        </w:rPr>
      </w:pPr>
      <w:r>
        <w:rPr>
          <w:rFonts w:hint="eastAsia" w:asciiTheme="minorEastAsia" w:hAnsiTheme="minorEastAsia"/>
          <w:iCs/>
          <w:sz w:val="24"/>
        </w:rPr>
        <w:t>原则上在入学后第3学期完成开题。开题由3-5名具有正高级专业技术职务人员参加，以学术报告的方式进行。</w:t>
      </w:r>
    </w:p>
    <w:p w14:paraId="7877CB8A">
      <w:pPr>
        <w:keepNext w:val="0"/>
        <w:keepLines w:val="0"/>
        <w:pageBreakBefore w:val="0"/>
        <w:kinsoku/>
        <w:wordWrap/>
        <w:overflowPunct/>
        <w:topLinePunct w:val="0"/>
        <w:autoSpaceDE/>
        <w:autoSpaceDN/>
        <w:bidi w:val="0"/>
        <w:adjustRightInd/>
        <w:snapToGrid w:val="0"/>
        <w:spacing w:line="360" w:lineRule="auto"/>
        <w:ind w:left="0" w:leftChars="0" w:firstLine="480"/>
        <w:textAlignment w:val="auto"/>
        <w:rPr>
          <w:iCs/>
          <w:sz w:val="24"/>
        </w:rPr>
      </w:pPr>
      <w:r>
        <w:rPr>
          <w:rFonts w:hint="eastAsia"/>
          <w:iCs/>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26C86505">
      <w:pPr>
        <w:keepNext w:val="0"/>
        <w:keepLines w:val="0"/>
        <w:pageBreakBefore w:val="0"/>
        <w:kinsoku/>
        <w:wordWrap/>
        <w:overflowPunct/>
        <w:topLinePunct w:val="0"/>
        <w:autoSpaceDE/>
        <w:autoSpaceDN/>
        <w:bidi w:val="0"/>
        <w:adjustRightInd/>
        <w:snapToGrid w:val="0"/>
        <w:spacing w:line="360" w:lineRule="auto"/>
        <w:ind w:left="0" w:leftChars="0" w:firstLine="480"/>
        <w:textAlignment w:val="auto"/>
        <w:rPr>
          <w:rFonts w:hint="eastAsia" w:ascii="宋体" w:hAnsi="宋体" w:eastAsia="宋体" w:cs="宋体"/>
          <w:iCs/>
          <w:sz w:val="24"/>
        </w:rPr>
      </w:pPr>
      <w:r>
        <w:rPr>
          <w:rFonts w:hint="eastAsia"/>
          <w:iCs/>
          <w:sz w:val="24"/>
        </w:rPr>
        <w:t>4.学位申请：达到学位授予条件的申请人，经导师同意后，应于答辩前三个月，向所属学位</w:t>
      </w:r>
      <w:r>
        <w:rPr>
          <w:rFonts w:hint="eastAsia" w:ascii="宋体" w:hAnsi="宋体" w:eastAsia="宋体" w:cs="宋体"/>
          <w:iCs/>
          <w:sz w:val="24"/>
        </w:rPr>
        <w:t>评定分委员会提出学位申请，提交学位申请材料。</w:t>
      </w:r>
    </w:p>
    <w:p w14:paraId="70D83C44">
      <w:pPr>
        <w:keepNext w:val="0"/>
        <w:keepLines w:val="0"/>
        <w:pageBreakBefore w:val="0"/>
        <w:kinsoku/>
        <w:wordWrap/>
        <w:overflowPunct/>
        <w:topLinePunct w:val="0"/>
        <w:autoSpaceDE/>
        <w:autoSpaceDN/>
        <w:bidi w:val="0"/>
        <w:adjustRightInd/>
        <w:snapToGrid w:val="0"/>
        <w:spacing w:line="360" w:lineRule="auto"/>
        <w:ind w:left="0" w:leftChars="0" w:firstLine="480"/>
        <w:textAlignment w:val="auto"/>
        <w:rPr>
          <w:rFonts w:hint="eastAsia" w:ascii="宋体" w:hAnsi="宋体" w:eastAsia="宋体" w:cs="宋体"/>
          <w:iCs/>
          <w:sz w:val="24"/>
        </w:rPr>
      </w:pPr>
      <w:r>
        <w:rPr>
          <w:rFonts w:hint="eastAsia" w:ascii="宋体" w:hAnsi="宋体" w:eastAsia="宋体" w:cs="宋体"/>
          <w:iCs/>
          <w:sz w:val="24"/>
        </w:rPr>
        <w:t>5.预答辩：学位申请人须进行学位论文预答辩。预答辩通过者，方可进入学位论文评阅、学位论文答辩等环节。学位（毕业）论文预答辩在正式答辩前3个月进行。</w:t>
      </w:r>
    </w:p>
    <w:p w14:paraId="328CF989">
      <w:pPr>
        <w:keepNext w:val="0"/>
        <w:keepLines w:val="0"/>
        <w:pageBreakBefore w:val="0"/>
        <w:kinsoku/>
        <w:wordWrap/>
        <w:overflowPunct/>
        <w:topLinePunct w:val="0"/>
        <w:autoSpaceDE/>
        <w:autoSpaceDN/>
        <w:bidi w:val="0"/>
        <w:adjustRightInd/>
        <w:snapToGrid w:val="0"/>
        <w:spacing w:line="360" w:lineRule="auto"/>
        <w:ind w:left="0" w:leftChars="0" w:firstLine="480"/>
        <w:textAlignment w:val="auto"/>
        <w:rPr>
          <w:rFonts w:hint="eastAsia" w:ascii="宋体" w:hAnsi="宋体" w:eastAsia="宋体" w:cs="宋体"/>
          <w:iCs/>
          <w:sz w:val="24"/>
        </w:rPr>
      </w:pPr>
      <w:r>
        <w:rPr>
          <w:rFonts w:hint="eastAsia" w:ascii="宋体" w:hAnsi="宋体" w:eastAsia="宋体" w:cs="宋体"/>
          <w:iCs/>
          <w:sz w:val="24"/>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2248EF33">
      <w:pPr>
        <w:keepNext w:val="0"/>
        <w:keepLines w:val="0"/>
        <w:pageBreakBefore w:val="0"/>
        <w:widowControl w:val="0"/>
        <w:kinsoku/>
        <w:wordWrap/>
        <w:overflowPunct/>
        <w:topLinePunct w:val="0"/>
        <w:autoSpaceDE/>
        <w:autoSpaceDN/>
        <w:bidi w:val="0"/>
        <w:adjustRightInd/>
        <w:snapToGrid w:val="0"/>
        <w:spacing w:line="360" w:lineRule="auto"/>
        <w:ind w:left="0" w:leftChars="0" w:firstLine="480"/>
        <w:textAlignment w:val="auto"/>
        <w:rPr>
          <w:rFonts w:hint="eastAsia" w:ascii="宋体" w:hAnsi="宋体" w:eastAsia="宋体" w:cs="宋体"/>
          <w:iCs/>
          <w:sz w:val="24"/>
        </w:rPr>
      </w:pPr>
      <w:r>
        <w:rPr>
          <w:rFonts w:hint="eastAsia" w:ascii="宋体" w:hAnsi="宋体" w:eastAsia="宋体" w:cs="宋体"/>
          <w:iCs/>
          <w:sz w:val="24"/>
        </w:rPr>
        <w:t>7.答辩：学位（毕业）论文答辩按照《河北大学博士、硕士学位授予工作实施细则》（校政字〔2025〕7号）执行。</w:t>
      </w:r>
    </w:p>
    <w:p w14:paraId="78B58644">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eastAsia="黑体"/>
          <w:bCs/>
          <w:sz w:val="28"/>
          <w:szCs w:val="28"/>
        </w:rPr>
      </w:pPr>
      <w:r>
        <w:rPr>
          <w:rFonts w:hint="eastAsia" w:eastAsia="黑体"/>
          <w:bCs/>
          <w:sz w:val="28"/>
          <w:szCs w:val="28"/>
        </w:rPr>
        <w:t>九</w:t>
      </w:r>
      <w:r>
        <w:rPr>
          <w:rFonts w:eastAsia="黑体"/>
          <w:bCs/>
          <w:sz w:val="28"/>
          <w:szCs w:val="28"/>
        </w:rPr>
        <w:t>、毕业条件</w:t>
      </w:r>
    </w:p>
    <w:p w14:paraId="5E400DED">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bCs/>
          <w:sz w:val="24"/>
        </w:rPr>
      </w:pPr>
      <w:r>
        <w:rPr>
          <w:rFonts w:hint="eastAsia"/>
          <w:bCs/>
          <w:sz w:val="24"/>
        </w:rPr>
        <w:t>1.课程学习。研究生在规定修业年限内完成培养方案规定的课程学习，考核成绩合格，获得规定的学分。</w:t>
      </w:r>
    </w:p>
    <w:p w14:paraId="5A63379B">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rFonts w:hint="eastAsia" w:ascii="宋体" w:hAnsi="宋体" w:eastAsia="宋体" w:cs="宋体"/>
          <w:bCs/>
          <w:sz w:val="24"/>
        </w:rPr>
      </w:pPr>
      <w:r>
        <w:rPr>
          <w:rFonts w:hint="eastAsia"/>
          <w:bCs/>
          <w:sz w:val="24"/>
        </w:rPr>
        <w:t>2.学术活动。研究生在读期间参加</w:t>
      </w:r>
      <w:r>
        <w:rPr>
          <w:rFonts w:hint="eastAsia" w:ascii="宋体" w:hAnsi="宋体" w:eastAsia="宋体" w:cs="宋体"/>
          <w:bCs/>
          <w:sz w:val="24"/>
        </w:rPr>
        <w:t>不少于15次学术活动，并撰写学术报告小结；以主讲人或宣讲人身份，参加在校内外举行的学术报告或学术讲座不少于2次。</w:t>
      </w:r>
    </w:p>
    <w:p w14:paraId="128D17A5">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bCs/>
          <w:sz w:val="24"/>
        </w:rPr>
      </w:pPr>
      <w:r>
        <w:rPr>
          <w:rFonts w:hint="eastAsia"/>
          <w:bCs/>
          <w:sz w:val="24"/>
        </w:rPr>
        <w:t>3.符合提前毕业条件的研究生，可按照学校相关规定申请提前毕业。</w:t>
      </w:r>
    </w:p>
    <w:p w14:paraId="53F94495">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bCs/>
          <w:sz w:val="24"/>
        </w:rPr>
      </w:pPr>
      <w:r>
        <w:rPr>
          <w:rFonts w:hint="eastAsia"/>
          <w:bCs/>
          <w:sz w:val="24"/>
        </w:rPr>
        <w:t>4.论文答辩。学位（毕业）论文经专家评审合格、通过学位（毕业）答辩，符合毕业资格审查后，准予毕业。</w:t>
      </w:r>
    </w:p>
    <w:p w14:paraId="25A7EFCC">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bCs/>
          <w:sz w:val="24"/>
        </w:rPr>
      </w:pPr>
      <w:r>
        <w:rPr>
          <w:rFonts w:hint="eastAsia" w:eastAsia="黑体"/>
          <w:bCs/>
          <w:sz w:val="28"/>
          <w:szCs w:val="28"/>
        </w:rPr>
        <w:t>十</w:t>
      </w:r>
      <w:r>
        <w:rPr>
          <w:rFonts w:eastAsia="黑体"/>
          <w:bCs/>
          <w:sz w:val="28"/>
          <w:szCs w:val="28"/>
        </w:rPr>
        <w:t>、创新性成果</w:t>
      </w:r>
    </w:p>
    <w:p w14:paraId="49319A84">
      <w:pPr>
        <w:keepNext w:val="0"/>
        <w:keepLines w:val="0"/>
        <w:pageBreakBefore w:val="0"/>
        <w:widowControl w:val="0"/>
        <w:kinsoku/>
        <w:wordWrap/>
        <w:overflowPunct/>
        <w:topLinePunct w:val="0"/>
        <w:autoSpaceDE/>
        <w:autoSpaceDN/>
        <w:bidi w:val="0"/>
        <w:adjustRightInd/>
        <w:spacing w:line="360" w:lineRule="auto"/>
        <w:ind w:left="0" w:leftChars="0" w:firstLine="480" w:firstLineChars="200"/>
        <w:textAlignment w:val="auto"/>
        <w:rPr>
          <w:rFonts w:hint="eastAsia" w:eastAsiaTheme="minorEastAsia"/>
          <w:color w:val="000000"/>
          <w:sz w:val="24"/>
          <w:lang w:val="en-US" w:eastAsia="zh-CN"/>
        </w:rPr>
      </w:pPr>
      <w:r>
        <w:rPr>
          <w:rFonts w:hint="eastAsia"/>
          <w:bCs/>
          <w:sz w:val="24"/>
        </w:rPr>
        <w:t>博士研究生入学后需在导师指导下制定详细可行的科学研究计划。博士研究生在校期间，须严格按照新闻传播学院博士研究生科学研究和学术创新性成果认定细则完成论文学术发表并进行科研审核。</w:t>
      </w:r>
      <w:r>
        <w:rPr>
          <w:rFonts w:hint="eastAsia" w:eastAsiaTheme="minorEastAsia"/>
          <w:color w:val="000000"/>
          <w:sz w:val="24"/>
          <w:lang w:val="en-US" w:eastAsia="zh-CN"/>
        </w:rPr>
        <w:t>具体要求与标准见《新闻传播学院关于研究生申请学位取得创新性成果的规定》。</w:t>
      </w:r>
    </w:p>
    <w:p w14:paraId="6C53A800">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bCs/>
          <w:sz w:val="24"/>
        </w:rPr>
      </w:pPr>
      <w:r>
        <w:rPr>
          <w:rFonts w:hint="eastAsia"/>
          <w:bCs/>
          <w:sz w:val="24"/>
        </w:rPr>
        <w:t>国家公派联合培养博士生在境外学习期间的创新成果，须以学位申请人为第一作者，并应明确注明作者双重身份，同时以河北大学和合作方单位为作者单位。</w:t>
      </w:r>
    </w:p>
    <w:p w14:paraId="1CC8DB87">
      <w:pPr>
        <w:keepNext w:val="0"/>
        <w:keepLines w:val="0"/>
        <w:pageBreakBefore w:val="0"/>
        <w:widowControl w:val="0"/>
        <w:kinsoku/>
        <w:wordWrap/>
        <w:overflowPunct/>
        <w:topLinePunct w:val="0"/>
        <w:autoSpaceDE/>
        <w:autoSpaceDN/>
        <w:bidi w:val="0"/>
        <w:adjustRightInd/>
        <w:snapToGrid w:val="0"/>
        <w:spacing w:line="360" w:lineRule="auto"/>
        <w:ind w:left="0" w:leftChars="0" w:firstLine="560" w:firstLineChars="200"/>
        <w:textAlignment w:val="auto"/>
        <w:rPr>
          <w:rFonts w:eastAsia="黑体"/>
          <w:bCs/>
          <w:sz w:val="28"/>
          <w:szCs w:val="28"/>
        </w:rPr>
      </w:pPr>
      <w:r>
        <w:rPr>
          <w:rFonts w:hint="eastAsia" w:eastAsia="黑体"/>
          <w:bCs/>
          <w:sz w:val="28"/>
          <w:szCs w:val="28"/>
        </w:rPr>
        <w:t>十一</w:t>
      </w:r>
      <w:r>
        <w:rPr>
          <w:rFonts w:eastAsia="黑体"/>
          <w:bCs/>
          <w:sz w:val="28"/>
          <w:szCs w:val="28"/>
        </w:rPr>
        <w:t>、学位授予</w:t>
      </w:r>
    </w:p>
    <w:p w14:paraId="609A83E3">
      <w:pPr>
        <w:keepNext w:val="0"/>
        <w:keepLines w:val="0"/>
        <w:pageBreakBefore w:val="0"/>
        <w:widowControl w:val="0"/>
        <w:kinsoku/>
        <w:wordWrap/>
        <w:overflowPunct/>
        <w:topLinePunct w:val="0"/>
        <w:autoSpaceDE/>
        <w:autoSpaceDN/>
        <w:bidi w:val="0"/>
        <w:adjustRightInd/>
        <w:snapToGrid w:val="0"/>
        <w:spacing w:line="360" w:lineRule="auto"/>
        <w:ind w:left="0" w:leftChars="0" w:firstLine="480" w:firstLineChars="200"/>
        <w:textAlignment w:val="auto"/>
        <w:rPr>
          <w:bCs/>
          <w:i/>
          <w:sz w:val="24"/>
        </w:rPr>
      </w:pPr>
      <w:r>
        <w:rPr>
          <w:bCs/>
          <w:color w:val="000000" w:themeColor="text1"/>
          <w:sz w:val="24"/>
          <w14:textFill>
            <w14:solidFill>
              <w14:schemeClr w14:val="tx1"/>
            </w14:solidFill>
          </w14:textFill>
        </w:rPr>
        <w:t>研究生通过毕业资格审查，</w:t>
      </w:r>
      <w:r>
        <w:rPr>
          <w:kern w:val="0"/>
          <w:sz w:val="24"/>
        </w:rPr>
        <w:t>满足本学院</w:t>
      </w:r>
      <w:r>
        <w:rPr>
          <w:color w:val="222222"/>
          <w:kern w:val="0"/>
          <w:sz w:val="24"/>
        </w:rPr>
        <w:t>制定的创新性成果要求，</w:t>
      </w:r>
      <w:r>
        <w:rPr>
          <w:bCs/>
          <w:sz w:val="24"/>
        </w:rPr>
        <w:t>符合</w:t>
      </w:r>
      <w:r>
        <w:rPr>
          <w:color w:val="222222"/>
          <w:kern w:val="0"/>
          <w:sz w:val="24"/>
        </w:rPr>
        <w:t>《河北大学博士、硕士学位授予工作实施细则》（</w:t>
      </w:r>
      <w:r>
        <w:rPr>
          <w:rFonts w:hint="eastAsia" w:ascii="宋体" w:hAnsi="宋体" w:eastAsia="宋体" w:cs="宋体"/>
          <w:color w:val="222222"/>
          <w:kern w:val="0"/>
          <w:sz w:val="24"/>
        </w:rPr>
        <w:t>校政字〔2025〕7</w:t>
      </w:r>
      <w:r>
        <w:rPr>
          <w:color w:val="222222"/>
          <w:kern w:val="0"/>
          <w:sz w:val="24"/>
        </w:rPr>
        <w:t>号）</w:t>
      </w:r>
      <w:r>
        <w:rPr>
          <w:bCs/>
          <w:sz w:val="24"/>
        </w:rPr>
        <w:t>的有关规定，达到学校学位授予标准，经学校学位评定委员会审议，授予博士学位。</w:t>
      </w:r>
    </w:p>
    <w:p w14:paraId="22C27DFF">
      <w:pPr>
        <w:keepNext w:val="0"/>
        <w:keepLines w:val="0"/>
        <w:pageBreakBefore w:val="0"/>
        <w:kinsoku/>
        <w:wordWrap/>
        <w:overflowPunct/>
        <w:topLinePunct w:val="0"/>
        <w:autoSpaceDE/>
        <w:autoSpaceDN/>
        <w:bidi w:val="0"/>
        <w:adjustRightInd/>
        <w:snapToGrid w:val="0"/>
        <w:spacing w:line="360" w:lineRule="auto"/>
        <w:ind w:left="0" w:leftChars="0" w:firstLine="560" w:firstLineChars="200"/>
        <w:textAlignment w:val="auto"/>
        <w:rPr>
          <w:rFonts w:eastAsia="黑体"/>
          <w:bCs/>
          <w:sz w:val="28"/>
          <w:szCs w:val="28"/>
        </w:rPr>
      </w:pPr>
      <w:r>
        <w:rPr>
          <w:rFonts w:hint="eastAsia" w:eastAsia="黑体"/>
          <w:bCs/>
          <w:sz w:val="28"/>
          <w:szCs w:val="28"/>
        </w:rPr>
        <w:t>十二</w:t>
      </w:r>
      <w:r>
        <w:rPr>
          <w:rFonts w:eastAsia="黑体"/>
          <w:bCs/>
          <w:sz w:val="28"/>
          <w:szCs w:val="28"/>
        </w:rPr>
        <w:t>、学分及课程设置</w:t>
      </w:r>
    </w:p>
    <w:p w14:paraId="75A04A6E">
      <w:pPr>
        <w:keepNext w:val="0"/>
        <w:keepLines w:val="0"/>
        <w:pageBreakBefore w:val="0"/>
        <w:kinsoku/>
        <w:wordWrap/>
        <w:overflowPunct/>
        <w:topLinePunct w:val="0"/>
        <w:autoSpaceDE/>
        <w:autoSpaceDN/>
        <w:bidi w:val="0"/>
        <w:adjustRightInd/>
        <w:snapToGrid w:val="0"/>
        <w:spacing w:line="360" w:lineRule="auto"/>
        <w:ind w:left="0" w:leftChars="0" w:firstLine="480" w:firstLineChars="200"/>
        <w:textAlignment w:val="auto"/>
        <w:rPr>
          <w:rFonts w:hint="eastAsia" w:ascii="宋体" w:hAnsi="宋体" w:cs="宋体"/>
          <w:sz w:val="24"/>
        </w:rPr>
      </w:pPr>
      <w:r>
        <w:rPr>
          <w:rFonts w:hint="eastAsia" w:ascii="宋体" w:hAnsi="宋体" w:cs="宋体"/>
          <w:sz w:val="24"/>
        </w:rPr>
        <w:t>本专业最低毕业学分为</w:t>
      </w:r>
      <w:r>
        <w:rPr>
          <w:rFonts w:hint="eastAsia" w:ascii="宋体" w:hAnsi="宋体" w:cs="宋体"/>
          <w:sz w:val="24"/>
          <w:lang w:val="en-US" w:eastAsia="zh-CN"/>
        </w:rPr>
        <w:t>24学</w:t>
      </w:r>
      <w:r>
        <w:rPr>
          <w:rFonts w:hint="eastAsia" w:ascii="宋体" w:hAnsi="宋体" w:cs="宋体"/>
          <w:sz w:val="24"/>
        </w:rPr>
        <w:t>分，其中学位课1</w:t>
      </w:r>
      <w:r>
        <w:rPr>
          <w:rFonts w:hint="eastAsia" w:ascii="宋体" w:hAnsi="宋体" w:cs="宋体"/>
          <w:sz w:val="24"/>
          <w:lang w:val="en-US" w:eastAsia="zh-CN"/>
        </w:rPr>
        <w:t>5</w:t>
      </w:r>
      <w:r>
        <w:rPr>
          <w:rFonts w:hint="eastAsia" w:ascii="宋体" w:hAnsi="宋体" w:cs="宋体"/>
          <w:sz w:val="24"/>
        </w:rPr>
        <w:t>学分，非学位课</w:t>
      </w:r>
      <w:r>
        <w:rPr>
          <w:rFonts w:hint="eastAsia" w:ascii="宋体" w:hAnsi="宋体" w:cs="宋体"/>
          <w:sz w:val="24"/>
          <w:lang w:val="en-US" w:eastAsia="zh-CN"/>
        </w:rPr>
        <w:t>8</w:t>
      </w:r>
      <w:r>
        <w:rPr>
          <w:rFonts w:hint="eastAsia" w:ascii="宋体" w:hAnsi="宋体" w:cs="宋体"/>
          <w:sz w:val="24"/>
        </w:rPr>
        <w:t>学分，必修环节1学分。</w:t>
      </w:r>
    </w:p>
    <w:p w14:paraId="163EEB66">
      <w:pPr>
        <w:keepNext w:val="0"/>
        <w:keepLines w:val="0"/>
        <w:pageBreakBefore w:val="0"/>
        <w:kinsoku/>
        <w:wordWrap/>
        <w:overflowPunct/>
        <w:topLinePunct w:val="0"/>
        <w:autoSpaceDE/>
        <w:autoSpaceDN/>
        <w:bidi w:val="0"/>
        <w:adjustRightInd/>
        <w:snapToGrid w:val="0"/>
        <w:spacing w:line="360" w:lineRule="auto"/>
        <w:ind w:left="0" w:leftChars="0" w:firstLine="480" w:firstLineChars="200"/>
        <w:textAlignment w:val="auto"/>
        <w:rPr>
          <w:rFonts w:hint="eastAsia" w:ascii="宋体" w:hAnsi="宋体" w:cs="宋体"/>
          <w:sz w:val="24"/>
        </w:rPr>
      </w:pPr>
      <w:r>
        <w:rPr>
          <w:rFonts w:hint="eastAsia" w:ascii="宋体" w:hAnsi="宋体" w:cs="宋体"/>
          <w:sz w:val="24"/>
        </w:rPr>
        <w:t>课程考试不设补考环节，考试成绩低于60分的需重修。</w:t>
      </w:r>
    </w:p>
    <w:p w14:paraId="457CCDA5">
      <w:pPr>
        <w:keepNext w:val="0"/>
        <w:keepLines w:val="0"/>
        <w:pageBreakBefore w:val="0"/>
        <w:kinsoku/>
        <w:wordWrap/>
        <w:overflowPunct/>
        <w:topLinePunct w:val="0"/>
        <w:autoSpaceDE/>
        <w:autoSpaceDN/>
        <w:bidi w:val="0"/>
        <w:adjustRightInd/>
        <w:snapToGrid w:val="0"/>
        <w:spacing w:line="360" w:lineRule="auto"/>
        <w:ind w:left="0" w:leftChars="0" w:firstLine="480"/>
        <w:textAlignment w:val="auto"/>
        <w:rPr>
          <w:rFonts w:hint="eastAsia" w:ascii="宋体" w:hAnsi="宋体" w:cs="宋体"/>
          <w:iCs/>
          <w:sz w:val="24"/>
        </w:rPr>
      </w:pPr>
      <w:r>
        <w:rPr>
          <w:rFonts w:hint="eastAsia" w:ascii="宋体" w:hAnsi="宋体" w:cs="宋体"/>
          <w:iCs/>
          <w:sz w:val="24"/>
        </w:rPr>
        <w:t>课程考核方式包括考试和考查，可以采用口试、笔试或写读书报告、论文的形式。无论采取何种考核方式，均应能真实反映学生对所学知识掌握的程度及运用知识的能力，成绩均按百分制成绩评定。</w:t>
      </w:r>
    </w:p>
    <w:p w14:paraId="0158C287">
      <w:pPr>
        <w:snapToGrid w:val="0"/>
        <w:spacing w:line="360" w:lineRule="auto"/>
        <w:jc w:val="center"/>
        <w:rPr>
          <w:rFonts w:hint="eastAsia" w:asciiTheme="minorEastAsia" w:hAnsiTheme="minorEastAsia"/>
          <w:b/>
          <w:bCs/>
          <w:sz w:val="24"/>
        </w:rPr>
      </w:pPr>
    </w:p>
    <w:p w14:paraId="22129F70">
      <w:pPr>
        <w:snapToGrid w:val="0"/>
        <w:spacing w:line="360" w:lineRule="auto"/>
        <w:jc w:val="center"/>
        <w:rPr>
          <w:rFonts w:hint="eastAsia" w:asciiTheme="minorEastAsia" w:hAnsiTheme="minorEastAsia"/>
          <w:b/>
          <w:bCs/>
          <w:sz w:val="24"/>
        </w:rPr>
      </w:pPr>
    </w:p>
    <w:p w14:paraId="41832DB9">
      <w:pPr>
        <w:snapToGrid w:val="0"/>
        <w:spacing w:line="360" w:lineRule="auto"/>
        <w:jc w:val="center"/>
        <w:rPr>
          <w:rFonts w:hint="eastAsia" w:asciiTheme="minorEastAsia" w:hAnsiTheme="minorEastAsia"/>
          <w:b/>
          <w:bCs/>
          <w:sz w:val="24"/>
        </w:rPr>
      </w:pPr>
    </w:p>
    <w:p w14:paraId="01CB288B">
      <w:pPr>
        <w:snapToGrid w:val="0"/>
        <w:spacing w:line="360" w:lineRule="auto"/>
        <w:jc w:val="center"/>
        <w:rPr>
          <w:rFonts w:hint="eastAsia" w:asciiTheme="minorEastAsia" w:hAnsiTheme="minorEastAsia"/>
          <w:b/>
          <w:bCs/>
          <w:sz w:val="24"/>
        </w:rPr>
      </w:pPr>
    </w:p>
    <w:p w14:paraId="21002AE9">
      <w:pPr>
        <w:snapToGrid w:val="0"/>
        <w:spacing w:line="360" w:lineRule="auto"/>
        <w:jc w:val="center"/>
        <w:rPr>
          <w:rFonts w:hint="eastAsia" w:asciiTheme="minorEastAsia" w:hAnsiTheme="minorEastAsia"/>
          <w:b/>
          <w:bCs/>
          <w:sz w:val="24"/>
        </w:rPr>
      </w:pPr>
    </w:p>
    <w:p w14:paraId="6F3B6F01">
      <w:pPr>
        <w:snapToGrid w:val="0"/>
        <w:spacing w:line="360" w:lineRule="auto"/>
        <w:jc w:val="center"/>
        <w:rPr>
          <w:rFonts w:hint="eastAsia" w:asciiTheme="minorEastAsia" w:hAnsiTheme="minorEastAsia"/>
          <w:b/>
          <w:bCs/>
          <w:sz w:val="24"/>
        </w:rPr>
      </w:pPr>
    </w:p>
    <w:p w14:paraId="70189111">
      <w:pPr>
        <w:snapToGrid w:val="0"/>
        <w:spacing w:line="360" w:lineRule="auto"/>
        <w:jc w:val="center"/>
        <w:rPr>
          <w:rFonts w:hint="eastAsia" w:asciiTheme="minorEastAsia" w:hAnsiTheme="minorEastAsia"/>
          <w:b/>
          <w:bCs/>
          <w:sz w:val="24"/>
        </w:rPr>
      </w:pPr>
    </w:p>
    <w:p w14:paraId="59210011">
      <w:pPr>
        <w:snapToGrid w:val="0"/>
        <w:spacing w:line="360" w:lineRule="auto"/>
        <w:jc w:val="center"/>
        <w:rPr>
          <w:rFonts w:hint="eastAsia" w:asciiTheme="minorEastAsia" w:hAnsiTheme="minorEastAsia"/>
          <w:b/>
          <w:bCs/>
          <w:sz w:val="24"/>
        </w:rPr>
      </w:pPr>
    </w:p>
    <w:p w14:paraId="4DE53940">
      <w:pPr>
        <w:snapToGrid w:val="0"/>
        <w:spacing w:line="360" w:lineRule="auto"/>
        <w:jc w:val="center"/>
        <w:rPr>
          <w:rFonts w:hint="eastAsia" w:asciiTheme="minorEastAsia" w:hAnsiTheme="minorEastAsia"/>
          <w:b/>
          <w:bCs/>
          <w:sz w:val="24"/>
        </w:rPr>
      </w:pPr>
      <w:r>
        <w:rPr>
          <w:rFonts w:hint="eastAsia" w:asciiTheme="minorEastAsia" w:hAnsiTheme="minorEastAsia"/>
          <w:b/>
          <w:bCs/>
          <w:sz w:val="24"/>
        </w:rPr>
        <w:t>新闻传播学专业学术学位博士研究生课程及培养环节设置一览表</w:t>
      </w:r>
    </w:p>
    <w:tbl>
      <w:tblPr>
        <w:tblStyle w:val="4"/>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375"/>
        <w:gridCol w:w="1222"/>
        <w:gridCol w:w="709"/>
        <w:gridCol w:w="709"/>
        <w:gridCol w:w="1045"/>
      </w:tblGrid>
      <w:tr w14:paraId="287D2B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6BD36D52">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375" w:type="dxa"/>
            <w:vAlign w:val="center"/>
          </w:tcPr>
          <w:p w14:paraId="2915D11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222" w:type="dxa"/>
            <w:vAlign w:val="center"/>
          </w:tcPr>
          <w:p w14:paraId="4502FAD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1E5E707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280C3A1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781DC0D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704E2E3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0" w:hRule="atLeast"/>
          <w:jc w:val="center"/>
        </w:trPr>
        <w:tc>
          <w:tcPr>
            <w:tcW w:w="571" w:type="dxa"/>
            <w:vMerge w:val="restart"/>
            <w:vAlign w:val="center"/>
          </w:tcPr>
          <w:p w14:paraId="64FB2E3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13289D7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182EB66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375" w:type="dxa"/>
            <w:vAlign w:val="center"/>
          </w:tcPr>
          <w:p w14:paraId="53176547">
            <w:pPr>
              <w:jc w:val="left"/>
              <w:rPr>
                <w:color w:val="auto"/>
                <w:sz w:val="18"/>
                <w:szCs w:val="18"/>
              </w:rPr>
            </w:pPr>
            <w:r>
              <w:rPr>
                <w:color w:val="auto"/>
                <w:sz w:val="18"/>
                <w:szCs w:val="18"/>
              </w:rPr>
              <w:t>中国马克思主义与当代</w:t>
            </w:r>
          </w:p>
        </w:tc>
        <w:tc>
          <w:tcPr>
            <w:tcW w:w="1222" w:type="dxa"/>
            <w:vAlign w:val="center"/>
          </w:tcPr>
          <w:p w14:paraId="43953DEB">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TB0000001</w:t>
            </w:r>
          </w:p>
        </w:tc>
        <w:tc>
          <w:tcPr>
            <w:tcW w:w="709" w:type="dxa"/>
            <w:vAlign w:val="center"/>
          </w:tcPr>
          <w:p w14:paraId="4F753424">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2</w:t>
            </w:r>
          </w:p>
        </w:tc>
        <w:tc>
          <w:tcPr>
            <w:tcW w:w="709" w:type="dxa"/>
            <w:vAlign w:val="center"/>
          </w:tcPr>
          <w:p w14:paraId="5E5E25C3">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1045" w:type="dxa"/>
            <w:vAlign w:val="center"/>
          </w:tcPr>
          <w:p w14:paraId="5CDB9E21">
            <w:pPr>
              <w:jc w:val="center"/>
              <w:rPr>
                <w:color w:val="auto"/>
                <w:sz w:val="18"/>
                <w:szCs w:val="18"/>
              </w:rPr>
            </w:pPr>
            <w:r>
              <w:rPr>
                <w:rFonts w:hint="eastAsia"/>
                <w:color w:val="auto"/>
                <w:sz w:val="18"/>
                <w:szCs w:val="18"/>
              </w:rPr>
              <w:t>考查</w:t>
            </w:r>
          </w:p>
        </w:tc>
      </w:tr>
      <w:tr w14:paraId="1E0B87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0" w:hRule="atLeast"/>
          <w:jc w:val="center"/>
        </w:trPr>
        <w:tc>
          <w:tcPr>
            <w:tcW w:w="571" w:type="dxa"/>
            <w:vMerge w:val="continue"/>
            <w:vAlign w:val="center"/>
          </w:tcPr>
          <w:p w14:paraId="025069E6">
            <w:pPr>
              <w:jc w:val="center"/>
              <w:rPr>
                <w:b/>
                <w:color w:val="000000" w:themeColor="text1"/>
                <w:sz w:val="18"/>
                <w:szCs w:val="18"/>
                <w14:textFill>
                  <w14:solidFill>
                    <w14:schemeClr w14:val="tx1"/>
                  </w14:solidFill>
                </w14:textFill>
              </w:rPr>
            </w:pPr>
          </w:p>
        </w:tc>
        <w:tc>
          <w:tcPr>
            <w:tcW w:w="1226" w:type="dxa"/>
            <w:vMerge w:val="continue"/>
            <w:vAlign w:val="center"/>
          </w:tcPr>
          <w:p w14:paraId="61FB55B9">
            <w:pPr>
              <w:jc w:val="center"/>
              <w:rPr>
                <w:b/>
                <w:color w:val="000000" w:themeColor="text1"/>
                <w:sz w:val="18"/>
                <w:szCs w:val="18"/>
                <w14:textFill>
                  <w14:solidFill>
                    <w14:schemeClr w14:val="tx1"/>
                  </w14:solidFill>
                </w14:textFill>
              </w:rPr>
            </w:pPr>
          </w:p>
        </w:tc>
        <w:tc>
          <w:tcPr>
            <w:tcW w:w="3375" w:type="dxa"/>
            <w:vAlign w:val="center"/>
          </w:tcPr>
          <w:p w14:paraId="02148AC1">
            <w:pPr>
              <w:jc w:val="left"/>
              <w:rPr>
                <w:color w:val="auto"/>
                <w:sz w:val="18"/>
                <w:szCs w:val="18"/>
              </w:rPr>
            </w:pPr>
            <w:r>
              <w:rPr>
                <w:color w:val="auto"/>
                <w:sz w:val="18"/>
                <w:szCs w:val="18"/>
              </w:rPr>
              <w:t>学术英语阅读与写作</w:t>
            </w:r>
          </w:p>
        </w:tc>
        <w:tc>
          <w:tcPr>
            <w:tcW w:w="1222" w:type="dxa"/>
            <w:vAlign w:val="center"/>
          </w:tcPr>
          <w:p w14:paraId="691BD1D9">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TB000000</w:t>
            </w:r>
            <w:r>
              <w:rPr>
                <w:rFonts w:hint="eastAsia" w:ascii="Times New Roman" w:hAnsi="Times New Roman" w:eastAsia="宋体" w:cs="Times New Roman"/>
                <w:color w:val="000000" w:themeColor="text1"/>
                <w:sz w:val="18"/>
                <w:szCs w:val="18"/>
                <w14:textFill>
                  <w14:solidFill>
                    <w14:schemeClr w14:val="tx1"/>
                  </w14:solidFill>
                </w14:textFill>
              </w:rPr>
              <w:t>4</w:t>
            </w:r>
          </w:p>
        </w:tc>
        <w:tc>
          <w:tcPr>
            <w:tcW w:w="709" w:type="dxa"/>
            <w:vAlign w:val="center"/>
          </w:tcPr>
          <w:p w14:paraId="6B4E5377">
            <w:pPr>
              <w:jc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2</w:t>
            </w:r>
          </w:p>
        </w:tc>
        <w:tc>
          <w:tcPr>
            <w:tcW w:w="709" w:type="dxa"/>
            <w:vAlign w:val="center"/>
          </w:tcPr>
          <w:p w14:paraId="36E4E0B6">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1045" w:type="dxa"/>
            <w:vAlign w:val="center"/>
          </w:tcPr>
          <w:p w14:paraId="058D6FED">
            <w:pPr>
              <w:jc w:val="center"/>
              <w:rPr>
                <w:color w:val="auto"/>
                <w:sz w:val="18"/>
                <w:szCs w:val="18"/>
              </w:rPr>
            </w:pPr>
            <w:r>
              <w:rPr>
                <w:rFonts w:hint="eastAsia"/>
                <w:color w:val="auto"/>
                <w:sz w:val="18"/>
                <w:szCs w:val="18"/>
              </w:rPr>
              <w:t>考查</w:t>
            </w:r>
          </w:p>
        </w:tc>
      </w:tr>
      <w:tr w14:paraId="4D6B79F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B5460A3">
            <w:pPr>
              <w:jc w:val="center"/>
              <w:rPr>
                <w:b/>
                <w:color w:val="000000" w:themeColor="text1"/>
                <w:sz w:val="18"/>
                <w:szCs w:val="18"/>
                <w14:textFill>
                  <w14:solidFill>
                    <w14:schemeClr w14:val="tx1"/>
                  </w14:solidFill>
                </w14:textFill>
              </w:rPr>
            </w:pPr>
          </w:p>
        </w:tc>
        <w:tc>
          <w:tcPr>
            <w:tcW w:w="1226" w:type="dxa"/>
            <w:vMerge w:val="restart"/>
            <w:vAlign w:val="center"/>
          </w:tcPr>
          <w:p w14:paraId="2F0C17F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7E014FC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lang w:val="en-US" w:eastAsia="zh-CN"/>
                <w14:textFill>
                  <w14:solidFill>
                    <w14:schemeClr w14:val="tx1"/>
                  </w14:solidFill>
                </w14:textFill>
              </w:rPr>
              <w:t>7</w:t>
            </w:r>
            <w:r>
              <w:rPr>
                <w:b/>
                <w:color w:val="000000" w:themeColor="text1"/>
                <w:sz w:val="18"/>
                <w:szCs w:val="18"/>
                <w14:textFill>
                  <w14:solidFill>
                    <w14:schemeClr w14:val="tx1"/>
                  </w14:solidFill>
                </w14:textFill>
              </w:rPr>
              <w:t>学分）</w:t>
            </w:r>
          </w:p>
        </w:tc>
        <w:tc>
          <w:tcPr>
            <w:tcW w:w="3375" w:type="dxa"/>
            <w:vAlign w:val="center"/>
          </w:tcPr>
          <w:p w14:paraId="135D68D9">
            <w:pPr>
              <w:rPr>
                <w:rFonts w:hint="eastAsia" w:eastAsia="宋体"/>
                <w:color w:val="auto"/>
                <w:sz w:val="18"/>
                <w:szCs w:val="18"/>
                <w:lang w:eastAsia="zh-CN"/>
              </w:rPr>
            </w:pPr>
            <w:r>
              <w:rPr>
                <w:rFonts w:ascii="Times New Roman" w:hAnsi="Times New Roman" w:eastAsia="宋体" w:cs="Times New Roman"/>
                <w:color w:val="auto"/>
                <w:sz w:val="18"/>
                <w:szCs w:val="18"/>
                <w14:ligatures w14:val="none"/>
              </w:rPr>
              <w:t>学术道德与论文写作</w:t>
            </w:r>
          </w:p>
        </w:tc>
        <w:tc>
          <w:tcPr>
            <w:tcW w:w="1222" w:type="dxa"/>
            <w:vAlign w:val="center"/>
          </w:tcPr>
          <w:p w14:paraId="018BF61F">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XB</w:t>
            </w:r>
            <w:r>
              <w:rPr>
                <w:rFonts w:hint="eastAsia" w:ascii="Times New Roman" w:hAnsi="Times New Roman" w:eastAsia="宋体" w:cs="Times New Roman"/>
                <w:color w:val="000000" w:themeColor="text1"/>
                <w:sz w:val="18"/>
                <w:szCs w:val="18"/>
                <w14:textFill>
                  <w14:solidFill>
                    <w14:schemeClr w14:val="tx1"/>
                  </w14:solidFill>
                </w14:textFill>
              </w:rPr>
              <w:t>020100</w:t>
            </w:r>
            <w:r>
              <w:rPr>
                <w:rFonts w:hint="eastAsia" w:ascii="Times New Roman" w:hAnsi="Times New Roman" w:eastAsia="宋体" w:cs="Times New Roman"/>
                <w:color w:val="000000" w:themeColor="text1"/>
                <w:sz w:val="18"/>
                <w:szCs w:val="18"/>
                <w:lang w:val="en-US" w:eastAsia="zh-CN"/>
                <w14:textFill>
                  <w14:solidFill>
                    <w14:schemeClr w14:val="tx1"/>
                  </w14:solidFill>
                </w14:textFill>
              </w:rPr>
              <w:t>6</w:t>
            </w:r>
          </w:p>
        </w:tc>
        <w:tc>
          <w:tcPr>
            <w:tcW w:w="709" w:type="dxa"/>
            <w:vAlign w:val="center"/>
          </w:tcPr>
          <w:p w14:paraId="716DB9F5">
            <w:pPr>
              <w:jc w:val="center"/>
              <w:rPr>
                <w:rFonts w:hint="default"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2</w:t>
            </w:r>
          </w:p>
        </w:tc>
        <w:tc>
          <w:tcPr>
            <w:tcW w:w="709" w:type="dxa"/>
            <w:vAlign w:val="center"/>
          </w:tcPr>
          <w:p w14:paraId="1983DCC6">
            <w:pPr>
              <w:jc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w:t>
            </w:r>
          </w:p>
        </w:tc>
        <w:tc>
          <w:tcPr>
            <w:tcW w:w="1045" w:type="dxa"/>
            <w:vAlign w:val="center"/>
          </w:tcPr>
          <w:p w14:paraId="72B9652E">
            <w:pPr>
              <w:jc w:val="center"/>
              <w:rPr>
                <w:iCs/>
                <w:color w:val="auto"/>
                <w:sz w:val="18"/>
                <w:szCs w:val="18"/>
              </w:rPr>
            </w:pPr>
            <w:r>
              <w:rPr>
                <w:rFonts w:hint="eastAsia"/>
                <w:iCs/>
                <w:color w:val="auto"/>
                <w:sz w:val="18"/>
                <w:szCs w:val="18"/>
              </w:rPr>
              <w:t>考查</w:t>
            </w:r>
          </w:p>
        </w:tc>
      </w:tr>
      <w:tr w14:paraId="36862F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vAlign w:val="center"/>
          </w:tcPr>
          <w:p w14:paraId="2F32D412">
            <w:pPr>
              <w:jc w:val="center"/>
              <w:rPr>
                <w:b/>
                <w:color w:val="000000" w:themeColor="text1"/>
                <w:sz w:val="18"/>
                <w:szCs w:val="18"/>
                <w14:textFill>
                  <w14:solidFill>
                    <w14:schemeClr w14:val="tx1"/>
                  </w14:solidFill>
                </w14:textFill>
              </w:rPr>
            </w:pPr>
          </w:p>
        </w:tc>
        <w:tc>
          <w:tcPr>
            <w:tcW w:w="1226" w:type="dxa"/>
            <w:vMerge w:val="continue"/>
            <w:vAlign w:val="center"/>
          </w:tcPr>
          <w:p w14:paraId="4BFE7A20">
            <w:pPr>
              <w:jc w:val="center"/>
              <w:rPr>
                <w:b/>
                <w:color w:val="000000" w:themeColor="text1"/>
                <w:sz w:val="18"/>
                <w:szCs w:val="18"/>
                <w14:textFill>
                  <w14:solidFill>
                    <w14:schemeClr w14:val="tx1"/>
                  </w14:solidFill>
                </w14:textFill>
              </w:rPr>
            </w:pPr>
          </w:p>
        </w:tc>
        <w:tc>
          <w:tcPr>
            <w:tcW w:w="3375" w:type="dxa"/>
            <w:vAlign w:val="center"/>
          </w:tcPr>
          <w:p w14:paraId="6B5BC945">
            <w:pPr>
              <w:adjustRightInd w:val="0"/>
              <w:snapToGrid w:val="0"/>
              <w:rPr>
                <w:rFonts w:hint="default" w:eastAsiaTheme="minorEastAsia"/>
                <w:color w:val="auto"/>
                <w:sz w:val="18"/>
                <w:szCs w:val="18"/>
                <w:lang w:val="en-US" w:eastAsia="zh-CN"/>
              </w:rPr>
            </w:pPr>
            <w:r>
              <w:rPr>
                <w:rFonts w:hint="eastAsia"/>
                <w:color w:val="auto"/>
                <w:sz w:val="18"/>
                <w:szCs w:val="18"/>
              </w:rPr>
              <w:t>新闻传播</w:t>
            </w:r>
            <w:r>
              <w:rPr>
                <w:rFonts w:hint="eastAsia"/>
                <w:color w:val="auto"/>
                <w:sz w:val="18"/>
                <w:szCs w:val="18"/>
                <w:lang w:val="en-US" w:eastAsia="zh-CN"/>
              </w:rPr>
              <w:t>文献选读</w:t>
            </w:r>
          </w:p>
        </w:tc>
        <w:tc>
          <w:tcPr>
            <w:tcW w:w="1222" w:type="dxa"/>
          </w:tcPr>
          <w:p w14:paraId="3B45584C">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XB</w:t>
            </w:r>
            <w:r>
              <w:rPr>
                <w:rFonts w:hint="eastAsia" w:ascii="Times New Roman" w:hAnsi="Times New Roman" w:eastAsia="宋体" w:cs="Times New Roman"/>
                <w:color w:val="000000" w:themeColor="text1"/>
                <w:sz w:val="18"/>
                <w:szCs w:val="18"/>
                <w14:textFill>
                  <w14:solidFill>
                    <w14:schemeClr w14:val="tx1"/>
                  </w14:solidFill>
                </w14:textFill>
              </w:rPr>
              <w:t>020100</w:t>
            </w:r>
            <w:r>
              <w:rPr>
                <w:rFonts w:hint="eastAsia" w:ascii="Times New Roman" w:hAnsi="Times New Roman" w:eastAsia="宋体" w:cs="Times New Roman"/>
                <w:color w:val="000000" w:themeColor="text1"/>
                <w:sz w:val="18"/>
                <w:szCs w:val="18"/>
                <w:lang w:val="en-US" w:eastAsia="zh-CN"/>
                <w14:textFill>
                  <w14:solidFill>
                    <w14:schemeClr w14:val="tx1"/>
                  </w14:solidFill>
                </w14:textFill>
              </w:rPr>
              <w:t>7</w:t>
            </w:r>
          </w:p>
        </w:tc>
        <w:tc>
          <w:tcPr>
            <w:tcW w:w="709" w:type="dxa"/>
            <w:vAlign w:val="center"/>
          </w:tcPr>
          <w:p w14:paraId="6E593BBD">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2</w:t>
            </w:r>
          </w:p>
        </w:tc>
        <w:tc>
          <w:tcPr>
            <w:tcW w:w="709" w:type="dxa"/>
            <w:vAlign w:val="center"/>
          </w:tcPr>
          <w:p w14:paraId="7055C395">
            <w:pPr>
              <w:jc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w:t>
            </w:r>
          </w:p>
        </w:tc>
        <w:tc>
          <w:tcPr>
            <w:tcW w:w="1045" w:type="dxa"/>
            <w:vAlign w:val="center"/>
          </w:tcPr>
          <w:p w14:paraId="253D2A22">
            <w:pPr>
              <w:jc w:val="center"/>
              <w:rPr>
                <w:color w:val="auto"/>
                <w:sz w:val="18"/>
                <w:szCs w:val="18"/>
              </w:rPr>
            </w:pPr>
            <w:r>
              <w:rPr>
                <w:rFonts w:hint="eastAsia"/>
                <w:color w:val="auto"/>
                <w:sz w:val="18"/>
                <w:szCs w:val="18"/>
              </w:rPr>
              <w:t>考查</w:t>
            </w:r>
          </w:p>
        </w:tc>
      </w:tr>
      <w:tr w14:paraId="4A92E73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vAlign w:val="center"/>
          </w:tcPr>
          <w:p w14:paraId="6FADF56B">
            <w:pPr>
              <w:jc w:val="center"/>
              <w:rPr>
                <w:b/>
                <w:color w:val="000000" w:themeColor="text1"/>
                <w:sz w:val="18"/>
                <w:szCs w:val="18"/>
                <w14:textFill>
                  <w14:solidFill>
                    <w14:schemeClr w14:val="tx1"/>
                  </w14:solidFill>
                </w14:textFill>
              </w:rPr>
            </w:pPr>
          </w:p>
        </w:tc>
        <w:tc>
          <w:tcPr>
            <w:tcW w:w="1226" w:type="dxa"/>
            <w:vMerge w:val="continue"/>
            <w:vAlign w:val="center"/>
          </w:tcPr>
          <w:p w14:paraId="08BA73AF">
            <w:pPr>
              <w:jc w:val="center"/>
              <w:rPr>
                <w:b/>
                <w:color w:val="000000" w:themeColor="text1"/>
                <w:sz w:val="18"/>
                <w:szCs w:val="18"/>
                <w14:textFill>
                  <w14:solidFill>
                    <w14:schemeClr w14:val="tx1"/>
                  </w14:solidFill>
                </w14:textFill>
              </w:rPr>
            </w:pPr>
          </w:p>
        </w:tc>
        <w:tc>
          <w:tcPr>
            <w:tcW w:w="3375" w:type="dxa"/>
            <w:shd w:val="clear" w:color="auto" w:fill="auto"/>
            <w:vAlign w:val="center"/>
          </w:tcPr>
          <w:p w14:paraId="1EBB8B03">
            <w:pPr>
              <w:adjustRightInd w:val="0"/>
              <w:snapToGrid w:val="0"/>
              <w:rPr>
                <w:rFonts w:hint="eastAsia" w:asciiTheme="minorHAnsi" w:hAnsiTheme="minorHAnsi" w:eastAsiaTheme="minorEastAsia" w:cstheme="minorBidi"/>
                <w:color w:val="auto"/>
                <w:kern w:val="2"/>
                <w:sz w:val="18"/>
                <w:szCs w:val="18"/>
                <w:lang w:val="en-US" w:eastAsia="zh-CN" w:bidi="ar-SA"/>
              </w:rPr>
            </w:pPr>
            <w:r>
              <w:rPr>
                <w:rFonts w:hint="eastAsia"/>
                <w:color w:val="auto"/>
                <w:sz w:val="18"/>
                <w:szCs w:val="18"/>
              </w:rPr>
              <w:t>新闻传播</w:t>
            </w:r>
            <w:r>
              <w:rPr>
                <w:rFonts w:hint="eastAsia"/>
                <w:color w:val="auto"/>
                <w:sz w:val="18"/>
                <w:szCs w:val="18"/>
                <w:lang w:val="en-US" w:eastAsia="zh-CN"/>
              </w:rPr>
              <w:t>学</w:t>
            </w:r>
            <w:r>
              <w:rPr>
                <w:rFonts w:hint="eastAsia"/>
                <w:color w:val="auto"/>
                <w:sz w:val="18"/>
                <w:szCs w:val="18"/>
              </w:rPr>
              <w:t>研究方法</w:t>
            </w:r>
          </w:p>
        </w:tc>
        <w:tc>
          <w:tcPr>
            <w:tcW w:w="1222" w:type="dxa"/>
            <w:shd w:val="clear" w:color="auto" w:fill="auto"/>
            <w:vAlign w:val="top"/>
          </w:tcPr>
          <w:p w14:paraId="41947D2A">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XB</w:t>
            </w:r>
            <w:r>
              <w:rPr>
                <w:rFonts w:hint="eastAsia" w:ascii="Times New Roman" w:hAnsi="Times New Roman" w:eastAsia="宋体" w:cs="Times New Roman"/>
                <w:color w:val="000000" w:themeColor="text1"/>
                <w:sz w:val="18"/>
                <w:szCs w:val="18"/>
                <w14:textFill>
                  <w14:solidFill>
                    <w14:schemeClr w14:val="tx1"/>
                  </w14:solidFill>
                </w14:textFill>
              </w:rPr>
              <w:t>020100</w:t>
            </w:r>
            <w:r>
              <w:rPr>
                <w:rFonts w:hint="eastAsia" w:ascii="Times New Roman" w:hAnsi="Times New Roman" w:eastAsia="宋体" w:cs="Times New Roman"/>
                <w:color w:val="000000" w:themeColor="text1"/>
                <w:sz w:val="18"/>
                <w:szCs w:val="18"/>
                <w:lang w:val="en-US" w:eastAsia="zh-CN"/>
                <w14:textFill>
                  <w14:solidFill>
                    <w14:schemeClr w14:val="tx1"/>
                  </w14:solidFill>
                </w14:textFill>
              </w:rPr>
              <w:t>8</w:t>
            </w:r>
          </w:p>
        </w:tc>
        <w:tc>
          <w:tcPr>
            <w:tcW w:w="709" w:type="dxa"/>
            <w:shd w:val="clear" w:color="auto" w:fill="auto"/>
            <w:vAlign w:val="center"/>
          </w:tcPr>
          <w:p w14:paraId="7435B149">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3</w:t>
            </w:r>
          </w:p>
        </w:tc>
        <w:tc>
          <w:tcPr>
            <w:tcW w:w="709" w:type="dxa"/>
            <w:shd w:val="clear" w:color="auto" w:fill="auto"/>
            <w:vAlign w:val="center"/>
          </w:tcPr>
          <w:p w14:paraId="462103AF">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w:t>
            </w:r>
          </w:p>
        </w:tc>
        <w:tc>
          <w:tcPr>
            <w:tcW w:w="1045" w:type="dxa"/>
            <w:shd w:val="clear" w:color="auto" w:fill="auto"/>
            <w:vAlign w:val="center"/>
          </w:tcPr>
          <w:p w14:paraId="671FBC45">
            <w:pPr>
              <w:jc w:val="center"/>
              <w:rPr>
                <w:rFonts w:hint="eastAsia" w:asciiTheme="minorHAnsi" w:hAnsiTheme="minorHAnsi" w:eastAsiaTheme="minorEastAsia" w:cstheme="minorBidi"/>
                <w:color w:val="auto"/>
                <w:kern w:val="2"/>
                <w:sz w:val="18"/>
                <w:szCs w:val="18"/>
                <w:lang w:val="en-US" w:eastAsia="zh-CN" w:bidi="ar-SA"/>
              </w:rPr>
            </w:pPr>
            <w:r>
              <w:rPr>
                <w:rFonts w:hint="eastAsia"/>
                <w:color w:val="auto"/>
                <w:sz w:val="18"/>
                <w:szCs w:val="18"/>
              </w:rPr>
              <w:t>考查</w:t>
            </w:r>
          </w:p>
        </w:tc>
      </w:tr>
      <w:tr w14:paraId="3BC97E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D3D5184">
            <w:pPr>
              <w:jc w:val="center"/>
              <w:rPr>
                <w:b/>
                <w:color w:val="000000" w:themeColor="text1"/>
                <w:sz w:val="18"/>
                <w:szCs w:val="18"/>
                <w14:textFill>
                  <w14:solidFill>
                    <w14:schemeClr w14:val="tx1"/>
                  </w14:solidFill>
                </w14:textFill>
              </w:rPr>
            </w:pPr>
          </w:p>
        </w:tc>
        <w:tc>
          <w:tcPr>
            <w:tcW w:w="1226" w:type="dxa"/>
            <w:vMerge w:val="restart"/>
            <w:vAlign w:val="center"/>
          </w:tcPr>
          <w:p w14:paraId="7148599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7FA0E26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375" w:type="dxa"/>
            <w:vAlign w:val="center"/>
          </w:tcPr>
          <w:p w14:paraId="5A1A2AE9">
            <w:pPr>
              <w:rPr>
                <w:rFonts w:hint="eastAsia" w:eastAsiaTheme="minorEastAsia"/>
                <w:color w:val="auto"/>
                <w:lang w:eastAsia="zh-CN"/>
              </w:rPr>
            </w:pPr>
            <w:r>
              <w:rPr>
                <w:rFonts w:hint="eastAsia"/>
                <w:color w:val="auto"/>
                <w:sz w:val="18"/>
                <w:szCs w:val="18"/>
              </w:rPr>
              <w:t>媒介、技术与社会变迁</w:t>
            </w:r>
          </w:p>
        </w:tc>
        <w:tc>
          <w:tcPr>
            <w:tcW w:w="1222" w:type="dxa"/>
          </w:tcPr>
          <w:p w14:paraId="38ED0DFA">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XB020100</w:t>
            </w:r>
            <w:r>
              <w:rPr>
                <w:rFonts w:hint="eastAsia" w:ascii="Times New Roman" w:hAnsi="Times New Roman" w:eastAsia="宋体" w:cs="Times New Roman"/>
                <w:color w:val="000000" w:themeColor="text1"/>
                <w:sz w:val="18"/>
                <w:szCs w:val="18"/>
                <w:lang w:val="en-US" w:eastAsia="zh-CN"/>
                <w14:textFill>
                  <w14:solidFill>
                    <w14:schemeClr w14:val="tx1"/>
                  </w14:solidFill>
                </w14:textFill>
              </w:rPr>
              <w:t>9</w:t>
            </w:r>
          </w:p>
        </w:tc>
        <w:tc>
          <w:tcPr>
            <w:tcW w:w="709" w:type="dxa"/>
            <w:vAlign w:val="center"/>
          </w:tcPr>
          <w:p w14:paraId="793E07C8">
            <w:pPr>
              <w:jc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2</w:t>
            </w:r>
          </w:p>
        </w:tc>
        <w:tc>
          <w:tcPr>
            <w:tcW w:w="709" w:type="dxa"/>
            <w:vAlign w:val="center"/>
          </w:tcPr>
          <w:p w14:paraId="5BBD8D4C">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2</w:t>
            </w:r>
          </w:p>
        </w:tc>
        <w:tc>
          <w:tcPr>
            <w:tcW w:w="1045" w:type="dxa"/>
            <w:vAlign w:val="center"/>
          </w:tcPr>
          <w:p w14:paraId="11E29060">
            <w:pPr>
              <w:jc w:val="center"/>
              <w:rPr>
                <w:color w:val="auto"/>
                <w:sz w:val="18"/>
                <w:szCs w:val="18"/>
              </w:rPr>
            </w:pPr>
            <w:r>
              <w:rPr>
                <w:rFonts w:hint="eastAsia"/>
                <w:color w:val="auto"/>
                <w:sz w:val="18"/>
                <w:szCs w:val="18"/>
              </w:rPr>
              <w:t>考查</w:t>
            </w:r>
          </w:p>
        </w:tc>
      </w:tr>
      <w:tr w14:paraId="5F4F8F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C0E9256">
            <w:pPr>
              <w:jc w:val="center"/>
              <w:rPr>
                <w:b/>
                <w:color w:val="000000" w:themeColor="text1"/>
                <w:sz w:val="18"/>
                <w:szCs w:val="18"/>
                <w14:textFill>
                  <w14:solidFill>
                    <w14:schemeClr w14:val="tx1"/>
                  </w14:solidFill>
                </w14:textFill>
              </w:rPr>
            </w:pPr>
          </w:p>
        </w:tc>
        <w:tc>
          <w:tcPr>
            <w:tcW w:w="1226" w:type="dxa"/>
            <w:vMerge w:val="continue"/>
            <w:vAlign w:val="center"/>
          </w:tcPr>
          <w:p w14:paraId="1610CA02">
            <w:pPr>
              <w:jc w:val="center"/>
              <w:rPr>
                <w:b/>
                <w:color w:val="000000" w:themeColor="text1"/>
                <w:sz w:val="18"/>
                <w:szCs w:val="18"/>
                <w14:textFill>
                  <w14:solidFill>
                    <w14:schemeClr w14:val="tx1"/>
                  </w14:solidFill>
                </w14:textFill>
              </w:rPr>
            </w:pPr>
          </w:p>
        </w:tc>
        <w:tc>
          <w:tcPr>
            <w:tcW w:w="3375" w:type="dxa"/>
            <w:vAlign w:val="center"/>
          </w:tcPr>
          <w:p w14:paraId="1D225D42">
            <w:pPr>
              <w:rPr>
                <w:rFonts w:hint="eastAsia" w:eastAsiaTheme="minorEastAsia"/>
                <w:color w:val="auto"/>
                <w:sz w:val="18"/>
                <w:szCs w:val="18"/>
                <w:lang w:eastAsia="zh-CN"/>
              </w:rPr>
            </w:pPr>
            <w:r>
              <w:rPr>
                <w:rFonts w:hint="eastAsia"/>
                <w:color w:val="auto"/>
                <w:sz w:val="18"/>
                <w:szCs w:val="18"/>
              </w:rPr>
              <w:t>马克思主义新闻学</w:t>
            </w:r>
          </w:p>
        </w:tc>
        <w:tc>
          <w:tcPr>
            <w:tcW w:w="1222" w:type="dxa"/>
          </w:tcPr>
          <w:p w14:paraId="4A607F19">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XB020100</w:t>
            </w:r>
            <w:r>
              <w:rPr>
                <w:rFonts w:hint="eastAsia" w:ascii="Times New Roman" w:hAnsi="Times New Roman" w:eastAsia="宋体" w:cs="Times New Roman"/>
                <w:color w:val="000000" w:themeColor="text1"/>
                <w:sz w:val="18"/>
                <w:szCs w:val="18"/>
                <w:lang w:val="en-US" w:eastAsia="zh-CN"/>
                <w14:textFill>
                  <w14:solidFill>
                    <w14:schemeClr w14:val="tx1"/>
                  </w14:solidFill>
                </w14:textFill>
              </w:rPr>
              <w:t>4</w:t>
            </w:r>
          </w:p>
        </w:tc>
        <w:tc>
          <w:tcPr>
            <w:tcW w:w="709" w:type="dxa"/>
            <w:vAlign w:val="center"/>
          </w:tcPr>
          <w:p w14:paraId="72F8BEEA">
            <w:pPr>
              <w:jc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2</w:t>
            </w:r>
          </w:p>
        </w:tc>
        <w:tc>
          <w:tcPr>
            <w:tcW w:w="709" w:type="dxa"/>
            <w:vAlign w:val="center"/>
          </w:tcPr>
          <w:p w14:paraId="4BC1193C">
            <w:pPr>
              <w:jc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2</w:t>
            </w:r>
          </w:p>
        </w:tc>
        <w:tc>
          <w:tcPr>
            <w:tcW w:w="1045" w:type="dxa"/>
            <w:vAlign w:val="center"/>
          </w:tcPr>
          <w:p w14:paraId="49F1E0F2">
            <w:pPr>
              <w:jc w:val="center"/>
              <w:rPr>
                <w:color w:val="auto"/>
                <w:sz w:val="18"/>
                <w:szCs w:val="18"/>
              </w:rPr>
            </w:pPr>
            <w:r>
              <w:rPr>
                <w:rFonts w:hint="eastAsia"/>
                <w:color w:val="auto"/>
                <w:sz w:val="18"/>
                <w:szCs w:val="18"/>
              </w:rPr>
              <w:t>考查</w:t>
            </w:r>
          </w:p>
        </w:tc>
      </w:tr>
      <w:tr w14:paraId="4600F0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94" w:hRule="atLeast"/>
          <w:jc w:val="center"/>
        </w:trPr>
        <w:tc>
          <w:tcPr>
            <w:tcW w:w="571" w:type="dxa"/>
            <w:vMerge w:val="restart"/>
            <w:vAlign w:val="center"/>
          </w:tcPr>
          <w:p w14:paraId="0A3028E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749E532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78E8D73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375" w:type="dxa"/>
            <w:vAlign w:val="center"/>
          </w:tcPr>
          <w:p w14:paraId="1794F694">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222" w:type="dxa"/>
            <w:vAlign w:val="center"/>
          </w:tcPr>
          <w:p w14:paraId="48C45C03">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TT0000101</w:t>
            </w:r>
          </w:p>
        </w:tc>
        <w:tc>
          <w:tcPr>
            <w:tcW w:w="709" w:type="dxa"/>
            <w:vAlign w:val="center"/>
          </w:tcPr>
          <w:p w14:paraId="300ACD89">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709" w:type="dxa"/>
            <w:vAlign w:val="center"/>
          </w:tcPr>
          <w:p w14:paraId="297BD092">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1045" w:type="dxa"/>
            <w:vAlign w:val="center"/>
          </w:tcPr>
          <w:p w14:paraId="0DFD35A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3CB451D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56" w:hRule="atLeast"/>
          <w:jc w:val="center"/>
        </w:trPr>
        <w:tc>
          <w:tcPr>
            <w:tcW w:w="571" w:type="dxa"/>
            <w:vMerge w:val="continue"/>
            <w:vAlign w:val="center"/>
          </w:tcPr>
          <w:p w14:paraId="2D04657A">
            <w:pPr>
              <w:jc w:val="center"/>
              <w:rPr>
                <w:b/>
                <w:color w:val="000000" w:themeColor="text1"/>
                <w:sz w:val="18"/>
                <w:szCs w:val="18"/>
                <w14:textFill>
                  <w14:solidFill>
                    <w14:schemeClr w14:val="tx1"/>
                  </w14:solidFill>
                </w14:textFill>
              </w:rPr>
            </w:pPr>
          </w:p>
        </w:tc>
        <w:tc>
          <w:tcPr>
            <w:tcW w:w="1226" w:type="dxa"/>
            <w:vMerge w:val="continue"/>
            <w:tcBorders>
              <w:bottom w:val="single" w:color="auto" w:sz="4" w:space="0"/>
            </w:tcBorders>
            <w:vAlign w:val="center"/>
          </w:tcPr>
          <w:p w14:paraId="1CB5D09D">
            <w:pPr>
              <w:jc w:val="center"/>
              <w:rPr>
                <w:b/>
                <w:color w:val="000000" w:themeColor="text1"/>
                <w:sz w:val="18"/>
                <w:szCs w:val="18"/>
                <w14:textFill>
                  <w14:solidFill>
                    <w14:schemeClr w14:val="tx1"/>
                  </w14:solidFill>
                </w14:textFill>
              </w:rPr>
            </w:pPr>
          </w:p>
        </w:tc>
        <w:tc>
          <w:tcPr>
            <w:tcW w:w="3375" w:type="dxa"/>
            <w:vAlign w:val="center"/>
          </w:tcPr>
          <w:p w14:paraId="0610E1F8">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马克思恩格斯列宁经典著作选读</w:t>
            </w:r>
          </w:p>
        </w:tc>
        <w:tc>
          <w:tcPr>
            <w:tcW w:w="1222" w:type="dxa"/>
            <w:vAlign w:val="center"/>
          </w:tcPr>
          <w:p w14:paraId="50B98CC8">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TB000010</w:t>
            </w:r>
            <w:r>
              <w:rPr>
                <w:rFonts w:hint="eastAsia" w:ascii="Times New Roman" w:hAnsi="Times New Roman" w:eastAsia="宋体" w:cs="Times New Roman"/>
                <w:color w:val="000000" w:themeColor="text1"/>
                <w:sz w:val="18"/>
                <w:szCs w:val="18"/>
                <w14:textFill>
                  <w14:solidFill>
                    <w14:schemeClr w14:val="tx1"/>
                  </w14:solidFill>
                </w14:textFill>
              </w:rPr>
              <w:t>3</w:t>
            </w:r>
          </w:p>
        </w:tc>
        <w:tc>
          <w:tcPr>
            <w:tcW w:w="709" w:type="dxa"/>
            <w:vAlign w:val="center"/>
          </w:tcPr>
          <w:p w14:paraId="795ABC81">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709" w:type="dxa"/>
            <w:vAlign w:val="center"/>
          </w:tcPr>
          <w:p w14:paraId="28FE97A0">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1045" w:type="dxa"/>
            <w:vAlign w:val="center"/>
          </w:tcPr>
          <w:p w14:paraId="4A0BAB3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49262EA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EA9758F">
            <w:pPr>
              <w:rPr>
                <w:b/>
                <w:color w:val="000000" w:themeColor="text1"/>
                <w:sz w:val="18"/>
                <w:szCs w:val="18"/>
                <w14:textFill>
                  <w14:solidFill>
                    <w14:schemeClr w14:val="tx1"/>
                  </w14:solidFill>
                </w14:textFill>
              </w:rPr>
            </w:pPr>
          </w:p>
        </w:tc>
        <w:tc>
          <w:tcPr>
            <w:tcW w:w="1226" w:type="dxa"/>
            <w:vMerge w:val="restart"/>
            <w:tcBorders>
              <w:top w:val="single" w:color="auto" w:sz="4" w:space="0"/>
            </w:tcBorders>
            <w:vAlign w:val="center"/>
          </w:tcPr>
          <w:p w14:paraId="160F9A69">
            <w:pPr>
              <w:jc w:val="center"/>
              <w:rPr>
                <w:rFonts w:hint="eastAsia"/>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专业选修课</w:t>
            </w:r>
          </w:p>
          <w:p w14:paraId="249B7895">
            <w:pPr>
              <w:jc w:val="center"/>
              <w:rPr>
                <w:rFonts w:hint="default"/>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（共8学分，至少选修6学分）</w:t>
            </w:r>
          </w:p>
        </w:tc>
        <w:tc>
          <w:tcPr>
            <w:tcW w:w="3375" w:type="dxa"/>
            <w:vAlign w:val="center"/>
          </w:tcPr>
          <w:p w14:paraId="6FA36F1B">
            <w:pPr>
              <w:adjustRightInd w:val="0"/>
              <w:snapToGrid w:val="0"/>
              <w:rPr>
                <w:rFonts w:hint="default" w:eastAsiaTheme="minorEastAsia"/>
                <w:iCs/>
                <w:color w:val="auto"/>
                <w:sz w:val="18"/>
                <w:szCs w:val="18"/>
                <w:lang w:val="en-US" w:eastAsia="zh-CN"/>
              </w:rPr>
            </w:pPr>
            <w:r>
              <w:rPr>
                <w:rFonts w:hint="eastAsia"/>
                <w:iCs/>
                <w:color w:val="auto"/>
                <w:sz w:val="18"/>
                <w:szCs w:val="18"/>
              </w:rPr>
              <w:t>新闻传播</w:t>
            </w:r>
            <w:r>
              <w:rPr>
                <w:rFonts w:hint="eastAsia"/>
                <w:iCs/>
                <w:color w:val="auto"/>
                <w:sz w:val="18"/>
                <w:szCs w:val="18"/>
                <w:lang w:val="en-US" w:eastAsia="zh-CN"/>
              </w:rPr>
              <w:t>史论</w:t>
            </w:r>
          </w:p>
        </w:tc>
        <w:tc>
          <w:tcPr>
            <w:tcW w:w="1222" w:type="dxa"/>
            <w:vAlign w:val="center"/>
          </w:tcPr>
          <w:p w14:paraId="6BEA4B27">
            <w:pPr>
              <w:jc w:val="center"/>
              <w:rPr>
                <w:rFonts w:hint="default"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XB0201</w:t>
            </w:r>
            <w:r>
              <w:rPr>
                <w:rFonts w:hint="eastAsia" w:ascii="Times New Roman" w:hAnsi="Times New Roman" w:eastAsia="宋体" w:cs="Times New Roman"/>
                <w:color w:val="000000" w:themeColor="text1"/>
                <w:sz w:val="18"/>
                <w:szCs w:val="18"/>
                <w:lang w:val="en-US" w:eastAsia="zh-CN"/>
                <w14:textFill>
                  <w14:solidFill>
                    <w14:schemeClr w14:val="tx1"/>
                  </w14:solidFill>
                </w14:textFill>
              </w:rPr>
              <w:t>101</w:t>
            </w:r>
          </w:p>
        </w:tc>
        <w:tc>
          <w:tcPr>
            <w:tcW w:w="709" w:type="dxa"/>
            <w:vAlign w:val="center"/>
          </w:tcPr>
          <w:p w14:paraId="16520A30">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2</w:t>
            </w:r>
          </w:p>
        </w:tc>
        <w:tc>
          <w:tcPr>
            <w:tcW w:w="709" w:type="dxa"/>
            <w:vAlign w:val="center"/>
          </w:tcPr>
          <w:p w14:paraId="645D8005">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2</w:t>
            </w:r>
          </w:p>
        </w:tc>
        <w:tc>
          <w:tcPr>
            <w:tcW w:w="1045" w:type="dxa"/>
            <w:shd w:val="clear" w:color="auto" w:fill="auto"/>
            <w:vAlign w:val="center"/>
          </w:tcPr>
          <w:p w14:paraId="72051C93">
            <w:pPr>
              <w:jc w:val="center"/>
              <w:rPr>
                <w:rFonts w:hint="eastAsia" w:asciiTheme="minorHAnsi" w:hAnsiTheme="minorHAnsi" w:eastAsiaTheme="minorEastAsia" w:cstheme="minorBidi"/>
                <w:color w:val="auto"/>
                <w:kern w:val="2"/>
                <w:sz w:val="18"/>
                <w:szCs w:val="18"/>
                <w:lang w:val="en-US" w:eastAsia="zh-CN" w:bidi="ar-SA"/>
              </w:rPr>
            </w:pPr>
            <w:r>
              <w:rPr>
                <w:rFonts w:hint="eastAsia"/>
                <w:color w:val="auto"/>
                <w:sz w:val="18"/>
                <w:szCs w:val="18"/>
              </w:rPr>
              <w:t>考查</w:t>
            </w:r>
          </w:p>
        </w:tc>
      </w:tr>
      <w:tr w14:paraId="61E02A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2" w:hRule="atLeast"/>
          <w:jc w:val="center"/>
        </w:trPr>
        <w:tc>
          <w:tcPr>
            <w:tcW w:w="571" w:type="dxa"/>
            <w:vMerge w:val="continue"/>
          </w:tcPr>
          <w:p w14:paraId="58D8DB97">
            <w:pPr>
              <w:rPr>
                <w:b/>
                <w:color w:val="000000" w:themeColor="text1"/>
                <w:sz w:val="18"/>
                <w:szCs w:val="18"/>
                <w14:textFill>
                  <w14:solidFill>
                    <w14:schemeClr w14:val="tx1"/>
                  </w14:solidFill>
                </w14:textFill>
              </w:rPr>
            </w:pPr>
          </w:p>
        </w:tc>
        <w:tc>
          <w:tcPr>
            <w:tcW w:w="1226" w:type="dxa"/>
            <w:vMerge w:val="continue"/>
            <w:vAlign w:val="center"/>
          </w:tcPr>
          <w:p w14:paraId="4DFC9717">
            <w:pPr>
              <w:adjustRightInd w:val="0"/>
              <w:snapToGrid w:val="0"/>
              <w:jc w:val="center"/>
              <w:rPr>
                <w:b/>
                <w:color w:val="FF0000"/>
                <w:sz w:val="18"/>
                <w:szCs w:val="18"/>
              </w:rPr>
            </w:pPr>
          </w:p>
        </w:tc>
        <w:tc>
          <w:tcPr>
            <w:tcW w:w="3375" w:type="dxa"/>
            <w:vAlign w:val="center"/>
          </w:tcPr>
          <w:p w14:paraId="6E3D2731">
            <w:pPr>
              <w:rPr>
                <w:rFonts w:hint="default" w:eastAsiaTheme="minorEastAsia"/>
                <w:iCs/>
                <w:color w:val="auto"/>
                <w:sz w:val="18"/>
                <w:szCs w:val="18"/>
                <w:lang w:val="en-US" w:eastAsia="zh-CN"/>
              </w:rPr>
            </w:pPr>
            <w:r>
              <w:rPr>
                <w:rFonts w:hint="eastAsia"/>
                <w:iCs/>
                <w:color w:val="auto"/>
                <w:sz w:val="18"/>
                <w:szCs w:val="18"/>
                <w:lang w:val="en-US" w:eastAsia="zh-CN"/>
              </w:rPr>
              <w:t>智能传播与社会治</w:t>
            </w:r>
            <w:bookmarkStart w:id="0" w:name="_GoBack"/>
            <w:bookmarkEnd w:id="0"/>
            <w:r>
              <w:rPr>
                <w:rFonts w:hint="eastAsia"/>
                <w:iCs/>
                <w:color w:val="auto"/>
                <w:sz w:val="18"/>
                <w:szCs w:val="18"/>
                <w:lang w:val="en-US" w:eastAsia="zh-CN"/>
              </w:rPr>
              <w:t>理</w:t>
            </w:r>
          </w:p>
        </w:tc>
        <w:tc>
          <w:tcPr>
            <w:tcW w:w="1222" w:type="dxa"/>
            <w:vAlign w:val="center"/>
          </w:tcPr>
          <w:p w14:paraId="3B157AD6">
            <w:pPr>
              <w:jc w:val="center"/>
              <w:rPr>
                <w:rFonts w:hint="default" w:ascii="Times New Roman" w:hAnsi="Times New Roman" w:eastAsia="宋体" w:cs="Times New Roman"/>
                <w:color w:val="000000" w:themeColor="text1"/>
                <w:sz w:val="18"/>
                <w:szCs w:val="18"/>
                <w:lang w:val="en-US"/>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XB0201</w:t>
            </w:r>
            <w:r>
              <w:rPr>
                <w:rFonts w:hint="eastAsia" w:ascii="Times New Roman" w:hAnsi="Times New Roman" w:eastAsia="宋体" w:cs="Times New Roman"/>
                <w:color w:val="000000" w:themeColor="text1"/>
                <w:sz w:val="18"/>
                <w:szCs w:val="18"/>
                <w:lang w:val="en-US" w:eastAsia="zh-CN"/>
                <w14:textFill>
                  <w14:solidFill>
                    <w14:schemeClr w14:val="tx1"/>
                  </w14:solidFill>
                </w14:textFill>
              </w:rPr>
              <w:t>102</w:t>
            </w:r>
          </w:p>
        </w:tc>
        <w:tc>
          <w:tcPr>
            <w:tcW w:w="709" w:type="dxa"/>
            <w:vAlign w:val="center"/>
          </w:tcPr>
          <w:p w14:paraId="42163D48">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2</w:t>
            </w:r>
          </w:p>
        </w:tc>
        <w:tc>
          <w:tcPr>
            <w:tcW w:w="709" w:type="dxa"/>
            <w:vAlign w:val="center"/>
          </w:tcPr>
          <w:p w14:paraId="6A39CF51">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2</w:t>
            </w:r>
          </w:p>
        </w:tc>
        <w:tc>
          <w:tcPr>
            <w:tcW w:w="1045" w:type="dxa"/>
            <w:shd w:val="clear" w:color="auto" w:fill="auto"/>
            <w:vAlign w:val="center"/>
          </w:tcPr>
          <w:p w14:paraId="315696B3">
            <w:pPr>
              <w:jc w:val="center"/>
              <w:rPr>
                <w:rFonts w:asciiTheme="minorHAnsi" w:hAnsiTheme="minorHAnsi" w:eastAsiaTheme="minorEastAsia" w:cstheme="minorBidi"/>
                <w:color w:val="auto"/>
                <w:kern w:val="2"/>
                <w:sz w:val="18"/>
                <w:szCs w:val="18"/>
                <w:lang w:val="en-US" w:eastAsia="zh-CN" w:bidi="ar-SA"/>
              </w:rPr>
            </w:pPr>
            <w:r>
              <w:rPr>
                <w:rFonts w:hint="eastAsia"/>
                <w:color w:val="auto"/>
                <w:sz w:val="18"/>
                <w:szCs w:val="18"/>
              </w:rPr>
              <w:t>考查</w:t>
            </w:r>
          </w:p>
        </w:tc>
      </w:tr>
      <w:tr w14:paraId="32D480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F64995D">
            <w:pPr>
              <w:rPr>
                <w:b/>
                <w:color w:val="000000" w:themeColor="text1"/>
                <w:sz w:val="18"/>
                <w:szCs w:val="18"/>
                <w14:textFill>
                  <w14:solidFill>
                    <w14:schemeClr w14:val="tx1"/>
                  </w14:solidFill>
                </w14:textFill>
              </w:rPr>
            </w:pPr>
          </w:p>
        </w:tc>
        <w:tc>
          <w:tcPr>
            <w:tcW w:w="1226" w:type="dxa"/>
            <w:vMerge w:val="continue"/>
            <w:vAlign w:val="center"/>
          </w:tcPr>
          <w:p w14:paraId="515C92EC">
            <w:pPr>
              <w:adjustRightInd w:val="0"/>
              <w:snapToGrid w:val="0"/>
              <w:jc w:val="center"/>
              <w:rPr>
                <w:b/>
                <w:color w:val="FF0000"/>
                <w:sz w:val="18"/>
                <w:szCs w:val="18"/>
              </w:rPr>
            </w:pPr>
          </w:p>
        </w:tc>
        <w:tc>
          <w:tcPr>
            <w:tcW w:w="3375" w:type="dxa"/>
            <w:vAlign w:val="center"/>
          </w:tcPr>
          <w:p w14:paraId="677D579A">
            <w:pPr>
              <w:rPr>
                <w:rFonts w:hint="default" w:eastAsiaTheme="minorEastAsia"/>
                <w:iCs/>
                <w:color w:val="auto"/>
                <w:sz w:val="18"/>
                <w:szCs w:val="18"/>
                <w:lang w:val="en-US" w:eastAsia="zh-CN"/>
              </w:rPr>
            </w:pPr>
            <w:r>
              <w:rPr>
                <w:rFonts w:hint="eastAsia"/>
                <w:iCs/>
                <w:color w:val="auto"/>
                <w:sz w:val="18"/>
                <w:szCs w:val="18"/>
                <w:lang w:val="en-US" w:eastAsia="zh-CN"/>
              </w:rPr>
              <w:t>跨文化传播</w:t>
            </w:r>
          </w:p>
        </w:tc>
        <w:tc>
          <w:tcPr>
            <w:tcW w:w="1222" w:type="dxa"/>
            <w:vAlign w:val="center"/>
          </w:tcPr>
          <w:p w14:paraId="4E96900D">
            <w:pPr>
              <w:jc w:val="center"/>
              <w:rPr>
                <w:rFonts w:hint="default" w:ascii="Times New Roman" w:hAnsi="Times New Roman" w:eastAsia="宋体" w:cs="Times New Roman"/>
                <w:color w:val="000000" w:themeColor="text1"/>
                <w:sz w:val="18"/>
                <w:szCs w:val="18"/>
                <w:lang w:val="en-US"/>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XB0201</w:t>
            </w:r>
            <w:r>
              <w:rPr>
                <w:rFonts w:hint="eastAsia" w:ascii="Times New Roman" w:hAnsi="Times New Roman" w:eastAsia="宋体" w:cs="Times New Roman"/>
                <w:color w:val="000000" w:themeColor="text1"/>
                <w:sz w:val="18"/>
                <w:szCs w:val="18"/>
                <w:lang w:val="en-US" w:eastAsia="zh-CN"/>
                <w14:textFill>
                  <w14:solidFill>
                    <w14:schemeClr w14:val="tx1"/>
                  </w14:solidFill>
                </w14:textFill>
              </w:rPr>
              <w:t>103</w:t>
            </w:r>
          </w:p>
        </w:tc>
        <w:tc>
          <w:tcPr>
            <w:tcW w:w="709" w:type="dxa"/>
            <w:vAlign w:val="center"/>
          </w:tcPr>
          <w:p w14:paraId="01212C27">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2</w:t>
            </w:r>
          </w:p>
        </w:tc>
        <w:tc>
          <w:tcPr>
            <w:tcW w:w="709" w:type="dxa"/>
            <w:vAlign w:val="center"/>
          </w:tcPr>
          <w:p w14:paraId="70A77715">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2</w:t>
            </w:r>
          </w:p>
        </w:tc>
        <w:tc>
          <w:tcPr>
            <w:tcW w:w="1045" w:type="dxa"/>
            <w:shd w:val="clear" w:color="auto" w:fill="auto"/>
            <w:vAlign w:val="center"/>
          </w:tcPr>
          <w:p w14:paraId="63905332">
            <w:pPr>
              <w:jc w:val="center"/>
              <w:rPr>
                <w:rFonts w:asciiTheme="minorHAnsi" w:hAnsiTheme="minorHAnsi" w:eastAsiaTheme="minorEastAsia" w:cstheme="minorBidi"/>
                <w:color w:val="auto"/>
                <w:kern w:val="2"/>
                <w:sz w:val="18"/>
                <w:szCs w:val="18"/>
                <w:lang w:val="en-US" w:eastAsia="zh-CN" w:bidi="ar-SA"/>
              </w:rPr>
            </w:pPr>
            <w:r>
              <w:rPr>
                <w:rFonts w:hint="eastAsia"/>
                <w:color w:val="auto"/>
                <w:sz w:val="18"/>
                <w:szCs w:val="18"/>
              </w:rPr>
              <w:t>考查</w:t>
            </w:r>
          </w:p>
        </w:tc>
      </w:tr>
      <w:tr w14:paraId="55026BE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7A3ADC0">
            <w:pPr>
              <w:rPr>
                <w:b/>
                <w:color w:val="000000" w:themeColor="text1"/>
                <w:sz w:val="18"/>
                <w:szCs w:val="18"/>
                <w14:textFill>
                  <w14:solidFill>
                    <w14:schemeClr w14:val="tx1"/>
                  </w14:solidFill>
                </w14:textFill>
              </w:rPr>
            </w:pPr>
          </w:p>
        </w:tc>
        <w:tc>
          <w:tcPr>
            <w:tcW w:w="1226" w:type="dxa"/>
            <w:vMerge w:val="continue"/>
            <w:tcBorders>
              <w:bottom w:val="single" w:color="auto" w:sz="4" w:space="0"/>
            </w:tcBorders>
            <w:vAlign w:val="center"/>
          </w:tcPr>
          <w:p w14:paraId="150A5386">
            <w:pPr>
              <w:adjustRightInd w:val="0"/>
              <w:snapToGrid w:val="0"/>
              <w:jc w:val="center"/>
              <w:rPr>
                <w:b/>
                <w:color w:val="FF0000"/>
                <w:sz w:val="18"/>
                <w:szCs w:val="18"/>
              </w:rPr>
            </w:pPr>
          </w:p>
        </w:tc>
        <w:tc>
          <w:tcPr>
            <w:tcW w:w="3375" w:type="dxa"/>
            <w:vAlign w:val="center"/>
          </w:tcPr>
          <w:p w14:paraId="40F831DC">
            <w:pPr>
              <w:rPr>
                <w:rFonts w:hint="default"/>
                <w:iCs/>
                <w:color w:val="auto"/>
                <w:sz w:val="18"/>
                <w:szCs w:val="18"/>
                <w:lang w:val="en-US" w:eastAsia="zh-CN"/>
              </w:rPr>
            </w:pPr>
            <w:r>
              <w:rPr>
                <w:rFonts w:hint="eastAsia"/>
                <w:iCs/>
                <w:color w:val="auto"/>
                <w:sz w:val="18"/>
                <w:szCs w:val="18"/>
                <w:lang w:val="en-US" w:eastAsia="zh-CN"/>
              </w:rPr>
              <w:t>出版与版权研究</w:t>
            </w:r>
          </w:p>
        </w:tc>
        <w:tc>
          <w:tcPr>
            <w:tcW w:w="1222" w:type="dxa"/>
            <w:vAlign w:val="center"/>
          </w:tcPr>
          <w:p w14:paraId="75543F7F">
            <w:pPr>
              <w:jc w:val="center"/>
              <w:rPr>
                <w:rFonts w:hint="default" w:ascii="Times New Roman" w:hAnsi="Times New Roman" w:eastAsia="宋体" w:cs="Times New Roman"/>
                <w:color w:val="000000" w:themeColor="text1"/>
                <w:sz w:val="18"/>
                <w:szCs w:val="18"/>
                <w:lang w:val="en-US"/>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XB0201</w:t>
            </w:r>
            <w:r>
              <w:rPr>
                <w:rFonts w:hint="eastAsia" w:ascii="Times New Roman" w:hAnsi="Times New Roman" w:eastAsia="宋体" w:cs="Times New Roman"/>
                <w:color w:val="000000" w:themeColor="text1"/>
                <w:sz w:val="18"/>
                <w:szCs w:val="18"/>
                <w:lang w:val="en-US" w:eastAsia="zh-CN"/>
                <w14:textFill>
                  <w14:solidFill>
                    <w14:schemeClr w14:val="tx1"/>
                  </w14:solidFill>
                </w14:textFill>
              </w:rPr>
              <w:t>104</w:t>
            </w:r>
          </w:p>
        </w:tc>
        <w:tc>
          <w:tcPr>
            <w:tcW w:w="709" w:type="dxa"/>
            <w:vAlign w:val="center"/>
          </w:tcPr>
          <w:p w14:paraId="33B8C18F">
            <w:pPr>
              <w:jc w:val="center"/>
              <w:rPr>
                <w:rFonts w:hint="default"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2</w:t>
            </w:r>
          </w:p>
        </w:tc>
        <w:tc>
          <w:tcPr>
            <w:tcW w:w="709" w:type="dxa"/>
            <w:vAlign w:val="center"/>
          </w:tcPr>
          <w:p w14:paraId="786C36C0">
            <w:pPr>
              <w:jc w:val="center"/>
              <w:rPr>
                <w:rFonts w:hint="default"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2</w:t>
            </w:r>
          </w:p>
        </w:tc>
        <w:tc>
          <w:tcPr>
            <w:tcW w:w="1045" w:type="dxa"/>
            <w:shd w:val="clear" w:color="auto" w:fill="auto"/>
            <w:vAlign w:val="center"/>
          </w:tcPr>
          <w:p w14:paraId="3227F3D4">
            <w:pPr>
              <w:jc w:val="center"/>
              <w:rPr>
                <w:rFonts w:hint="default" w:eastAsiaTheme="minorEastAsia"/>
                <w:color w:val="auto"/>
                <w:sz w:val="18"/>
                <w:szCs w:val="18"/>
                <w:lang w:val="en-US" w:eastAsia="zh-CN"/>
              </w:rPr>
            </w:pPr>
            <w:r>
              <w:rPr>
                <w:rFonts w:hint="eastAsia"/>
                <w:color w:val="auto"/>
                <w:sz w:val="18"/>
                <w:szCs w:val="18"/>
                <w:lang w:val="en-US" w:eastAsia="zh-CN"/>
              </w:rPr>
              <w:t>考查</w:t>
            </w:r>
          </w:p>
        </w:tc>
      </w:tr>
      <w:tr w14:paraId="11F13E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7" w:hRule="atLeast"/>
          <w:jc w:val="center"/>
        </w:trPr>
        <w:tc>
          <w:tcPr>
            <w:tcW w:w="571" w:type="dxa"/>
            <w:vMerge w:val="restart"/>
            <w:vAlign w:val="center"/>
          </w:tcPr>
          <w:p w14:paraId="0616E78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37BC750A">
            <w:pPr>
              <w:jc w:val="center"/>
              <w:rPr>
                <w:b/>
                <w:color w:val="000000" w:themeColor="text1"/>
                <w:sz w:val="18"/>
                <w:szCs w:val="18"/>
                <w14:textFill>
                  <w14:solidFill>
                    <w14:schemeClr w14:val="tx1"/>
                  </w14:solidFill>
                </w14:textFill>
              </w:rPr>
            </w:pPr>
          </w:p>
        </w:tc>
        <w:tc>
          <w:tcPr>
            <w:tcW w:w="1226" w:type="dxa"/>
            <w:vMerge w:val="restart"/>
            <w:tcBorders>
              <w:top w:val="single" w:color="auto" w:sz="4" w:space="0"/>
              <w:bottom w:val="single" w:color="auto" w:sz="4" w:space="0"/>
            </w:tcBorders>
            <w:vAlign w:val="center"/>
          </w:tcPr>
          <w:p w14:paraId="53E2E26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375" w:type="dxa"/>
            <w:vAlign w:val="center"/>
          </w:tcPr>
          <w:p w14:paraId="4214D7EC">
            <w:pP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入学教育</w:t>
            </w:r>
          </w:p>
        </w:tc>
        <w:tc>
          <w:tcPr>
            <w:tcW w:w="1222" w:type="dxa"/>
            <w:vAlign w:val="center"/>
          </w:tcPr>
          <w:p w14:paraId="34AC434A">
            <w:pPr>
              <w:jc w:val="center"/>
              <w:rPr>
                <w:iCs/>
                <w:color w:val="000000" w:themeColor="text1"/>
                <w:sz w:val="18"/>
                <w:szCs w:val="18"/>
                <w14:textFill>
                  <w14:solidFill>
                    <w14:schemeClr w14:val="tx1"/>
                  </w14:solidFill>
                </w14:textFill>
              </w:rPr>
            </w:pPr>
          </w:p>
        </w:tc>
        <w:tc>
          <w:tcPr>
            <w:tcW w:w="709" w:type="dxa"/>
            <w:vAlign w:val="center"/>
          </w:tcPr>
          <w:p w14:paraId="4F9E3D75">
            <w:pPr>
              <w:jc w:val="center"/>
              <w:rPr>
                <w:iCs/>
                <w:color w:val="000000" w:themeColor="text1"/>
                <w:sz w:val="18"/>
                <w:szCs w:val="18"/>
                <w14:textFill>
                  <w14:solidFill>
                    <w14:schemeClr w14:val="tx1"/>
                  </w14:solidFill>
                </w14:textFill>
              </w:rPr>
            </w:pPr>
          </w:p>
        </w:tc>
        <w:tc>
          <w:tcPr>
            <w:tcW w:w="709" w:type="dxa"/>
            <w:vAlign w:val="center"/>
          </w:tcPr>
          <w:p w14:paraId="04A8879A">
            <w:pPr>
              <w:jc w:val="cente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1</w:t>
            </w:r>
          </w:p>
        </w:tc>
        <w:tc>
          <w:tcPr>
            <w:tcW w:w="1045" w:type="dxa"/>
            <w:vMerge w:val="restart"/>
            <w:vAlign w:val="center"/>
          </w:tcPr>
          <w:p w14:paraId="5066C71B">
            <w:pPr>
              <w:jc w:val="center"/>
              <w:rPr>
                <w:i/>
                <w:color w:val="FF0000"/>
                <w:sz w:val="18"/>
                <w:szCs w:val="18"/>
              </w:rPr>
            </w:pPr>
          </w:p>
        </w:tc>
      </w:tr>
      <w:tr w14:paraId="06A7DA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7" w:hRule="atLeast"/>
          <w:jc w:val="center"/>
        </w:trPr>
        <w:tc>
          <w:tcPr>
            <w:tcW w:w="571" w:type="dxa"/>
            <w:vMerge w:val="continue"/>
            <w:vAlign w:val="center"/>
          </w:tcPr>
          <w:p w14:paraId="6EF50A2E">
            <w:pPr>
              <w:jc w:val="center"/>
              <w:rPr>
                <w:b/>
                <w:color w:val="000000" w:themeColor="text1"/>
                <w:sz w:val="18"/>
                <w:szCs w:val="18"/>
                <w14:textFill>
                  <w14:solidFill>
                    <w14:schemeClr w14:val="tx1"/>
                  </w14:solidFill>
                </w14:textFill>
              </w:rPr>
            </w:pPr>
          </w:p>
        </w:tc>
        <w:tc>
          <w:tcPr>
            <w:tcW w:w="1226" w:type="dxa"/>
            <w:vMerge w:val="continue"/>
            <w:tcBorders>
              <w:top w:val="single" w:color="auto" w:sz="4" w:space="0"/>
              <w:bottom w:val="single" w:color="auto" w:sz="4" w:space="0"/>
            </w:tcBorders>
            <w:vAlign w:val="center"/>
          </w:tcPr>
          <w:p w14:paraId="49946917">
            <w:pPr>
              <w:jc w:val="center"/>
              <w:rPr>
                <w:b/>
                <w:color w:val="000000" w:themeColor="text1"/>
                <w:sz w:val="18"/>
                <w:szCs w:val="18"/>
                <w14:textFill>
                  <w14:solidFill>
                    <w14:schemeClr w14:val="tx1"/>
                  </w14:solidFill>
                </w14:textFill>
              </w:rPr>
            </w:pPr>
          </w:p>
        </w:tc>
        <w:tc>
          <w:tcPr>
            <w:tcW w:w="3375" w:type="dxa"/>
            <w:vAlign w:val="center"/>
          </w:tcPr>
          <w:p w14:paraId="5D90843A">
            <w:pPr>
              <w:rPr>
                <w:iCs/>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学术/实践活动</w:t>
            </w:r>
          </w:p>
        </w:tc>
        <w:tc>
          <w:tcPr>
            <w:tcW w:w="1222" w:type="dxa"/>
            <w:vAlign w:val="center"/>
          </w:tcPr>
          <w:p w14:paraId="0C2D7BFE">
            <w:pPr>
              <w:jc w:val="center"/>
              <w:rPr>
                <w:iCs/>
                <w:color w:val="000000" w:themeColor="text1"/>
                <w:sz w:val="18"/>
                <w:szCs w:val="18"/>
                <w14:textFill>
                  <w14:solidFill>
                    <w14:schemeClr w14:val="tx1"/>
                  </w14:solidFill>
                </w14:textFill>
              </w:rPr>
            </w:pPr>
          </w:p>
        </w:tc>
        <w:tc>
          <w:tcPr>
            <w:tcW w:w="709" w:type="dxa"/>
            <w:vAlign w:val="center"/>
          </w:tcPr>
          <w:p w14:paraId="47FA675C">
            <w:pPr>
              <w:jc w:val="center"/>
              <w:rPr>
                <w:rFonts w:ascii="Times New Roman" w:hAnsi="Times New Roman" w:eastAsia="宋体" w:cs="Times New Roman"/>
                <w:color w:val="000000" w:themeColor="text1"/>
                <w:sz w:val="18"/>
                <w:szCs w:val="18"/>
                <w14:textFill>
                  <w14:solidFill>
                    <w14:schemeClr w14:val="tx1"/>
                  </w14:solidFill>
                </w14:textFill>
              </w:rPr>
            </w:pPr>
            <w:r>
              <w:rPr>
                <w:rFonts w:ascii="Times New Roman" w:hAnsi="Times New Roman" w:eastAsia="宋体" w:cs="Times New Roman"/>
                <w:color w:val="000000" w:themeColor="text1"/>
                <w:sz w:val="18"/>
                <w:szCs w:val="18"/>
                <w14:textFill>
                  <w14:solidFill>
                    <w14:schemeClr w14:val="tx1"/>
                  </w14:solidFill>
                </w14:textFill>
              </w:rPr>
              <w:t>1</w:t>
            </w:r>
          </w:p>
        </w:tc>
        <w:tc>
          <w:tcPr>
            <w:tcW w:w="709" w:type="dxa"/>
            <w:vAlign w:val="center"/>
          </w:tcPr>
          <w:p w14:paraId="6C5C1514">
            <w:pPr>
              <w:jc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1-8</w:t>
            </w:r>
          </w:p>
        </w:tc>
        <w:tc>
          <w:tcPr>
            <w:tcW w:w="1045" w:type="dxa"/>
            <w:vMerge w:val="continue"/>
            <w:vAlign w:val="center"/>
          </w:tcPr>
          <w:p w14:paraId="23A1863F">
            <w:pPr>
              <w:jc w:val="center"/>
              <w:rPr>
                <w:color w:val="000000" w:themeColor="text1"/>
                <w:sz w:val="18"/>
                <w:szCs w:val="18"/>
                <w14:textFill>
                  <w14:solidFill>
                    <w14:schemeClr w14:val="tx1"/>
                  </w14:solidFill>
                </w14:textFill>
              </w:rPr>
            </w:pPr>
          </w:p>
        </w:tc>
      </w:tr>
      <w:tr w14:paraId="550775E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2" w:hRule="atLeast"/>
          <w:jc w:val="center"/>
        </w:trPr>
        <w:tc>
          <w:tcPr>
            <w:tcW w:w="571" w:type="dxa"/>
            <w:vMerge w:val="continue"/>
            <w:vAlign w:val="center"/>
          </w:tcPr>
          <w:p w14:paraId="251594F9">
            <w:pPr>
              <w:jc w:val="center"/>
              <w:rPr>
                <w:b/>
                <w:color w:val="000000" w:themeColor="text1"/>
                <w:sz w:val="18"/>
                <w:szCs w:val="18"/>
                <w14:textFill>
                  <w14:solidFill>
                    <w14:schemeClr w14:val="tx1"/>
                  </w14:solidFill>
                </w14:textFill>
              </w:rPr>
            </w:pPr>
          </w:p>
        </w:tc>
        <w:tc>
          <w:tcPr>
            <w:tcW w:w="1226" w:type="dxa"/>
            <w:vMerge w:val="continue"/>
            <w:tcBorders>
              <w:top w:val="single" w:color="auto" w:sz="4" w:space="0"/>
              <w:bottom w:val="single" w:color="auto" w:sz="4" w:space="0"/>
            </w:tcBorders>
            <w:vAlign w:val="center"/>
          </w:tcPr>
          <w:p w14:paraId="23C3DB19">
            <w:pPr>
              <w:jc w:val="center"/>
              <w:rPr>
                <w:b/>
                <w:color w:val="000000" w:themeColor="text1"/>
                <w:sz w:val="18"/>
                <w:szCs w:val="18"/>
                <w14:textFill>
                  <w14:solidFill>
                    <w14:schemeClr w14:val="tx1"/>
                  </w14:solidFill>
                </w14:textFill>
              </w:rPr>
            </w:pPr>
          </w:p>
        </w:tc>
        <w:tc>
          <w:tcPr>
            <w:tcW w:w="3375" w:type="dxa"/>
            <w:vAlign w:val="center"/>
          </w:tcPr>
          <w:p w14:paraId="0A9CF109">
            <w:pP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竞赛活动</w:t>
            </w:r>
          </w:p>
        </w:tc>
        <w:tc>
          <w:tcPr>
            <w:tcW w:w="1222" w:type="dxa"/>
            <w:vAlign w:val="center"/>
          </w:tcPr>
          <w:p w14:paraId="05AC8991">
            <w:pPr>
              <w:jc w:val="center"/>
              <w:rPr>
                <w:iCs/>
                <w:color w:val="000000" w:themeColor="text1"/>
                <w:sz w:val="18"/>
                <w:szCs w:val="18"/>
                <w14:textFill>
                  <w14:solidFill>
                    <w14:schemeClr w14:val="tx1"/>
                  </w14:solidFill>
                </w14:textFill>
              </w:rPr>
            </w:pPr>
          </w:p>
        </w:tc>
        <w:tc>
          <w:tcPr>
            <w:tcW w:w="709" w:type="dxa"/>
            <w:vAlign w:val="center"/>
          </w:tcPr>
          <w:p w14:paraId="7A00E66A">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1</w:t>
            </w:r>
          </w:p>
        </w:tc>
        <w:tc>
          <w:tcPr>
            <w:tcW w:w="709" w:type="dxa"/>
            <w:vAlign w:val="center"/>
          </w:tcPr>
          <w:p w14:paraId="3D06ADA0">
            <w:pPr>
              <w:jc w:val="center"/>
              <w:rPr>
                <w:rFonts w:hint="eastAsia" w:ascii="Times New Roman" w:hAnsi="Times New Roman" w:eastAsia="宋体" w:cs="Times New Roman"/>
                <w:color w:val="000000" w:themeColor="text1"/>
                <w:sz w:val="18"/>
                <w:szCs w:val="18"/>
                <w14:textFill>
                  <w14:solidFill>
                    <w14:schemeClr w14:val="tx1"/>
                  </w14:solidFill>
                </w14:textFill>
              </w:rPr>
            </w:pPr>
          </w:p>
        </w:tc>
        <w:tc>
          <w:tcPr>
            <w:tcW w:w="1045" w:type="dxa"/>
            <w:vMerge w:val="continue"/>
            <w:vAlign w:val="center"/>
          </w:tcPr>
          <w:p w14:paraId="53106143">
            <w:pPr>
              <w:jc w:val="center"/>
              <w:rPr>
                <w:color w:val="000000" w:themeColor="text1"/>
                <w:sz w:val="18"/>
                <w:szCs w:val="18"/>
                <w14:textFill>
                  <w14:solidFill>
                    <w14:schemeClr w14:val="tx1"/>
                  </w14:solidFill>
                </w14:textFill>
              </w:rPr>
            </w:pPr>
          </w:p>
        </w:tc>
      </w:tr>
      <w:tr w14:paraId="007136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4" w:hRule="atLeast"/>
          <w:jc w:val="center"/>
        </w:trPr>
        <w:tc>
          <w:tcPr>
            <w:tcW w:w="571" w:type="dxa"/>
            <w:vMerge w:val="continue"/>
            <w:vAlign w:val="center"/>
          </w:tcPr>
          <w:p w14:paraId="7BE38997">
            <w:pPr>
              <w:jc w:val="center"/>
              <w:rPr>
                <w:b/>
                <w:color w:val="000000" w:themeColor="text1"/>
                <w:sz w:val="18"/>
                <w:szCs w:val="18"/>
                <w14:textFill>
                  <w14:solidFill>
                    <w14:schemeClr w14:val="tx1"/>
                  </w14:solidFill>
                </w14:textFill>
              </w:rPr>
            </w:pPr>
          </w:p>
        </w:tc>
        <w:tc>
          <w:tcPr>
            <w:tcW w:w="1226" w:type="dxa"/>
            <w:vMerge w:val="restart"/>
            <w:tcBorders>
              <w:top w:val="single" w:color="auto" w:sz="4" w:space="0"/>
              <w:bottom w:val="single" w:color="auto" w:sz="12" w:space="0"/>
            </w:tcBorders>
            <w:vAlign w:val="center"/>
          </w:tcPr>
          <w:p w14:paraId="1144754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375" w:type="dxa"/>
            <w:shd w:val="clear" w:color="auto" w:fill="auto"/>
            <w:vAlign w:val="center"/>
          </w:tcPr>
          <w:p w14:paraId="74762A52">
            <w:pPr>
              <w:adjustRightInd w:val="0"/>
              <w:snapToGrid w:val="0"/>
              <w:spacing w:after="0" w:line="240" w:lineRule="auto"/>
              <w:jc w:val="both"/>
              <w:rPr>
                <w:rFonts w:hint="default" w:ascii="Times New Roman" w:hAnsi="Times New Roman" w:eastAsia="宋体" w:cs="Times New Roman"/>
                <w:color w:val="000000"/>
                <w:kern w:val="2"/>
                <w:sz w:val="18"/>
                <w:szCs w:val="18"/>
                <w:highlight w:val="yellow"/>
                <w:lang w:val="en-US" w:eastAsia="zh-CN" w:bidi="ar-SA"/>
                <w14:ligatures w14:val="none"/>
              </w:rPr>
            </w:pPr>
            <w:r>
              <w:rPr>
                <w:rFonts w:hint="eastAsia" w:ascii="Times New Roman" w:hAnsi="Times New Roman" w:eastAsia="宋体" w:cs="Times New Roman"/>
                <w:color w:val="000000"/>
                <w:sz w:val="18"/>
                <w:szCs w:val="18"/>
                <w:highlight w:val="none"/>
                <w:lang w:val="en-US" w:eastAsia="zh-CN"/>
                <w14:ligatures w14:val="none"/>
              </w:rPr>
              <w:t>学术组会</w:t>
            </w:r>
          </w:p>
        </w:tc>
        <w:tc>
          <w:tcPr>
            <w:tcW w:w="1222" w:type="dxa"/>
            <w:shd w:val="clear" w:color="auto" w:fill="auto"/>
            <w:vAlign w:val="center"/>
          </w:tcPr>
          <w:p w14:paraId="60796AB6">
            <w:pPr>
              <w:spacing w:after="0" w:line="240" w:lineRule="auto"/>
              <w:jc w:val="center"/>
              <w:rPr>
                <w:rFonts w:ascii="Times New Roman" w:hAnsi="Times New Roman" w:eastAsia="宋体" w:cs="Times New Roman"/>
                <w:color w:val="000000"/>
                <w:kern w:val="2"/>
                <w:sz w:val="18"/>
                <w:szCs w:val="18"/>
                <w:highlight w:val="yellow"/>
                <w:lang w:val="en-US" w:eastAsia="zh-CN" w:bidi="ar-SA"/>
                <w14:ligatures w14:val="none"/>
              </w:rPr>
            </w:pPr>
          </w:p>
        </w:tc>
        <w:tc>
          <w:tcPr>
            <w:tcW w:w="709" w:type="dxa"/>
            <w:shd w:val="clear" w:color="auto" w:fill="auto"/>
            <w:vAlign w:val="center"/>
          </w:tcPr>
          <w:p w14:paraId="475DB836">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p>
        </w:tc>
        <w:tc>
          <w:tcPr>
            <w:tcW w:w="709" w:type="dxa"/>
            <w:shd w:val="clear" w:color="auto" w:fill="auto"/>
            <w:vAlign w:val="center"/>
          </w:tcPr>
          <w:p w14:paraId="3395CE69">
            <w:pPr>
              <w:jc w:val="center"/>
              <w:rPr>
                <w:rFonts w:hint="default"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3-4</w:t>
            </w:r>
          </w:p>
        </w:tc>
        <w:tc>
          <w:tcPr>
            <w:tcW w:w="1045" w:type="dxa"/>
            <w:shd w:val="clear" w:color="auto" w:fill="auto"/>
            <w:vAlign w:val="center"/>
          </w:tcPr>
          <w:p w14:paraId="550647B4">
            <w:pPr>
              <w:spacing w:after="0" w:line="240" w:lineRule="auto"/>
              <w:jc w:val="center"/>
              <w:rPr>
                <w:rFonts w:hint="default" w:ascii="Times New Roman" w:hAnsi="Times New Roman" w:eastAsia="宋体" w:cs="Times New Roman"/>
                <w:color w:val="000000"/>
                <w:kern w:val="2"/>
                <w:sz w:val="18"/>
                <w:szCs w:val="18"/>
                <w:lang w:val="en-US" w:eastAsia="zh-CN" w:bidi="ar-SA"/>
                <w14:ligatures w14:val="none"/>
              </w:rPr>
            </w:pPr>
            <w:r>
              <w:rPr>
                <w:rFonts w:hint="eastAsia" w:ascii="Times New Roman" w:hAnsi="Times New Roman" w:eastAsia="宋体" w:cs="Times New Roman"/>
                <w:color w:val="000000"/>
                <w:sz w:val="18"/>
                <w:szCs w:val="18"/>
                <w:lang w:val="en-US" w:eastAsia="zh-CN"/>
                <w14:ligatures w14:val="none"/>
              </w:rPr>
              <w:t>每月不少于1次</w:t>
            </w:r>
          </w:p>
        </w:tc>
      </w:tr>
      <w:tr w14:paraId="47FFE5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7BDF68C">
            <w:pPr>
              <w:rPr>
                <w:b/>
                <w:color w:val="000000" w:themeColor="text1"/>
                <w:sz w:val="18"/>
                <w:szCs w:val="18"/>
                <w14:textFill>
                  <w14:solidFill>
                    <w14:schemeClr w14:val="tx1"/>
                  </w14:solidFill>
                </w14:textFill>
              </w:rPr>
            </w:pPr>
          </w:p>
        </w:tc>
        <w:tc>
          <w:tcPr>
            <w:tcW w:w="1226" w:type="dxa"/>
            <w:vMerge w:val="continue"/>
            <w:tcBorders>
              <w:top w:val="single" w:color="auto" w:sz="12" w:space="0"/>
              <w:bottom w:val="single" w:color="auto" w:sz="12" w:space="0"/>
            </w:tcBorders>
            <w:vAlign w:val="center"/>
          </w:tcPr>
          <w:p w14:paraId="55EE6592">
            <w:pPr>
              <w:jc w:val="center"/>
              <w:rPr>
                <w:b/>
                <w:color w:val="000000" w:themeColor="text1"/>
                <w:sz w:val="18"/>
                <w:szCs w:val="18"/>
                <w14:textFill>
                  <w14:solidFill>
                    <w14:schemeClr w14:val="tx1"/>
                  </w14:solidFill>
                </w14:textFill>
              </w:rPr>
            </w:pPr>
          </w:p>
        </w:tc>
        <w:tc>
          <w:tcPr>
            <w:tcW w:w="3375" w:type="dxa"/>
            <w:shd w:val="clear" w:color="auto" w:fill="auto"/>
            <w:vAlign w:val="center"/>
          </w:tcPr>
          <w:p w14:paraId="5754D31F">
            <w:pPr>
              <w:rPr>
                <w:rFonts w:asciiTheme="minorHAnsi" w:hAnsiTheme="minorHAnsi" w:eastAsiaTheme="minorEastAsia" w:cstheme="minorBidi"/>
                <w:iCs/>
                <w:color w:val="000000" w:themeColor="text1"/>
                <w:kern w:val="2"/>
                <w:sz w:val="18"/>
                <w:szCs w:val="18"/>
                <w:lang w:val="en-US" w:eastAsia="zh-CN" w:bidi="ar-SA"/>
                <w14:textFill>
                  <w14:solidFill>
                    <w14:schemeClr w14:val="tx1"/>
                  </w14:solidFill>
                </w14:textFill>
              </w:rPr>
            </w:pPr>
            <w:r>
              <w:rPr>
                <w:iCs/>
                <w:color w:val="000000" w:themeColor="text1"/>
                <w:sz w:val="18"/>
                <w:szCs w:val="18"/>
                <w14:textFill>
                  <w14:solidFill>
                    <w14:schemeClr w14:val="tx1"/>
                  </w14:solidFill>
                </w14:textFill>
              </w:rPr>
              <w:t>中期筛选</w:t>
            </w:r>
          </w:p>
        </w:tc>
        <w:tc>
          <w:tcPr>
            <w:tcW w:w="1222" w:type="dxa"/>
            <w:shd w:val="clear" w:color="auto" w:fill="auto"/>
            <w:vAlign w:val="center"/>
          </w:tcPr>
          <w:p w14:paraId="502D337B">
            <w:pPr>
              <w:jc w:val="center"/>
              <w:rPr>
                <w:rFonts w:asciiTheme="minorHAnsi" w:hAnsiTheme="minorHAnsi" w:eastAsiaTheme="minorEastAsia" w:cstheme="minorBidi"/>
                <w:iCs/>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7E3625A6">
            <w:pPr>
              <w:jc w:val="center"/>
              <w:rPr>
                <w:rFonts w:ascii="Times New Roman" w:hAnsi="Times New Roman" w:eastAsia="宋体" w:cs="Times New Roman"/>
                <w:color w:val="000000" w:themeColor="text1"/>
                <w:sz w:val="18"/>
                <w:szCs w:val="18"/>
                <w:lang w:val="en-US" w:eastAsia="zh-CN"/>
                <w14:textFill>
                  <w14:solidFill>
                    <w14:schemeClr w14:val="tx1"/>
                  </w14:solidFill>
                </w14:textFill>
              </w:rPr>
            </w:pPr>
          </w:p>
        </w:tc>
        <w:tc>
          <w:tcPr>
            <w:tcW w:w="709" w:type="dxa"/>
            <w:shd w:val="clear" w:color="auto" w:fill="auto"/>
            <w:vAlign w:val="center"/>
          </w:tcPr>
          <w:p w14:paraId="273583D6">
            <w:pPr>
              <w:jc w:val="center"/>
              <w:rPr>
                <w:rFonts w:hint="eastAsia" w:ascii="Times New Roman" w:hAnsi="Times New Roman" w:eastAsia="宋体" w:cs="Times New Roman"/>
                <w:color w:val="000000" w:themeColor="text1"/>
                <w:sz w:val="18"/>
                <w:szCs w:val="18"/>
                <w:lang w:val="en-US"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3</w:t>
            </w:r>
          </w:p>
        </w:tc>
        <w:tc>
          <w:tcPr>
            <w:tcW w:w="1045" w:type="dxa"/>
            <w:vMerge w:val="restart"/>
            <w:vAlign w:val="center"/>
          </w:tcPr>
          <w:p w14:paraId="73A906D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11AB677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5040A4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9B64C76">
            <w:pPr>
              <w:rPr>
                <w:b/>
                <w:color w:val="000000" w:themeColor="text1"/>
                <w:sz w:val="18"/>
                <w:szCs w:val="18"/>
                <w14:textFill>
                  <w14:solidFill>
                    <w14:schemeClr w14:val="tx1"/>
                  </w14:solidFill>
                </w14:textFill>
              </w:rPr>
            </w:pPr>
          </w:p>
        </w:tc>
        <w:tc>
          <w:tcPr>
            <w:tcW w:w="1226" w:type="dxa"/>
            <w:vMerge w:val="continue"/>
            <w:tcBorders>
              <w:top w:val="single" w:color="auto" w:sz="12" w:space="0"/>
              <w:bottom w:val="single" w:color="auto" w:sz="12" w:space="0"/>
            </w:tcBorders>
            <w:vAlign w:val="center"/>
          </w:tcPr>
          <w:p w14:paraId="18674A2A">
            <w:pPr>
              <w:jc w:val="center"/>
              <w:rPr>
                <w:b/>
                <w:color w:val="000000" w:themeColor="text1"/>
                <w:sz w:val="18"/>
                <w:szCs w:val="18"/>
                <w14:textFill>
                  <w14:solidFill>
                    <w14:schemeClr w14:val="tx1"/>
                  </w14:solidFill>
                </w14:textFill>
              </w:rPr>
            </w:pPr>
          </w:p>
        </w:tc>
        <w:tc>
          <w:tcPr>
            <w:tcW w:w="3375" w:type="dxa"/>
            <w:vAlign w:val="center"/>
          </w:tcPr>
          <w:p w14:paraId="4D94DA97">
            <w:pP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论文开题</w:t>
            </w:r>
          </w:p>
        </w:tc>
        <w:tc>
          <w:tcPr>
            <w:tcW w:w="1222" w:type="dxa"/>
            <w:vAlign w:val="center"/>
          </w:tcPr>
          <w:p w14:paraId="6292A892">
            <w:pPr>
              <w:jc w:val="center"/>
              <w:rPr>
                <w:iCs/>
                <w:color w:val="000000" w:themeColor="text1"/>
                <w:sz w:val="18"/>
                <w:szCs w:val="18"/>
                <w14:textFill>
                  <w14:solidFill>
                    <w14:schemeClr w14:val="tx1"/>
                  </w14:solidFill>
                </w14:textFill>
              </w:rPr>
            </w:pPr>
          </w:p>
        </w:tc>
        <w:tc>
          <w:tcPr>
            <w:tcW w:w="709" w:type="dxa"/>
            <w:vAlign w:val="center"/>
          </w:tcPr>
          <w:p w14:paraId="2F59E173">
            <w:pPr>
              <w:jc w:val="center"/>
              <w:rPr>
                <w:rFonts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262ACEA6">
            <w:pPr>
              <w:jc w:val="center"/>
              <w:rPr>
                <w:rFonts w:hint="eastAsia" w:ascii="Times New Roman" w:hAnsi="Times New Roman" w:eastAsia="宋体" w:cs="Times New Roman"/>
                <w:color w:val="000000" w:themeColor="text1"/>
                <w:sz w:val="18"/>
                <w:szCs w:val="18"/>
                <w:lang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3</w:t>
            </w:r>
          </w:p>
        </w:tc>
        <w:tc>
          <w:tcPr>
            <w:tcW w:w="1045" w:type="dxa"/>
            <w:vMerge w:val="continue"/>
            <w:vAlign w:val="center"/>
          </w:tcPr>
          <w:p w14:paraId="53466FEC">
            <w:pPr>
              <w:jc w:val="center"/>
              <w:rPr>
                <w:color w:val="000000" w:themeColor="text1"/>
                <w:sz w:val="18"/>
                <w:szCs w:val="18"/>
                <w14:textFill>
                  <w14:solidFill>
                    <w14:schemeClr w14:val="tx1"/>
                  </w14:solidFill>
                </w14:textFill>
              </w:rPr>
            </w:pPr>
          </w:p>
        </w:tc>
      </w:tr>
      <w:tr w14:paraId="0C4E3A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FC2DF0">
            <w:pPr>
              <w:rPr>
                <w:b/>
                <w:color w:val="000000" w:themeColor="text1"/>
                <w:sz w:val="18"/>
                <w:szCs w:val="18"/>
                <w14:textFill>
                  <w14:solidFill>
                    <w14:schemeClr w14:val="tx1"/>
                  </w14:solidFill>
                </w14:textFill>
              </w:rPr>
            </w:pPr>
          </w:p>
        </w:tc>
        <w:tc>
          <w:tcPr>
            <w:tcW w:w="1226" w:type="dxa"/>
            <w:vMerge w:val="continue"/>
            <w:tcBorders>
              <w:top w:val="single" w:color="auto" w:sz="12" w:space="0"/>
              <w:bottom w:val="single" w:color="auto" w:sz="12" w:space="0"/>
            </w:tcBorders>
            <w:vAlign w:val="center"/>
          </w:tcPr>
          <w:p w14:paraId="177B3D23">
            <w:pPr>
              <w:jc w:val="center"/>
              <w:rPr>
                <w:b/>
                <w:color w:val="000000" w:themeColor="text1"/>
                <w:sz w:val="18"/>
                <w:szCs w:val="18"/>
                <w14:textFill>
                  <w14:solidFill>
                    <w14:schemeClr w14:val="tx1"/>
                  </w14:solidFill>
                </w14:textFill>
              </w:rPr>
            </w:pPr>
          </w:p>
        </w:tc>
        <w:tc>
          <w:tcPr>
            <w:tcW w:w="3375" w:type="dxa"/>
            <w:vAlign w:val="center"/>
          </w:tcPr>
          <w:p w14:paraId="6DE51F3C">
            <w:pPr>
              <w:rPr>
                <w:iCs/>
                <w:sz w:val="18"/>
                <w:szCs w:val="18"/>
              </w:rPr>
            </w:pPr>
            <w:r>
              <w:rPr>
                <w:iCs/>
                <w:sz w:val="18"/>
                <w:szCs w:val="18"/>
              </w:rPr>
              <w:t>论文中期进展报告</w:t>
            </w:r>
          </w:p>
        </w:tc>
        <w:tc>
          <w:tcPr>
            <w:tcW w:w="1222" w:type="dxa"/>
            <w:vAlign w:val="center"/>
          </w:tcPr>
          <w:p w14:paraId="09EC317E">
            <w:pPr>
              <w:jc w:val="center"/>
              <w:rPr>
                <w:iCs/>
                <w:color w:val="000000" w:themeColor="text1"/>
                <w:sz w:val="18"/>
                <w:szCs w:val="18"/>
                <w14:textFill>
                  <w14:solidFill>
                    <w14:schemeClr w14:val="tx1"/>
                  </w14:solidFill>
                </w14:textFill>
              </w:rPr>
            </w:pPr>
          </w:p>
        </w:tc>
        <w:tc>
          <w:tcPr>
            <w:tcW w:w="709" w:type="dxa"/>
            <w:vAlign w:val="center"/>
          </w:tcPr>
          <w:p w14:paraId="45336971">
            <w:pPr>
              <w:jc w:val="center"/>
              <w:rPr>
                <w:rFonts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6060F681">
            <w:pPr>
              <w:jc w:val="center"/>
              <w:rPr>
                <w:rFonts w:hint="eastAsia" w:ascii="Times New Roman" w:hAnsi="Times New Roman" w:eastAsia="宋体" w:cs="Times New Roman"/>
                <w:color w:val="000000" w:themeColor="text1"/>
                <w:sz w:val="18"/>
                <w:szCs w:val="18"/>
                <w:lang w:eastAsia="zh-CN"/>
                <w14:textFill>
                  <w14:solidFill>
                    <w14:schemeClr w14:val="tx1"/>
                  </w14:solidFill>
                </w14:textFill>
              </w:rPr>
            </w:pPr>
            <w:r>
              <w:rPr>
                <w:rFonts w:hint="eastAsia" w:ascii="Times New Roman" w:hAnsi="Times New Roman" w:eastAsia="宋体" w:cs="Times New Roman"/>
                <w:color w:val="000000" w:themeColor="text1"/>
                <w:sz w:val="18"/>
                <w:szCs w:val="18"/>
                <w:lang w:val="en-US" w:eastAsia="zh-CN"/>
                <w14:textFill>
                  <w14:solidFill>
                    <w14:schemeClr w14:val="tx1"/>
                  </w14:solidFill>
                </w14:textFill>
              </w:rPr>
              <w:t>5</w:t>
            </w:r>
          </w:p>
        </w:tc>
        <w:tc>
          <w:tcPr>
            <w:tcW w:w="1045" w:type="dxa"/>
            <w:vMerge w:val="continue"/>
          </w:tcPr>
          <w:p w14:paraId="02DDA6A2">
            <w:pPr>
              <w:jc w:val="center"/>
              <w:rPr>
                <w:color w:val="000000" w:themeColor="text1"/>
                <w:sz w:val="18"/>
                <w:szCs w:val="18"/>
                <w14:textFill>
                  <w14:solidFill>
                    <w14:schemeClr w14:val="tx1"/>
                  </w14:solidFill>
                </w14:textFill>
              </w:rPr>
            </w:pPr>
          </w:p>
        </w:tc>
      </w:tr>
      <w:tr w14:paraId="3482508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0200860">
            <w:pPr>
              <w:rPr>
                <w:b/>
                <w:color w:val="000000" w:themeColor="text1"/>
                <w:sz w:val="18"/>
                <w:szCs w:val="18"/>
                <w14:textFill>
                  <w14:solidFill>
                    <w14:schemeClr w14:val="tx1"/>
                  </w14:solidFill>
                </w14:textFill>
              </w:rPr>
            </w:pPr>
          </w:p>
        </w:tc>
        <w:tc>
          <w:tcPr>
            <w:tcW w:w="1226" w:type="dxa"/>
            <w:vMerge w:val="continue"/>
            <w:tcBorders>
              <w:top w:val="single" w:color="auto" w:sz="12" w:space="0"/>
              <w:bottom w:val="single" w:color="auto" w:sz="12" w:space="0"/>
            </w:tcBorders>
            <w:vAlign w:val="center"/>
          </w:tcPr>
          <w:p w14:paraId="57EE1844">
            <w:pPr>
              <w:jc w:val="center"/>
              <w:rPr>
                <w:b/>
                <w:color w:val="000000" w:themeColor="text1"/>
                <w:sz w:val="18"/>
                <w:szCs w:val="18"/>
                <w14:textFill>
                  <w14:solidFill>
                    <w14:schemeClr w14:val="tx1"/>
                  </w14:solidFill>
                </w14:textFill>
              </w:rPr>
            </w:pPr>
          </w:p>
        </w:tc>
        <w:tc>
          <w:tcPr>
            <w:tcW w:w="3375" w:type="dxa"/>
            <w:vAlign w:val="center"/>
          </w:tcPr>
          <w:p w14:paraId="6425CBA5">
            <w:pP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论文预答辩</w:t>
            </w:r>
          </w:p>
        </w:tc>
        <w:tc>
          <w:tcPr>
            <w:tcW w:w="1222" w:type="dxa"/>
            <w:vAlign w:val="center"/>
          </w:tcPr>
          <w:p w14:paraId="1902607F">
            <w:pPr>
              <w:jc w:val="center"/>
              <w:rPr>
                <w:iCs/>
                <w:color w:val="000000" w:themeColor="text1"/>
                <w:sz w:val="18"/>
                <w:szCs w:val="18"/>
                <w14:textFill>
                  <w14:solidFill>
                    <w14:schemeClr w14:val="tx1"/>
                  </w14:solidFill>
                </w14:textFill>
              </w:rPr>
            </w:pPr>
          </w:p>
        </w:tc>
        <w:tc>
          <w:tcPr>
            <w:tcW w:w="709" w:type="dxa"/>
            <w:vAlign w:val="center"/>
          </w:tcPr>
          <w:p w14:paraId="0B3C9CAA">
            <w:pPr>
              <w:jc w:val="center"/>
              <w:rPr>
                <w:rFonts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2F52E5E6">
            <w:pPr>
              <w:jc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7</w:t>
            </w:r>
          </w:p>
        </w:tc>
        <w:tc>
          <w:tcPr>
            <w:tcW w:w="1045" w:type="dxa"/>
            <w:vMerge w:val="continue"/>
          </w:tcPr>
          <w:p w14:paraId="1A4A6E9E">
            <w:pPr>
              <w:jc w:val="center"/>
              <w:rPr>
                <w:color w:val="000000" w:themeColor="text1"/>
                <w:sz w:val="18"/>
                <w:szCs w:val="18"/>
                <w14:textFill>
                  <w14:solidFill>
                    <w14:schemeClr w14:val="tx1"/>
                  </w14:solidFill>
                </w14:textFill>
              </w:rPr>
            </w:pPr>
          </w:p>
        </w:tc>
      </w:tr>
      <w:tr w14:paraId="2A581A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6574C0B">
            <w:pPr>
              <w:rPr>
                <w:color w:val="000000" w:themeColor="text1"/>
                <w:sz w:val="18"/>
                <w:szCs w:val="18"/>
                <w14:textFill>
                  <w14:solidFill>
                    <w14:schemeClr w14:val="tx1"/>
                  </w14:solidFill>
                </w14:textFill>
              </w:rPr>
            </w:pPr>
          </w:p>
        </w:tc>
        <w:tc>
          <w:tcPr>
            <w:tcW w:w="1226" w:type="dxa"/>
            <w:vMerge w:val="continue"/>
            <w:tcBorders>
              <w:top w:val="single" w:color="auto" w:sz="12" w:space="0"/>
              <w:bottom w:val="single" w:color="auto" w:sz="12" w:space="0"/>
            </w:tcBorders>
          </w:tcPr>
          <w:p w14:paraId="5E0CFA0A">
            <w:pPr>
              <w:jc w:val="center"/>
              <w:rPr>
                <w:color w:val="000000" w:themeColor="text1"/>
                <w:sz w:val="18"/>
                <w:szCs w:val="18"/>
                <w14:textFill>
                  <w14:solidFill>
                    <w14:schemeClr w14:val="tx1"/>
                  </w14:solidFill>
                </w14:textFill>
              </w:rPr>
            </w:pPr>
          </w:p>
        </w:tc>
        <w:tc>
          <w:tcPr>
            <w:tcW w:w="3375" w:type="dxa"/>
            <w:vAlign w:val="center"/>
          </w:tcPr>
          <w:p w14:paraId="32E14CBE">
            <w:pP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论文评审</w:t>
            </w:r>
          </w:p>
        </w:tc>
        <w:tc>
          <w:tcPr>
            <w:tcW w:w="1222" w:type="dxa"/>
            <w:vAlign w:val="center"/>
          </w:tcPr>
          <w:p w14:paraId="0849D936">
            <w:pPr>
              <w:jc w:val="center"/>
              <w:rPr>
                <w:iCs/>
                <w:color w:val="000000" w:themeColor="text1"/>
                <w:sz w:val="18"/>
                <w:szCs w:val="18"/>
                <w14:textFill>
                  <w14:solidFill>
                    <w14:schemeClr w14:val="tx1"/>
                  </w14:solidFill>
                </w14:textFill>
              </w:rPr>
            </w:pPr>
          </w:p>
        </w:tc>
        <w:tc>
          <w:tcPr>
            <w:tcW w:w="709" w:type="dxa"/>
            <w:vAlign w:val="center"/>
          </w:tcPr>
          <w:p w14:paraId="141EAB56">
            <w:pPr>
              <w:jc w:val="center"/>
              <w:rPr>
                <w:rFonts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779FB6FD">
            <w:pPr>
              <w:jc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8</w:t>
            </w:r>
          </w:p>
        </w:tc>
        <w:tc>
          <w:tcPr>
            <w:tcW w:w="1045" w:type="dxa"/>
            <w:vMerge w:val="continue"/>
          </w:tcPr>
          <w:p w14:paraId="453C0351">
            <w:pPr>
              <w:jc w:val="center"/>
              <w:rPr>
                <w:color w:val="000000" w:themeColor="text1"/>
                <w:sz w:val="18"/>
                <w:szCs w:val="18"/>
                <w14:textFill>
                  <w14:solidFill>
                    <w14:schemeClr w14:val="tx1"/>
                  </w14:solidFill>
                </w14:textFill>
              </w:rPr>
            </w:pPr>
          </w:p>
        </w:tc>
      </w:tr>
      <w:tr w14:paraId="29F49A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0FFBB84">
            <w:pPr>
              <w:rPr>
                <w:color w:val="000000" w:themeColor="text1"/>
                <w:sz w:val="18"/>
                <w:szCs w:val="18"/>
                <w14:textFill>
                  <w14:solidFill>
                    <w14:schemeClr w14:val="tx1"/>
                  </w14:solidFill>
                </w14:textFill>
              </w:rPr>
            </w:pPr>
          </w:p>
        </w:tc>
        <w:tc>
          <w:tcPr>
            <w:tcW w:w="1226" w:type="dxa"/>
            <w:vMerge w:val="continue"/>
            <w:tcBorders>
              <w:top w:val="single" w:color="auto" w:sz="12" w:space="0"/>
              <w:bottom w:val="single" w:color="auto" w:sz="12" w:space="0"/>
            </w:tcBorders>
          </w:tcPr>
          <w:p w14:paraId="3DC96915">
            <w:pPr>
              <w:jc w:val="center"/>
              <w:rPr>
                <w:color w:val="000000" w:themeColor="text1"/>
                <w:sz w:val="18"/>
                <w:szCs w:val="18"/>
                <w14:textFill>
                  <w14:solidFill>
                    <w14:schemeClr w14:val="tx1"/>
                  </w14:solidFill>
                </w14:textFill>
              </w:rPr>
            </w:pPr>
          </w:p>
        </w:tc>
        <w:tc>
          <w:tcPr>
            <w:tcW w:w="3375" w:type="dxa"/>
            <w:vAlign w:val="center"/>
          </w:tcPr>
          <w:p w14:paraId="72D111F5">
            <w:pP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论文答辩</w:t>
            </w:r>
          </w:p>
        </w:tc>
        <w:tc>
          <w:tcPr>
            <w:tcW w:w="1222" w:type="dxa"/>
            <w:vAlign w:val="center"/>
          </w:tcPr>
          <w:p w14:paraId="59AAE135">
            <w:pPr>
              <w:jc w:val="center"/>
              <w:rPr>
                <w:iCs/>
                <w:color w:val="000000" w:themeColor="text1"/>
                <w:sz w:val="18"/>
                <w:szCs w:val="18"/>
                <w14:textFill>
                  <w14:solidFill>
                    <w14:schemeClr w14:val="tx1"/>
                  </w14:solidFill>
                </w14:textFill>
              </w:rPr>
            </w:pPr>
          </w:p>
        </w:tc>
        <w:tc>
          <w:tcPr>
            <w:tcW w:w="709" w:type="dxa"/>
            <w:vAlign w:val="center"/>
          </w:tcPr>
          <w:p w14:paraId="0B8E9C2D">
            <w:pPr>
              <w:jc w:val="center"/>
              <w:rPr>
                <w:rFonts w:ascii="Times New Roman" w:hAnsi="Times New Roman" w:eastAsia="宋体" w:cs="Times New Roman"/>
                <w:color w:val="000000" w:themeColor="text1"/>
                <w:sz w:val="18"/>
                <w:szCs w:val="18"/>
                <w14:textFill>
                  <w14:solidFill>
                    <w14:schemeClr w14:val="tx1"/>
                  </w14:solidFill>
                </w14:textFill>
              </w:rPr>
            </w:pPr>
          </w:p>
        </w:tc>
        <w:tc>
          <w:tcPr>
            <w:tcW w:w="709" w:type="dxa"/>
            <w:vAlign w:val="center"/>
          </w:tcPr>
          <w:p w14:paraId="790A2FBA">
            <w:pPr>
              <w:jc w:val="center"/>
              <w:rPr>
                <w:rFonts w:ascii="Times New Roman" w:hAnsi="Times New Roman" w:eastAsia="宋体" w:cs="Times New Roman"/>
                <w:color w:val="000000" w:themeColor="text1"/>
                <w:sz w:val="18"/>
                <w:szCs w:val="18"/>
                <w14:textFill>
                  <w14:solidFill>
                    <w14:schemeClr w14:val="tx1"/>
                  </w14:solidFill>
                </w14:textFill>
              </w:rPr>
            </w:pPr>
            <w:r>
              <w:rPr>
                <w:rFonts w:hint="eastAsia" w:ascii="Times New Roman" w:hAnsi="Times New Roman" w:eastAsia="宋体" w:cs="Times New Roman"/>
                <w:color w:val="000000" w:themeColor="text1"/>
                <w:sz w:val="18"/>
                <w:szCs w:val="18"/>
                <w14:textFill>
                  <w14:solidFill>
                    <w14:schemeClr w14:val="tx1"/>
                  </w14:solidFill>
                </w14:textFill>
              </w:rPr>
              <w:t>8</w:t>
            </w:r>
          </w:p>
        </w:tc>
        <w:tc>
          <w:tcPr>
            <w:tcW w:w="1045" w:type="dxa"/>
            <w:vMerge w:val="continue"/>
          </w:tcPr>
          <w:p w14:paraId="16D5FA6B">
            <w:pPr>
              <w:jc w:val="center"/>
              <w:rPr>
                <w:color w:val="000000" w:themeColor="text1"/>
                <w:sz w:val="18"/>
                <w:szCs w:val="18"/>
                <w14:textFill>
                  <w14:solidFill>
                    <w14:schemeClr w14:val="tx1"/>
                  </w14:solidFill>
                </w14:textFill>
              </w:rPr>
            </w:pPr>
          </w:p>
        </w:tc>
      </w:tr>
    </w:tbl>
    <w:p w14:paraId="4FE6A967">
      <w:pPr>
        <w:snapToGrid w:val="0"/>
        <w:spacing w:line="360" w:lineRule="auto"/>
        <w:ind w:left="430" w:firstLine="480" w:firstLineChars="200"/>
        <w:rPr>
          <w:bCs/>
          <w:sz w:val="24"/>
        </w:rPr>
      </w:pPr>
      <w:r>
        <w:rPr>
          <w:rFonts w:hint="eastAsia"/>
          <w:bCs/>
          <w:sz w:val="24"/>
        </w:rPr>
        <w:t>*</w:t>
      </w:r>
      <w:r>
        <w:rPr>
          <w:bCs/>
          <w:sz w:val="24"/>
        </w:rPr>
        <w:t>公共外语课程按</w:t>
      </w:r>
      <w:r>
        <w:rPr>
          <w:rFonts w:hint="eastAsia"/>
          <w:bCs/>
          <w:sz w:val="24"/>
        </w:rPr>
        <w:t>入学时</w:t>
      </w:r>
      <w:r>
        <w:rPr>
          <w:bCs/>
          <w:sz w:val="24"/>
        </w:rPr>
        <w:t>的外国语考试科目</w:t>
      </w:r>
      <w:r>
        <w:rPr>
          <w:rFonts w:hint="eastAsia"/>
          <w:bCs/>
          <w:sz w:val="24"/>
        </w:rPr>
        <w:t>修读相关语种</w:t>
      </w:r>
      <w:r>
        <w:rPr>
          <w:bCs/>
          <w:sz w:val="24"/>
        </w:rPr>
        <w:t>。</w:t>
      </w:r>
    </w:p>
    <w:p w14:paraId="5EFDC449">
      <w:pPr>
        <w:snapToGrid w:val="0"/>
        <w:spacing w:line="360" w:lineRule="auto"/>
        <w:ind w:left="430"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19C4E774">
      <w:pPr>
        <w:snapToGrid w:val="0"/>
        <w:spacing w:line="360" w:lineRule="auto"/>
        <w:ind w:left="430" w:firstLine="480" w:firstLineChars="200"/>
        <w:rPr>
          <w:rFonts w:hint="eastAsia" w:ascii="黑体" w:hAnsi="宋体" w:eastAsia="黑体"/>
          <w:bCs/>
          <w:sz w:val="28"/>
          <w:szCs w:val="28"/>
        </w:rPr>
      </w:pPr>
      <w:r>
        <w:rPr>
          <w:rFonts w:hint="eastAsia"/>
          <w:bCs/>
          <w:sz w:val="24"/>
        </w:rPr>
        <w:t xml:space="preserve">  毕业总学分：学位课+非学位课+必修环节。</w:t>
      </w:r>
    </w:p>
    <w:sectPr>
      <w:pgSz w:w="11906" w:h="16838"/>
      <w:pgMar w:top="1440" w:right="1134" w:bottom="1440" w:left="1134"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yMGIxMzJhZTdjYzM3ODQ3ZTJlYjU5MmNlZDFhNDUifQ=="/>
  </w:docVars>
  <w:rsids>
    <w:rsidRoot w:val="00E41013"/>
    <w:rsid w:val="0000628E"/>
    <w:rsid w:val="000109B9"/>
    <w:rsid w:val="0015241A"/>
    <w:rsid w:val="001579B6"/>
    <w:rsid w:val="00177B8B"/>
    <w:rsid w:val="001B651C"/>
    <w:rsid w:val="001B7258"/>
    <w:rsid w:val="001C425A"/>
    <w:rsid w:val="001E6EB7"/>
    <w:rsid w:val="002305DF"/>
    <w:rsid w:val="002E17B0"/>
    <w:rsid w:val="0035450B"/>
    <w:rsid w:val="00372567"/>
    <w:rsid w:val="003D53FC"/>
    <w:rsid w:val="003F3F83"/>
    <w:rsid w:val="004353CA"/>
    <w:rsid w:val="00463475"/>
    <w:rsid w:val="00471243"/>
    <w:rsid w:val="004967A5"/>
    <w:rsid w:val="004C592E"/>
    <w:rsid w:val="005337B4"/>
    <w:rsid w:val="005C3FF4"/>
    <w:rsid w:val="005C65E8"/>
    <w:rsid w:val="005C7A16"/>
    <w:rsid w:val="00604A56"/>
    <w:rsid w:val="006215FE"/>
    <w:rsid w:val="00626490"/>
    <w:rsid w:val="00655B68"/>
    <w:rsid w:val="006B2DDA"/>
    <w:rsid w:val="006B33CC"/>
    <w:rsid w:val="006D4336"/>
    <w:rsid w:val="006D48F8"/>
    <w:rsid w:val="00706EEC"/>
    <w:rsid w:val="007204AB"/>
    <w:rsid w:val="007A1934"/>
    <w:rsid w:val="007B1B73"/>
    <w:rsid w:val="00803BBB"/>
    <w:rsid w:val="00823B36"/>
    <w:rsid w:val="00833D1A"/>
    <w:rsid w:val="00856191"/>
    <w:rsid w:val="0088492D"/>
    <w:rsid w:val="009D44D3"/>
    <w:rsid w:val="009E065E"/>
    <w:rsid w:val="00A44B8F"/>
    <w:rsid w:val="00A47A18"/>
    <w:rsid w:val="00A6708D"/>
    <w:rsid w:val="00AB24CE"/>
    <w:rsid w:val="00B1187A"/>
    <w:rsid w:val="00B11A69"/>
    <w:rsid w:val="00B65982"/>
    <w:rsid w:val="00B70BCD"/>
    <w:rsid w:val="00B71F87"/>
    <w:rsid w:val="00CD5005"/>
    <w:rsid w:val="00CE185B"/>
    <w:rsid w:val="00D54B33"/>
    <w:rsid w:val="00D80DFA"/>
    <w:rsid w:val="00D81A3C"/>
    <w:rsid w:val="00DC4BAB"/>
    <w:rsid w:val="00E10C46"/>
    <w:rsid w:val="00E41013"/>
    <w:rsid w:val="00E42FFF"/>
    <w:rsid w:val="00E62337"/>
    <w:rsid w:val="00E6385F"/>
    <w:rsid w:val="00E93EF5"/>
    <w:rsid w:val="00F26D45"/>
    <w:rsid w:val="00F4297E"/>
    <w:rsid w:val="00F70057"/>
    <w:rsid w:val="00F71BB5"/>
    <w:rsid w:val="00FA1053"/>
    <w:rsid w:val="00FC07E0"/>
    <w:rsid w:val="00FC3B64"/>
    <w:rsid w:val="00FE335E"/>
    <w:rsid w:val="00FE4C3C"/>
    <w:rsid w:val="00FF1D51"/>
    <w:rsid w:val="0196642A"/>
    <w:rsid w:val="024C4816"/>
    <w:rsid w:val="06CB75A4"/>
    <w:rsid w:val="072820D5"/>
    <w:rsid w:val="08A56A38"/>
    <w:rsid w:val="0CA50394"/>
    <w:rsid w:val="0F0B7E3D"/>
    <w:rsid w:val="101C4C06"/>
    <w:rsid w:val="12560910"/>
    <w:rsid w:val="12982A21"/>
    <w:rsid w:val="134250E1"/>
    <w:rsid w:val="13856E7F"/>
    <w:rsid w:val="14F86492"/>
    <w:rsid w:val="15AF7010"/>
    <w:rsid w:val="17224585"/>
    <w:rsid w:val="19803287"/>
    <w:rsid w:val="1A4801E2"/>
    <w:rsid w:val="1AB81B9E"/>
    <w:rsid w:val="1B277B17"/>
    <w:rsid w:val="1E747BDC"/>
    <w:rsid w:val="201C578E"/>
    <w:rsid w:val="212A68F7"/>
    <w:rsid w:val="220F68EE"/>
    <w:rsid w:val="22A93DFC"/>
    <w:rsid w:val="23612E63"/>
    <w:rsid w:val="23BA71D7"/>
    <w:rsid w:val="25613E0F"/>
    <w:rsid w:val="25EF5198"/>
    <w:rsid w:val="264A29DB"/>
    <w:rsid w:val="26AE34F8"/>
    <w:rsid w:val="26EC06E1"/>
    <w:rsid w:val="285B6218"/>
    <w:rsid w:val="2AA00FAA"/>
    <w:rsid w:val="2C910F3F"/>
    <w:rsid w:val="2ED94EC9"/>
    <w:rsid w:val="2EDE64D0"/>
    <w:rsid w:val="2EF3125D"/>
    <w:rsid w:val="2F8D5831"/>
    <w:rsid w:val="30655A94"/>
    <w:rsid w:val="3149354E"/>
    <w:rsid w:val="318E7551"/>
    <w:rsid w:val="31E9304D"/>
    <w:rsid w:val="343850F2"/>
    <w:rsid w:val="34435089"/>
    <w:rsid w:val="358F200D"/>
    <w:rsid w:val="38290B67"/>
    <w:rsid w:val="395B6F37"/>
    <w:rsid w:val="39DF28E3"/>
    <w:rsid w:val="3D582B4A"/>
    <w:rsid w:val="3E2874E4"/>
    <w:rsid w:val="3EB43D89"/>
    <w:rsid w:val="3F27452A"/>
    <w:rsid w:val="3FDE21F8"/>
    <w:rsid w:val="40961818"/>
    <w:rsid w:val="428205F7"/>
    <w:rsid w:val="43BE2424"/>
    <w:rsid w:val="449F1C1A"/>
    <w:rsid w:val="45FF3339"/>
    <w:rsid w:val="46ED3B0B"/>
    <w:rsid w:val="489F3E62"/>
    <w:rsid w:val="49050323"/>
    <w:rsid w:val="49297014"/>
    <w:rsid w:val="4B1F3F5B"/>
    <w:rsid w:val="4B5D697A"/>
    <w:rsid w:val="4C5067C0"/>
    <w:rsid w:val="4C7854AE"/>
    <w:rsid w:val="4D454E21"/>
    <w:rsid w:val="4EB4175E"/>
    <w:rsid w:val="51843CFB"/>
    <w:rsid w:val="52BE747E"/>
    <w:rsid w:val="548D3A51"/>
    <w:rsid w:val="54943889"/>
    <w:rsid w:val="56F93FE7"/>
    <w:rsid w:val="57282D90"/>
    <w:rsid w:val="5750174C"/>
    <w:rsid w:val="584A74CC"/>
    <w:rsid w:val="58B65EA1"/>
    <w:rsid w:val="590B430A"/>
    <w:rsid w:val="5A8E419C"/>
    <w:rsid w:val="5B0326CF"/>
    <w:rsid w:val="5C6A6AB4"/>
    <w:rsid w:val="5DAE25B9"/>
    <w:rsid w:val="61C1095D"/>
    <w:rsid w:val="63126F48"/>
    <w:rsid w:val="651A22E6"/>
    <w:rsid w:val="65BF0456"/>
    <w:rsid w:val="66111F71"/>
    <w:rsid w:val="68C91550"/>
    <w:rsid w:val="69302FC4"/>
    <w:rsid w:val="6A545D35"/>
    <w:rsid w:val="6BAD2512"/>
    <w:rsid w:val="6CBE1718"/>
    <w:rsid w:val="6CFA7AAC"/>
    <w:rsid w:val="6E906D89"/>
    <w:rsid w:val="6EFC541B"/>
    <w:rsid w:val="6F706F62"/>
    <w:rsid w:val="6FBA3EFE"/>
    <w:rsid w:val="7020038D"/>
    <w:rsid w:val="71244C82"/>
    <w:rsid w:val="72256211"/>
    <w:rsid w:val="727B6AF6"/>
    <w:rsid w:val="740A4021"/>
    <w:rsid w:val="7595397D"/>
    <w:rsid w:val="76F17100"/>
    <w:rsid w:val="777B08EA"/>
    <w:rsid w:val="783D62C2"/>
    <w:rsid w:val="78542BE7"/>
    <w:rsid w:val="78C83BCE"/>
    <w:rsid w:val="7A277975"/>
    <w:rsid w:val="7AA945ED"/>
    <w:rsid w:val="7D381EE0"/>
    <w:rsid w:val="7E490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autoRedefine/>
    <w:unhideWhenUsed/>
    <w:qFormat/>
    <w:uiPriority w:val="99"/>
    <w:pPr>
      <w:tabs>
        <w:tab w:val="center" w:pos="4153"/>
        <w:tab w:val="right" w:pos="8306"/>
      </w:tabs>
      <w:snapToGrid w:val="0"/>
      <w:jc w:val="left"/>
    </w:pPr>
    <w:rPr>
      <w:sz w:val="18"/>
      <w:szCs w:val="18"/>
    </w:rPr>
  </w:style>
  <w:style w:type="paragraph" w:styleId="3">
    <w:name w:val="header"/>
    <w:basedOn w:val="1"/>
    <w:link w:val="7"/>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autoRedefine/>
    <w:qFormat/>
    <w:uiPriority w:val="0"/>
    <w:rPr>
      <w:color w:val="0000FF"/>
      <w:u w:val="single"/>
    </w:rPr>
  </w:style>
  <w:style w:type="character" w:customStyle="1" w:styleId="7">
    <w:name w:val="页眉 字符"/>
    <w:basedOn w:val="5"/>
    <w:link w:val="3"/>
    <w:autoRedefine/>
    <w:qFormat/>
    <w:uiPriority w:val="99"/>
    <w:rPr>
      <w:sz w:val="18"/>
      <w:szCs w:val="18"/>
    </w:rPr>
  </w:style>
  <w:style w:type="character" w:customStyle="1" w:styleId="8">
    <w:name w:val="页脚 字符"/>
    <w:basedOn w:val="5"/>
    <w:link w:val="2"/>
    <w:autoRedefine/>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4426</Words>
  <Characters>4629</Characters>
  <Lines>36</Lines>
  <Paragraphs>10</Paragraphs>
  <TotalTime>5</TotalTime>
  <ScaleCrop>false</ScaleCrop>
  <LinksUpToDate>false</LinksUpToDate>
  <CharactersWithSpaces>4632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2021-03-03T06:55:00Z</dcterms:created>
  <dc:creator>Administrator</dc:creator>
  <cp:lastModifiedBy>未知</cp:lastModifiedBy>
  <cp:lastPrinted>2025-06-13T07:45:05Z</cp:lastPrinted>
  <dcterms:modified xsi:type="dcterms:W3CDTF">2025-06-13T07:45:21Z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AF167B2978404E3CBE30C8DBB0F16D6A_13</vt:lpwstr>
  </property>
  <property fmtid="{D5CDD505-2E9C-101B-9397-08002B2CF9AE}" pid="4" name="KSOTemplateDocerSaveRecord">
    <vt:lpwstr>eyJoZGlkIjoiNjZmYjFlOTAyOWMxNzIwMGQ3MTE3ZGUxZjUwOTAwYjIiLCJ1c2VySWQiOiIzMzI1ODEwMzgifQ==</vt:lpwstr>
  </property>
</Properties>
</file>