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12E96E">
      <w:pPr>
        <w:spacing w:line="360" w:lineRule="auto"/>
        <w:ind w:right="227"/>
        <w:jc w:val="center"/>
        <w:rPr>
          <w:rFonts w:ascii="Times New Roman" w:hAnsi="Times New Roman" w:eastAsia="黑体" w:cs="Times New Roman"/>
          <w:b/>
          <w:bCs/>
          <w:sz w:val="36"/>
          <w:szCs w:val="36"/>
        </w:rPr>
      </w:pPr>
      <w:r>
        <w:rPr>
          <w:rFonts w:hint="eastAsia" w:ascii="Times New Roman" w:hAnsi="Times New Roman" w:eastAsia="黑体" w:cs="Times New Roman"/>
          <w:b/>
          <w:bCs/>
          <w:sz w:val="36"/>
          <w:szCs w:val="36"/>
          <w:u w:val="thick"/>
        </w:rPr>
        <w:t>新闻与传播</w:t>
      </w:r>
      <w:r>
        <w:rPr>
          <w:rFonts w:hint="eastAsia" w:ascii="Times New Roman" w:hAnsi="Times New Roman" w:eastAsia="黑体" w:cs="Times New Roman"/>
          <w:b/>
          <w:bCs/>
          <w:sz w:val="36"/>
          <w:szCs w:val="36"/>
        </w:rPr>
        <w:t>专业全日制</w:t>
      </w:r>
      <w:r>
        <w:rPr>
          <w:rFonts w:hint="eastAsia" w:ascii="Times New Roman" w:hAnsi="Times New Roman" w:eastAsia="黑体" w:cs="Times New Roman"/>
          <w:b/>
          <w:bCs/>
          <w:sz w:val="36"/>
          <w:szCs w:val="36"/>
          <w:lang w:val="en-US" w:eastAsia="zh-CN"/>
        </w:rPr>
        <w:t>专业</w:t>
      </w:r>
      <w:r>
        <w:rPr>
          <w:rFonts w:hint="eastAsia" w:ascii="Times New Roman" w:hAnsi="Times New Roman" w:eastAsia="黑体" w:cs="Times New Roman"/>
          <w:b/>
          <w:bCs/>
          <w:sz w:val="36"/>
          <w:szCs w:val="36"/>
        </w:rPr>
        <w:t>学位硕士研究生培养方案</w:t>
      </w:r>
    </w:p>
    <w:p w14:paraId="2B47E846">
      <w:pPr>
        <w:spacing w:line="360" w:lineRule="auto"/>
        <w:ind w:right="227"/>
        <w:jc w:val="center"/>
        <w:rPr>
          <w:rFonts w:ascii="Times New Roman" w:hAnsi="Times New Roman" w:eastAsia="黑体" w:cs="Times New Roman"/>
          <w:b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/>
          <w:bCs/>
          <w:sz w:val="28"/>
          <w:szCs w:val="28"/>
        </w:rPr>
        <w:t>（新闻传播学院）</w:t>
      </w:r>
    </w:p>
    <w:p w14:paraId="20ABE70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ascii="Times New Roman" w:hAnsi="Times New Roman" w:eastAsia="黑体" w:cs="Times New Roman"/>
          <w:bCs/>
          <w:sz w:val="28"/>
          <w:szCs w:val="28"/>
        </w:rPr>
      </w:pPr>
      <w:r>
        <w:rPr>
          <w:rFonts w:hint="eastAsia" w:ascii="Times New Roman" w:hAnsi="Times New Roman" w:eastAsia="黑体" w:cs="Times New Roman"/>
          <w:bCs/>
          <w:sz w:val="28"/>
          <w:szCs w:val="28"/>
        </w:rPr>
        <w:t>一、专业名称、代码</w:t>
      </w:r>
    </w:p>
    <w:p w14:paraId="4C7FBCE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jc w:val="left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专业名称：</w:t>
      </w:r>
      <w:r>
        <w:rPr>
          <w:rFonts w:hint="eastAsia" w:ascii="宋体" w:hAnsi="宋体" w:eastAsia="宋体"/>
          <w:color w:val="222222"/>
          <w:kern w:val="0"/>
          <w:sz w:val="24"/>
        </w:rPr>
        <w:t>新闻与传播</w:t>
      </w:r>
    </w:p>
    <w:p w14:paraId="5458D9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jc w:val="left"/>
        <w:textAlignment w:val="auto"/>
        <w:rPr>
          <w:rFonts w:hint="eastAsia"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专</w:t>
      </w:r>
      <w:r>
        <w:rPr>
          <w:rFonts w:ascii="宋体" w:hAnsi="宋体" w:eastAsia="宋体"/>
          <w:color w:val="222222"/>
          <w:kern w:val="0"/>
          <w:sz w:val="24"/>
        </w:rPr>
        <w:t>业代码：</w:t>
      </w:r>
      <w:r>
        <w:rPr>
          <w:rFonts w:hint="eastAsia" w:ascii="宋体" w:hAnsi="宋体" w:eastAsia="宋体" w:cs="Arial"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>0552</w:t>
      </w:r>
    </w:p>
    <w:p w14:paraId="61D5FDE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jc w:val="left"/>
        <w:textAlignment w:val="auto"/>
        <w:rPr>
          <w:rFonts w:ascii="Times New Roman" w:hAnsi="Times New Roman" w:eastAsia="黑体"/>
          <w:bCs/>
          <w:sz w:val="28"/>
          <w:szCs w:val="28"/>
        </w:rPr>
      </w:pPr>
      <w:r>
        <w:rPr>
          <w:rFonts w:hint="eastAsia" w:ascii="Times New Roman" w:hAnsi="Times New Roman" w:eastAsia="黑体"/>
          <w:bCs/>
          <w:sz w:val="28"/>
          <w:szCs w:val="28"/>
        </w:rPr>
        <w:t>二、专业简介</w:t>
      </w:r>
    </w:p>
    <w:p w14:paraId="75997ADE">
      <w:pPr>
        <w:widowControl/>
        <w:snapToGrid w:val="0"/>
        <w:spacing w:line="360" w:lineRule="auto"/>
        <w:ind w:firstLine="480" w:firstLineChars="200"/>
        <w:rPr>
          <w:rFonts w:hint="eastAsia" w:cs="Arial" w:asciiTheme="minorEastAsia" w:hAnsiTheme="minorEastAsia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cs="Arial" w:asciiTheme="minorEastAsia" w:hAnsiTheme="minorEastAsia"/>
          <w:color w:val="000000" w:themeColor="text1"/>
          <w:sz w:val="24"/>
          <w:shd w:val="clear" w:color="auto" w:fill="FFFFFF"/>
          <w14:textFill>
            <w14:solidFill>
              <w14:schemeClr w14:val="tx1"/>
            </w14:solidFill>
          </w14:textFill>
        </w:rPr>
        <w:t>河北大学新闻传播学科始于1981年，1998年获得新闻学二级学科硕士学位授予权，2006年获得新闻传播学一级学科硕士学位授予权，2010年获得全国首批新闻与传播专业硕士学位授予权，2011年获得新闻传播学一级学科博士学位授予权，是华北地区除北京外第一个新闻传播学博士点。2013 年，新闻传播学科被确立为河北省重点学科。2018年，新闻传播学科被纳入河北大学燕赵文化学科群建设序列，成为学科群的重要支撑学科。2017年、2022年在教育部第四、第五轮学科评估中列B层次，2022年被教育部确定为“十四五”教育发展规划优先发展学科。在多年的教学科研实践中，新闻与传播专业形成的</w:t>
      </w:r>
      <w:r>
        <w:rPr>
          <w:rFonts w:hint="eastAsia" w:ascii="宋体" w:hAnsi="宋体" w:eastAsia="宋体"/>
          <w:color w:val="222222"/>
          <w:kern w:val="0"/>
          <w:sz w:val="24"/>
        </w:rPr>
        <w:t>特色及优势，一是生源覆盖面广，基础知识结构较为合理。生源来自河北、北京、山东、天津等18个省市自治区的高校，60%左右为跨专业考生，为各学科知识互鉴提供了便利。二是</w:t>
      </w:r>
      <w:r>
        <w:rPr>
          <w:rFonts w:ascii="宋体" w:hAnsi="宋体" w:eastAsia="宋体"/>
          <w:color w:val="222222"/>
          <w:kern w:val="0"/>
          <w:sz w:val="24"/>
        </w:rPr>
        <w:t>高水平研究工作转化为专业学位研究生培养资源能力强</w:t>
      </w:r>
      <w:r>
        <w:rPr>
          <w:rFonts w:hint="eastAsia" w:ascii="宋体" w:hAnsi="宋体" w:eastAsia="宋体"/>
          <w:color w:val="222222"/>
          <w:kern w:val="0"/>
          <w:sz w:val="24"/>
        </w:rPr>
        <w:t>。任课教师主动将科研成果转化为教学内容与课程体系改革项目。三是充分利用校外资源参与办学。鼓励校外导师给学生开设专门课程，比如创办“连线传媒界”，邀请业界导师授课。</w:t>
      </w:r>
    </w:p>
    <w:p w14:paraId="57E8577E"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本专业</w:t>
      </w:r>
      <w:r>
        <w:rPr>
          <w:rFonts w:ascii="宋体" w:hAnsi="宋体" w:eastAsia="宋体"/>
          <w:color w:val="222222"/>
          <w:kern w:val="0"/>
          <w:sz w:val="24"/>
        </w:rPr>
        <w:t>培养</w:t>
      </w:r>
      <w:r>
        <w:rPr>
          <w:rFonts w:hint="eastAsia" w:ascii="宋体" w:hAnsi="宋体" w:eastAsia="宋体"/>
          <w:color w:val="222222"/>
          <w:kern w:val="0"/>
          <w:sz w:val="24"/>
        </w:rPr>
        <w:t>“</w:t>
      </w:r>
      <w:r>
        <w:rPr>
          <w:rFonts w:ascii="宋体" w:hAnsi="宋体" w:eastAsia="宋体"/>
          <w:color w:val="222222"/>
          <w:kern w:val="0"/>
          <w:sz w:val="24"/>
        </w:rPr>
        <w:t>厚基础、宽口径、高素质、强能力</w:t>
      </w:r>
      <w:r>
        <w:rPr>
          <w:rFonts w:hint="eastAsia" w:ascii="宋体" w:hAnsi="宋体" w:eastAsia="宋体"/>
          <w:color w:val="222222"/>
          <w:kern w:val="0"/>
          <w:sz w:val="24"/>
        </w:rPr>
        <w:t>”</w:t>
      </w:r>
      <w:r>
        <w:rPr>
          <w:rFonts w:ascii="宋体" w:hAnsi="宋体" w:eastAsia="宋体"/>
          <w:color w:val="222222"/>
          <w:kern w:val="0"/>
          <w:sz w:val="24"/>
        </w:rPr>
        <w:t>的新闻传播专门人才</w:t>
      </w:r>
      <w:r>
        <w:rPr>
          <w:rFonts w:hint="eastAsia" w:ascii="宋体" w:hAnsi="宋体" w:eastAsia="宋体"/>
          <w:color w:val="222222"/>
          <w:kern w:val="0"/>
          <w:sz w:val="24"/>
        </w:rPr>
        <w:t>，毕业生可以</w:t>
      </w:r>
      <w:r>
        <w:rPr>
          <w:rFonts w:ascii="宋体" w:hAnsi="宋体" w:eastAsia="宋体"/>
          <w:color w:val="222222"/>
          <w:kern w:val="0"/>
          <w:sz w:val="24"/>
        </w:rPr>
        <w:t>从事</w:t>
      </w:r>
      <w:r>
        <w:fldChar w:fldCharType="begin"/>
      </w:r>
      <w:r>
        <w:instrText xml:space="preserve"> HYPERLINK "https://baike.baidu.com/item/%E6%96%B0%E9%97%BB%E5%AA%92%E4%BD%93/2715182" \t "_blank" </w:instrText>
      </w:r>
      <w:r>
        <w:fldChar w:fldCharType="separate"/>
      </w:r>
      <w:r>
        <w:rPr>
          <w:rFonts w:ascii="宋体" w:hAnsi="宋体" w:eastAsia="宋体"/>
          <w:color w:val="222222"/>
          <w:kern w:val="0"/>
          <w:sz w:val="24"/>
        </w:rPr>
        <w:t>新闻</w:t>
      </w:r>
      <w:r>
        <w:rPr>
          <w:rFonts w:hint="eastAsia" w:ascii="宋体" w:hAnsi="宋体" w:eastAsia="宋体"/>
          <w:color w:val="222222"/>
          <w:kern w:val="0"/>
          <w:sz w:val="24"/>
        </w:rPr>
        <w:t>报道</w:t>
      </w:r>
      <w:r>
        <w:rPr>
          <w:rFonts w:ascii="宋体" w:hAnsi="宋体" w:eastAsia="宋体"/>
          <w:color w:val="222222"/>
          <w:kern w:val="0"/>
          <w:sz w:val="24"/>
        </w:rPr>
        <w:fldChar w:fldCharType="end"/>
      </w:r>
      <w:r>
        <w:rPr>
          <w:rFonts w:ascii="宋体" w:hAnsi="宋体" w:eastAsia="宋体"/>
          <w:color w:val="222222"/>
          <w:kern w:val="0"/>
          <w:sz w:val="24"/>
        </w:rPr>
        <w:t>、</w:t>
      </w:r>
      <w:r>
        <w:fldChar w:fldCharType="begin"/>
      </w:r>
      <w:r>
        <w:instrText xml:space="preserve"> HYPERLINK "https://baike.baidu.com/item/%E8%88%86%E8%AE%BA%E5%AE%A3%E4%BC%A0/22600022" \t "_blank" </w:instrText>
      </w:r>
      <w:r>
        <w:fldChar w:fldCharType="separate"/>
      </w:r>
      <w:r>
        <w:rPr>
          <w:rFonts w:ascii="宋体" w:hAnsi="宋体" w:eastAsia="宋体"/>
          <w:color w:val="222222"/>
          <w:kern w:val="0"/>
          <w:sz w:val="24"/>
        </w:rPr>
        <w:t>舆论宣传</w:t>
      </w:r>
      <w:r>
        <w:rPr>
          <w:rFonts w:ascii="宋体" w:hAnsi="宋体" w:eastAsia="宋体"/>
          <w:color w:val="222222"/>
          <w:kern w:val="0"/>
          <w:sz w:val="24"/>
        </w:rPr>
        <w:fldChar w:fldCharType="end"/>
      </w:r>
      <w:r>
        <w:rPr>
          <w:rFonts w:ascii="宋体" w:hAnsi="宋体" w:eastAsia="宋体"/>
          <w:color w:val="222222"/>
          <w:kern w:val="0"/>
          <w:sz w:val="24"/>
        </w:rPr>
        <w:t>、出版发行、文化管理和教育科研等</w:t>
      </w:r>
      <w:r>
        <w:rPr>
          <w:rFonts w:hint="eastAsia" w:ascii="宋体" w:hAnsi="宋体" w:eastAsia="宋体"/>
          <w:color w:val="222222"/>
          <w:kern w:val="0"/>
          <w:sz w:val="24"/>
        </w:rPr>
        <w:t>方面的</w:t>
      </w:r>
      <w:r>
        <w:rPr>
          <w:rFonts w:ascii="宋体" w:hAnsi="宋体" w:eastAsia="宋体"/>
          <w:color w:val="222222"/>
          <w:kern w:val="0"/>
          <w:sz w:val="24"/>
        </w:rPr>
        <w:t>工作。</w:t>
      </w:r>
    </w:p>
    <w:p w14:paraId="61A65488">
      <w:pPr>
        <w:pStyle w:val="10"/>
        <w:snapToGrid w:val="0"/>
        <w:spacing w:line="360" w:lineRule="auto"/>
        <w:ind w:left="-555" w:firstLine="1120" w:firstLineChars="400"/>
        <w:rPr>
          <w:rFonts w:ascii="Times New Roman" w:hAnsi="Times New Roman" w:eastAsia="黑体"/>
          <w:bCs/>
          <w:sz w:val="28"/>
          <w:szCs w:val="28"/>
        </w:rPr>
      </w:pPr>
      <w:r>
        <w:rPr>
          <w:rFonts w:hint="eastAsia" w:ascii="Times New Roman" w:hAnsi="Times New Roman" w:eastAsia="黑体"/>
          <w:bCs/>
          <w:sz w:val="28"/>
          <w:szCs w:val="28"/>
        </w:rPr>
        <w:t>三、研究方向</w:t>
      </w:r>
    </w:p>
    <w:p w14:paraId="7742B5E4"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新闻与传播专业设置7个研究方向，培养特色人才。</w:t>
      </w:r>
    </w:p>
    <w:p w14:paraId="5700ECFC">
      <w:pPr>
        <w:widowControl/>
        <w:snapToGrid w:val="0"/>
        <w:spacing w:line="360" w:lineRule="auto"/>
        <w:ind w:firstLine="480" w:firstLineChars="200"/>
        <w:rPr>
          <w:rFonts w:ascii="宋体" w:hAnsi="宋体" w:eastAsia="宋体"/>
          <w:color w:val="222222"/>
          <w:kern w:val="0"/>
          <w:sz w:val="24"/>
        </w:rPr>
      </w:pPr>
      <w:bookmarkStart w:id="0" w:name="_Hlk200621635"/>
      <w:r>
        <w:rPr>
          <w:rFonts w:hint="eastAsia" w:ascii="宋体" w:hAnsi="宋体" w:eastAsia="宋体"/>
          <w:color w:val="222222"/>
          <w:kern w:val="0"/>
          <w:sz w:val="24"/>
        </w:rPr>
        <w:t>1.新闻实务</w:t>
      </w:r>
    </w:p>
    <w:p w14:paraId="59905B7C"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随着媒介技术的发展，主流媒体系统性变革以及传媒行业变迁对于调查性报道、解释性报道、新闻通讯、新闻评论等提出了更高的要求。本方向以高水平、专业化的新闻写作研究为旨归，要求学生熟悉世界经典新闻作品，熟练掌握调查性报道、解释性报道、新闻通讯、新闻评论等重要新闻体裁的写作方法。</w:t>
      </w:r>
    </w:p>
    <w:p w14:paraId="12127905"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2.融合新闻</w:t>
      </w:r>
    </w:p>
    <w:p w14:paraId="69B9678A"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由于融媒体技术和互联网的发展，传统传播方式和媒体格局发生巨大变化，网络视听与融合传播成为传媒行业发展的主流趋势。为适应数字化时代的发展需求，媒体深度融合、主流媒体系统性变革步伐加快，在此背景之下，“融合新闻”应运而生。本方向以培养融合新闻内容制作与传播人才为旨归，要求学生熟悉融合新闻相关理论，熟悉融合新闻经典案例，掌握融媒体技术等。</w:t>
      </w:r>
    </w:p>
    <w:p w14:paraId="08C61837"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3.新媒体运营与管理</w:t>
      </w:r>
    </w:p>
    <w:p w14:paraId="329BABDB"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本方向属于新闻传播学与信息学、经济学、管理学、市场营销学等多个学科交叉融合方向，注重探究主流媒体、互联网平台等媒介组织的运营管理活动特点，包括宏观上的发展战略，涉及中观层面的体制机制，涵盖微观上的运营行为，具有较强的实践性和应用性。本方向以培养新媒体经营管理人才为旨归，要求学生掌握相关理论，拥有从新媒体经营管理案例中凝练相关经验的能力。</w:t>
      </w:r>
    </w:p>
    <w:p w14:paraId="191CBB0A"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4.广告策划与创意</w:t>
      </w:r>
    </w:p>
    <w:p w14:paraId="7E40373C"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数字时代，媒体转型、互联网平台崛起、社交媒体应用，都对广告及品牌传播产生重要影响，本方向聚焦数字时代企业营销战略的核心领域，持续关注技术驱动下的广告产业及企业品牌传播形态变革，有效融合广告学理论与数字传播技术，培养适应时代发展，具有跨学科知识背景和“技术+创意+策划”三维复合能力的人才。</w:t>
      </w:r>
    </w:p>
    <w:p w14:paraId="0093F961"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5.媒介与社会治理</w:t>
      </w:r>
    </w:p>
    <w:p w14:paraId="47D2A606"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本方向以国家治理现代化中“共建共治共享”的社会治理格局为战略背景， 关注媒介变迁与社会发展之间的关系，媒介如何深度嵌入社会治理网络与赋能社会治理机制，研究主流媒体、社交媒体、政务媒体、互联网平台等在社会系统中的结构功能与治理形式，培养学生大数据与网络舆情监测、数据治理决策、互联网治理技术、社会舆论热点事件应对的能力，引导学生掌握跨学科方法，探讨算法伦理、数字治理等前沿议题，培养兼具战略视野和技术能力的高素质人才。</w:t>
      </w:r>
    </w:p>
    <w:p w14:paraId="77381F53"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6.智能传播</w:t>
      </w:r>
    </w:p>
    <w:p w14:paraId="3F16B514"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本方向立足技术革新、国家战略与传播生态重构的多重逻辑，引导学生深刻认识大数据、人工智能、多模态生成技术、算法推荐、大语言模型等推动传播智能化的内在机理，熟悉算法推荐、AIGC内容生产等技术对于传媒生态变迁的影响，聚焦当下传播领域出现的新问题与新现象，以全媒体视角探索人类传播活动的客观规律、信息传播模式变迁与互联网传播的多元效果，培养具有“技术+伦理+传播”能力的高素质人才。</w:t>
      </w:r>
    </w:p>
    <w:p w14:paraId="652D98E7"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7.文化传播</w:t>
      </w:r>
    </w:p>
    <w:p w14:paraId="214FD18D">
      <w:pPr>
        <w:widowControl/>
        <w:snapToGrid w:val="0"/>
        <w:spacing w:line="360" w:lineRule="auto"/>
        <w:ind w:firstLine="480" w:firstLineChars="200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本方向以培养数字时代文化传播与创意人才为旨归，侧重将中华优秀传统文化元素与创意、技术、传播相结合，适应跨文化交流与融合的发展趋势，引导学生深刻理解技术应用、文化创意和媒体传播特点与规律。本方向融合文学、美学、哲学、史学、人类学、心理学、计算机科学与技术等学科，拓展学生的文化视野和数字素养。要求学生熟悉文化产业政策与法规，掌握文化传播理论与研究文献，了解文化经典案例。</w:t>
      </w:r>
      <w:bookmarkEnd w:id="0"/>
    </w:p>
    <w:p w14:paraId="50816DB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ascii="Times New Roman" w:hAnsi="Times New Roman" w:eastAsia="黑体"/>
          <w:bCs/>
          <w:sz w:val="28"/>
          <w:szCs w:val="28"/>
        </w:rPr>
      </w:pPr>
      <w:r>
        <w:rPr>
          <w:rFonts w:ascii="Times New Roman" w:hAnsi="Times New Roman" w:eastAsia="黑体"/>
          <w:bCs/>
          <w:sz w:val="28"/>
          <w:szCs w:val="28"/>
        </w:rPr>
        <w:t>四</w:t>
      </w:r>
      <w:r>
        <w:rPr>
          <w:rFonts w:hint="eastAsia" w:ascii="Times New Roman" w:hAnsi="Times New Roman" w:eastAsia="黑体"/>
          <w:bCs/>
          <w:sz w:val="28"/>
          <w:szCs w:val="28"/>
        </w:rPr>
        <w:t>、学制及学习年限</w:t>
      </w:r>
    </w:p>
    <w:p w14:paraId="30D025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iCs/>
          <w:sz w:val="24"/>
        </w:rPr>
      </w:pPr>
      <w:r>
        <w:rPr>
          <w:rFonts w:hint="eastAsia" w:ascii="宋体" w:hAnsi="宋体" w:eastAsia="宋体"/>
          <w:iCs/>
          <w:sz w:val="24"/>
        </w:rPr>
        <w:t>本专业学制为3年，在校最长学习年限（含休学）不超过6年。</w:t>
      </w:r>
    </w:p>
    <w:p w14:paraId="2DF680B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ascii="Times New Roman" w:hAnsi="Times New Roman" w:eastAsia="黑体"/>
          <w:bCs/>
          <w:sz w:val="28"/>
          <w:szCs w:val="28"/>
        </w:rPr>
      </w:pPr>
      <w:r>
        <w:rPr>
          <w:rFonts w:hint="eastAsia" w:ascii="Times New Roman" w:hAnsi="Times New Roman" w:eastAsia="黑体"/>
          <w:bCs/>
          <w:sz w:val="28"/>
          <w:szCs w:val="28"/>
        </w:rPr>
        <w:t>五、培养目标</w:t>
      </w:r>
    </w:p>
    <w:p w14:paraId="6B52E7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1.</w:t>
      </w:r>
      <w:r>
        <w:rPr>
          <w:rFonts w:hint="eastAsia" w:ascii="宋体" w:hAnsi="宋体" w:eastAsia="宋体"/>
          <w:color w:val="222222"/>
          <w:kern w:val="0"/>
          <w:sz w:val="24"/>
          <w:lang w:val="en-US" w:eastAsia="zh-CN"/>
        </w:rPr>
        <w:t>践行社会主义核心价值观</w:t>
      </w:r>
      <w:r>
        <w:rPr>
          <w:rFonts w:hint="eastAsia" w:ascii="宋体" w:hAnsi="宋体" w:eastAsia="宋体"/>
          <w:color w:val="222222"/>
          <w:kern w:val="0"/>
          <w:sz w:val="24"/>
        </w:rPr>
        <w:t>，具有良好的思想政治素质，高尚的职业道德情操，优良的学术作风，高度的社会责任感。</w:t>
      </w:r>
    </w:p>
    <w:p w14:paraId="1744D33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2.有深厚的新闻传播理论基础、扎实的专业技能、突出的实践能力和优秀的综合素质。</w:t>
      </w:r>
    </w:p>
    <w:p w14:paraId="40D43B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3.至少掌握一门外国语，能熟练阅读本专业及相关专业的外文资料，具有</w:t>
      </w:r>
      <w:r>
        <w:rPr>
          <w:rFonts w:hint="eastAsia" w:ascii="宋体" w:hAnsi="宋体" w:eastAsia="宋体"/>
          <w:color w:val="222222"/>
          <w:kern w:val="0"/>
          <w:sz w:val="24"/>
          <w:lang w:val="en-US" w:eastAsia="zh-CN"/>
        </w:rPr>
        <w:t>用外文</w:t>
      </w:r>
      <w:r>
        <w:rPr>
          <w:rFonts w:hint="eastAsia" w:ascii="宋体" w:hAnsi="宋体" w:eastAsia="宋体"/>
          <w:color w:val="222222"/>
          <w:kern w:val="0"/>
          <w:sz w:val="24"/>
        </w:rPr>
        <w:t>撰写学术论文和进行国际学术交流的能力。</w:t>
      </w:r>
    </w:p>
    <w:p w14:paraId="3456BF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4.具有良好的团队意识和团队合作精神。</w:t>
      </w:r>
    </w:p>
    <w:p w14:paraId="22395E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hint="eastAsia" w:ascii="宋体" w:hAnsi="宋体" w:eastAsia="宋体"/>
          <w:color w:val="222222"/>
          <w:kern w:val="0"/>
          <w:sz w:val="24"/>
        </w:rPr>
        <w:t>5.具有健康的身体和良好的心理素质。</w:t>
      </w:r>
    </w:p>
    <w:p w14:paraId="1DF2EAB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ascii="Times New Roman" w:hAnsi="Times New Roman" w:eastAsia="黑体"/>
          <w:bCs/>
          <w:sz w:val="28"/>
          <w:szCs w:val="28"/>
        </w:rPr>
      </w:pPr>
      <w:r>
        <w:rPr>
          <w:rFonts w:hint="eastAsia" w:ascii="Times New Roman" w:hAnsi="Times New Roman" w:eastAsia="黑体"/>
          <w:bCs/>
          <w:sz w:val="28"/>
          <w:szCs w:val="28"/>
        </w:rPr>
        <w:t>六、培养方式</w:t>
      </w:r>
    </w:p>
    <w:p w14:paraId="55AA13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bookmarkStart w:id="1" w:name="_Hlk196137594"/>
      <w:r>
        <w:rPr>
          <w:rFonts w:hint="eastAsia" w:ascii="宋体" w:hAnsi="宋体"/>
          <w:color w:val="000000"/>
          <w:sz w:val="24"/>
        </w:rPr>
        <w:t>第一、二、三学期在校</w:t>
      </w:r>
      <w:r>
        <w:rPr>
          <w:rFonts w:hint="eastAsia" w:ascii="宋体" w:hAnsi="宋体"/>
          <w:color w:val="000000"/>
          <w:sz w:val="24"/>
          <w:lang w:val="en-US" w:eastAsia="zh-CN"/>
        </w:rPr>
        <w:t>进行</w:t>
      </w:r>
      <w:r>
        <w:rPr>
          <w:rFonts w:hint="eastAsia" w:ascii="宋体" w:hAnsi="宋体"/>
          <w:color w:val="000000"/>
          <w:sz w:val="24"/>
        </w:rPr>
        <w:t>全日制课程学习与实践训练，第四、五、六学期</w:t>
      </w:r>
      <w:r>
        <w:rPr>
          <w:rFonts w:hint="eastAsia" w:ascii="宋体" w:hAnsi="宋体"/>
          <w:color w:val="000000"/>
          <w:sz w:val="24"/>
          <w:lang w:val="en-US" w:eastAsia="zh-CN"/>
        </w:rPr>
        <w:t>进行</w:t>
      </w:r>
      <w:r>
        <w:rPr>
          <w:rFonts w:hint="eastAsia" w:ascii="宋体" w:hAnsi="宋体"/>
          <w:color w:val="000000"/>
          <w:sz w:val="24"/>
        </w:rPr>
        <w:t>专业实习、毕业论文写作与实践成果研发。实行导师组集体指导与导师指导相结合，聘请有行业实践经验的专家作为业界导师共同承担指导工作。</w:t>
      </w:r>
    </w:p>
    <w:bookmarkEnd w:id="1"/>
    <w:p w14:paraId="5E9F5A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ascii="Times New Roman" w:hAnsi="Times New Roman" w:eastAsia="黑体"/>
          <w:bCs/>
          <w:sz w:val="28"/>
          <w:szCs w:val="28"/>
        </w:rPr>
      </w:pPr>
      <w:r>
        <w:rPr>
          <w:rFonts w:hint="eastAsia" w:ascii="Times New Roman" w:hAnsi="Times New Roman" w:eastAsia="黑体"/>
          <w:bCs/>
          <w:sz w:val="28"/>
          <w:szCs w:val="28"/>
        </w:rPr>
        <w:t>七、中期筛选</w:t>
      </w:r>
    </w:p>
    <w:p w14:paraId="70332F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在完成培养方案规定的课程学习、考核成绩合格、获得规定的学分后，按照《河北大学研究生中期筛选管理办法》（校政字〔2021〕15号）的相关规定，组织开展中期筛选工作。</w:t>
      </w:r>
    </w:p>
    <w:p w14:paraId="5C8557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ascii="Times New Roman" w:hAnsi="Times New Roman"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2" w:name="_Hlk196137697"/>
      <w:r>
        <w:rPr>
          <w:rFonts w:hint="eastAsia" w:ascii="Times New Roman" w:hAnsi="Times New Roman"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八、</w:t>
      </w:r>
      <w:r>
        <w:rPr>
          <w:rFonts w:ascii="Times New Roman" w:hAnsi="Times New Roman" w:eastAsia="黑体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学位（毕业）论文</w:t>
      </w:r>
    </w:p>
    <w:bookmarkEnd w:id="2"/>
    <w:p w14:paraId="4D914A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bookmarkStart w:id="3" w:name="_Hlk196137690"/>
      <w:r>
        <w:rPr>
          <w:rFonts w:ascii="宋体" w:hAnsi="宋体" w:eastAsia="宋体"/>
          <w:color w:val="222222"/>
          <w:kern w:val="0"/>
          <w:sz w:val="24"/>
        </w:rPr>
        <w:t>1.总体要求：按照《河北大学关于开展2025版研究生培养方案修订工作的指导意见》（校政字〔2025〕</w:t>
      </w:r>
      <w:r>
        <w:rPr>
          <w:rFonts w:hint="eastAsia" w:ascii="宋体" w:hAnsi="宋体" w:eastAsia="宋体"/>
          <w:color w:val="222222"/>
          <w:kern w:val="0"/>
          <w:sz w:val="24"/>
          <w:lang w:val="en-US" w:eastAsia="zh-CN"/>
        </w:rPr>
        <w:t>9</w:t>
      </w:r>
      <w:r>
        <w:rPr>
          <w:rFonts w:ascii="宋体" w:hAnsi="宋体" w:eastAsia="宋体"/>
          <w:color w:val="222222"/>
          <w:kern w:val="0"/>
          <w:sz w:val="24"/>
        </w:rPr>
        <w:t>号）规定，硕士研究生论文开题与答辩时间间隔原则上不少于12个月。学位（毕业）论文应当表明作者具有独立从事学术研究工作的能力，鼓励硕士研究生参与科学研究，取得创新性成果</w:t>
      </w:r>
      <w:r>
        <w:rPr>
          <w:rFonts w:hint="eastAsia" w:ascii="宋体" w:hAnsi="宋体" w:eastAsia="宋体"/>
          <w:color w:val="222222"/>
          <w:kern w:val="0"/>
          <w:sz w:val="24"/>
        </w:rPr>
        <w:t>。</w:t>
      </w:r>
    </w:p>
    <w:p w14:paraId="59DF1A3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2.开题：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5EFDAB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原则上在入学后第</w:t>
      </w:r>
      <w:r>
        <w:rPr>
          <w:rFonts w:hint="eastAsia" w:ascii="宋体" w:hAnsi="宋体" w:eastAsia="宋体"/>
          <w:color w:val="222222"/>
          <w:kern w:val="0"/>
          <w:sz w:val="24"/>
        </w:rPr>
        <w:t>3</w:t>
      </w:r>
      <w:r>
        <w:rPr>
          <w:rFonts w:ascii="宋体" w:hAnsi="宋体" w:eastAsia="宋体"/>
          <w:color w:val="222222"/>
          <w:kern w:val="0"/>
          <w:sz w:val="24"/>
        </w:rPr>
        <w:t>学期完成开题。开题由3-5名具有高级专业技术职务人员参加，以学术报告的方式进行。</w:t>
      </w:r>
    </w:p>
    <w:p w14:paraId="44B8F4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3.中期进展报告：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067A01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4.学位申请：达到学位授予条件的申请人，经导师同意后，应于答辩前三个月，向所属学位评定分委员会提出学位申请，提交学位申请材料。</w:t>
      </w:r>
    </w:p>
    <w:p w14:paraId="118588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5.预答辩：学位申请人须进行学位论文预答辩。预答辩通过者，方可进入学位论文评阅、学位论文答辩等环节。学位（毕业）论文预答辩在正式答辩前3个月进行。</w:t>
      </w:r>
    </w:p>
    <w:p w14:paraId="4AE41A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6.论文评阅：学位（毕业）论文在获得导师组认可，经培养单位形式审查合格，并通过预答辩，方可提出进入评阅程序的申请。论文评阅在正式答辩前40天由研究生提出，由培养单位依据相关规定进行匿名评审。评阅结果及异议处理按照《河北大学研究生学位论文或者实践成果评审管理办法》（校政字〔2025〕8号）执行。</w:t>
      </w:r>
    </w:p>
    <w:p w14:paraId="2BC7AED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7.答辩：学位（毕业）论文答辩按照《河北大学博士、硕士学位授予工作实施细则》（校政字〔2025〕7号）执行。</w:t>
      </w:r>
    </w:p>
    <w:bookmarkEnd w:id="3"/>
    <w:p w14:paraId="264998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ascii="Times New Roman" w:hAnsi="Times New Roman" w:eastAsia="黑体"/>
          <w:bCs/>
          <w:sz w:val="28"/>
          <w:szCs w:val="28"/>
        </w:rPr>
      </w:pPr>
      <w:bookmarkStart w:id="4" w:name="_Hlk196137745"/>
      <w:r>
        <w:rPr>
          <w:rFonts w:hint="eastAsia" w:ascii="Times New Roman" w:hAnsi="Times New Roman" w:eastAsia="黑体"/>
          <w:bCs/>
          <w:sz w:val="28"/>
          <w:szCs w:val="28"/>
        </w:rPr>
        <w:t>九、毕业条件</w:t>
      </w:r>
    </w:p>
    <w:p w14:paraId="7FB3EAB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1.课程学习。研究生在规定修业年限内完成培养方案规定的课程学习，考核成绩合格，获得规定的学分。</w:t>
      </w:r>
    </w:p>
    <w:p w14:paraId="343F7C5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2.学术</w:t>
      </w:r>
      <w:r>
        <w:rPr>
          <w:rFonts w:hint="eastAsia" w:ascii="宋体" w:hAnsi="宋体" w:eastAsia="宋体"/>
          <w:color w:val="222222"/>
          <w:kern w:val="0"/>
          <w:sz w:val="24"/>
        </w:rPr>
        <w:t>/</w:t>
      </w:r>
      <w:r>
        <w:rPr>
          <w:rFonts w:ascii="宋体" w:hAnsi="宋体" w:eastAsia="宋体"/>
          <w:color w:val="222222"/>
          <w:kern w:val="0"/>
          <w:sz w:val="24"/>
        </w:rPr>
        <w:t>实践活动。研究生在读期间至少需要完成两类活动中的一类：</w:t>
      </w:r>
    </w:p>
    <w:p w14:paraId="0292E3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（1）学术活动：研究生在读期间参加不少</w:t>
      </w:r>
      <w:r>
        <w:rPr>
          <w:rFonts w:hint="eastAsia" w:ascii="宋体" w:hAnsi="宋体" w:eastAsia="宋体"/>
          <w:color w:val="222222"/>
          <w:kern w:val="0"/>
          <w:sz w:val="24"/>
        </w:rPr>
        <w:t>于10</w:t>
      </w:r>
      <w:r>
        <w:rPr>
          <w:rFonts w:ascii="宋体" w:hAnsi="宋体" w:eastAsia="宋体"/>
          <w:color w:val="222222"/>
          <w:kern w:val="0"/>
          <w:sz w:val="24"/>
        </w:rPr>
        <w:t>次学术活动，并撰写学术报告小结；以主讲人或宣讲人身份，参加在校内外举行的学术报告或学术讲座不少</w:t>
      </w:r>
      <w:r>
        <w:rPr>
          <w:rFonts w:hint="eastAsia" w:ascii="宋体" w:hAnsi="宋体" w:eastAsia="宋体"/>
          <w:color w:val="222222"/>
          <w:kern w:val="0"/>
          <w:sz w:val="24"/>
        </w:rPr>
        <w:t>于1</w:t>
      </w:r>
      <w:r>
        <w:rPr>
          <w:rFonts w:ascii="宋体" w:hAnsi="宋体" w:eastAsia="宋体"/>
          <w:color w:val="222222"/>
          <w:kern w:val="0"/>
          <w:sz w:val="24"/>
        </w:rPr>
        <w:t>次。</w:t>
      </w:r>
    </w:p>
    <w:p w14:paraId="5830D4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（2）实践活动：参与本专业相关的社会实践，由相关单位出具相关实践证明材料；或组织开展与本专业相关的调查、考察等活动，并提交相关报告。</w:t>
      </w:r>
      <w:r>
        <w:rPr>
          <w:rFonts w:hint="eastAsia" w:ascii="宋体" w:hAnsi="宋体" w:eastAsia="宋体"/>
          <w:color w:val="222222"/>
          <w:kern w:val="0"/>
          <w:sz w:val="24"/>
        </w:rPr>
        <w:t>新闻与传播专业学生需在本专业相关岗位实习不少于3个月，提交不少于3000字的实习报告。</w:t>
      </w:r>
    </w:p>
    <w:p w14:paraId="645E572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3.符合提前毕业条件的研究生，可按照学校相关规定申请提前毕业。</w:t>
      </w:r>
    </w:p>
    <w:p w14:paraId="1242C4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4.论文答辩。学位（毕业）论文经专家评审合格、通过学位（毕业）答辩，符合毕业资格审查后，准予毕业。</w:t>
      </w:r>
    </w:p>
    <w:bookmarkEnd w:id="4"/>
    <w:p w14:paraId="73647CC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、创新性成果</w:t>
      </w:r>
    </w:p>
    <w:p w14:paraId="49319A8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eastAsiaTheme="minorEastAsia"/>
          <w:color w:val="000000"/>
          <w:sz w:val="24"/>
          <w:lang w:val="en-US" w:eastAsia="zh-CN"/>
        </w:rPr>
      </w:pPr>
      <w:r>
        <w:rPr>
          <w:rFonts w:hint="eastAsia" w:eastAsiaTheme="minorEastAsia"/>
          <w:color w:val="000000"/>
          <w:sz w:val="24"/>
        </w:rPr>
        <w:t>鼓励研究生参加导师相关课题研究，鼓励研究生参加学科专业竞赛，取得的相关创新性成果根据学校三好学生评定、学院奖学金评定、</w:t>
      </w:r>
      <w:bookmarkStart w:id="5" w:name="OLE_LINK11"/>
      <w:r>
        <w:rPr>
          <w:rFonts w:hint="eastAsia" w:eastAsiaTheme="minorEastAsia"/>
          <w:color w:val="000000"/>
          <w:sz w:val="24"/>
        </w:rPr>
        <w:t>硕博连读推荐</w:t>
      </w:r>
      <w:bookmarkEnd w:id="5"/>
      <w:r>
        <w:rPr>
          <w:rFonts w:hint="eastAsia" w:eastAsiaTheme="minorEastAsia"/>
          <w:color w:val="000000"/>
          <w:sz w:val="24"/>
        </w:rPr>
        <w:t>等文件，适当给予加分或优先推荐。</w:t>
      </w:r>
      <w:r>
        <w:rPr>
          <w:rFonts w:hint="eastAsia" w:eastAsiaTheme="minorEastAsia"/>
          <w:color w:val="000000"/>
          <w:sz w:val="24"/>
          <w:lang w:val="en-US" w:eastAsia="zh-CN"/>
        </w:rPr>
        <w:t>具体要求与标准见《新闻传播学院关于研究生申请学位取得创新性成果的规定》。</w:t>
      </w:r>
    </w:p>
    <w:p w14:paraId="41B1F8C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十一、学位授予</w:t>
      </w:r>
    </w:p>
    <w:p w14:paraId="63A0A9A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  <w:r>
        <w:rPr>
          <w:rFonts w:ascii="宋体" w:hAnsi="宋体" w:eastAsia="宋体"/>
          <w:color w:val="222222"/>
          <w:kern w:val="0"/>
          <w:sz w:val="24"/>
        </w:rPr>
        <w:t>研究生通过毕业资格审查，满足</w:t>
      </w:r>
      <w:r>
        <w:rPr>
          <w:rFonts w:hint="eastAsia" w:ascii="宋体" w:hAnsi="宋体" w:eastAsia="宋体"/>
          <w:color w:val="222222"/>
          <w:kern w:val="0"/>
          <w:sz w:val="24"/>
        </w:rPr>
        <w:t>本学院</w:t>
      </w:r>
      <w:r>
        <w:rPr>
          <w:rFonts w:ascii="宋体" w:hAnsi="宋体" w:eastAsia="宋体"/>
          <w:color w:val="222222"/>
          <w:kern w:val="0"/>
          <w:sz w:val="24"/>
        </w:rPr>
        <w:t>制定的创新性成果要求，符合《河北大学博士、硕士学位授予工作实施细则》（校政字〔2025〕7号）的有关规定，达到学校学位授予标准，经学校学位评定委员会审议，授予硕士学位。</w:t>
      </w:r>
    </w:p>
    <w:p w14:paraId="47F2CA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560" w:firstLineChars="200"/>
        <w:textAlignment w:val="auto"/>
        <w:rPr>
          <w:rFonts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二</w:t>
      </w:r>
      <w:r>
        <w:rPr>
          <w:rFonts w:eastAsia="黑体"/>
          <w:bCs/>
          <w:sz w:val="28"/>
          <w:szCs w:val="28"/>
        </w:rPr>
        <w:t>、学分及课程设置</w:t>
      </w:r>
    </w:p>
    <w:p w14:paraId="2DA073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222222"/>
          <w:kern w:val="0"/>
          <w:sz w:val="24"/>
        </w:rPr>
      </w:pPr>
      <w:r>
        <w:rPr>
          <w:rFonts w:eastAsiaTheme="minorEastAsia"/>
          <w:color w:val="000000"/>
          <w:sz w:val="24"/>
        </w:rPr>
        <w:t>本</w:t>
      </w:r>
      <w:r>
        <w:rPr>
          <w:rFonts w:hint="eastAsia" w:ascii="宋体" w:hAnsi="宋体" w:eastAsia="宋体" w:cs="宋体"/>
          <w:color w:val="000000"/>
          <w:sz w:val="24"/>
        </w:rPr>
        <w:t>专业最低毕业学分为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42学</w:t>
      </w:r>
      <w:r>
        <w:rPr>
          <w:rFonts w:hint="eastAsia" w:ascii="宋体" w:hAnsi="宋体" w:eastAsia="宋体" w:cs="宋体"/>
          <w:color w:val="000000"/>
          <w:sz w:val="24"/>
        </w:rPr>
        <w:t>分，其中学位课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19</w:t>
      </w:r>
      <w:r>
        <w:rPr>
          <w:rFonts w:hint="eastAsia" w:ascii="宋体" w:hAnsi="宋体" w:eastAsia="宋体" w:cs="宋体"/>
          <w:color w:val="auto"/>
          <w:sz w:val="24"/>
        </w:rPr>
        <w:t>学</w:t>
      </w:r>
      <w:r>
        <w:rPr>
          <w:rFonts w:hint="eastAsia" w:ascii="宋体" w:hAnsi="宋体" w:eastAsia="宋体" w:cs="宋体"/>
          <w:color w:val="000000"/>
          <w:sz w:val="24"/>
        </w:rPr>
        <w:t>分，非学位课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18</w:t>
      </w:r>
      <w:r>
        <w:rPr>
          <w:rFonts w:hint="eastAsia" w:ascii="宋体" w:hAnsi="宋体" w:eastAsia="宋体" w:cs="宋体"/>
          <w:color w:val="000000"/>
          <w:sz w:val="24"/>
        </w:rPr>
        <w:t>学分，必修环节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5学</w:t>
      </w:r>
      <w:r>
        <w:rPr>
          <w:rFonts w:hint="eastAsia" w:ascii="宋体" w:hAnsi="宋体" w:eastAsia="宋体" w:cs="宋体"/>
          <w:color w:val="000000"/>
          <w:sz w:val="24"/>
        </w:rPr>
        <w:t>分（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其中</w:t>
      </w:r>
      <w:r>
        <w:rPr>
          <w:rFonts w:hint="eastAsia" w:ascii="宋体" w:hAnsi="宋体" w:eastAsia="宋体" w:cs="宋体"/>
          <w:color w:val="000000"/>
          <w:sz w:val="24"/>
        </w:rPr>
        <w:t>实习实践活动4学分）。</w:t>
      </w:r>
    </w:p>
    <w:p w14:paraId="11319D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222222"/>
          <w:kern w:val="0"/>
          <w:sz w:val="24"/>
        </w:rPr>
      </w:pPr>
      <w:r>
        <w:rPr>
          <w:rFonts w:hint="eastAsia" w:ascii="宋体" w:hAnsi="宋体" w:eastAsia="宋体" w:cs="宋体"/>
          <w:color w:val="222222"/>
          <w:kern w:val="0"/>
          <w:sz w:val="24"/>
        </w:rPr>
        <w:t>研究生课程考试不设补考环节，考试成绩低</w:t>
      </w:r>
      <w:r>
        <w:rPr>
          <w:rFonts w:hint="eastAsia" w:ascii="宋体" w:hAnsi="宋体" w:eastAsia="宋体" w:cs="宋体"/>
          <w:color w:val="222222"/>
          <w:kern w:val="0"/>
          <w:sz w:val="24"/>
          <w:highlight w:val="none"/>
        </w:rPr>
        <w:t>于60分</w:t>
      </w:r>
      <w:r>
        <w:rPr>
          <w:rFonts w:hint="eastAsia" w:ascii="宋体" w:hAnsi="宋体" w:eastAsia="宋体" w:cs="宋体"/>
          <w:color w:val="222222"/>
          <w:kern w:val="0"/>
          <w:sz w:val="24"/>
        </w:rPr>
        <w:t>的需重修。</w:t>
      </w:r>
    </w:p>
    <w:p w14:paraId="1050F1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222222"/>
          <w:kern w:val="0"/>
          <w:sz w:val="24"/>
        </w:rPr>
      </w:pPr>
      <w:r>
        <w:rPr>
          <w:rFonts w:hint="eastAsia" w:ascii="宋体" w:hAnsi="宋体" w:eastAsia="宋体" w:cs="宋体"/>
          <w:color w:val="222222"/>
          <w:kern w:val="0"/>
          <w:sz w:val="24"/>
        </w:rPr>
        <w:t>课程考核方式包括考试和考查，可以采用口试、笔试或写读书报告、论文的形式。无论采取何种考核方式，均应能真实反映学生对所学课程掌握的程度及运用知识的能力，成绩均按百分制成绩评定。</w:t>
      </w:r>
    </w:p>
    <w:p w14:paraId="310A18D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 w:cs="宋体"/>
          <w:color w:val="222222"/>
          <w:kern w:val="0"/>
          <w:sz w:val="24"/>
        </w:rPr>
      </w:pPr>
    </w:p>
    <w:p w14:paraId="52DA567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</w:p>
    <w:p w14:paraId="08C4DC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</w:p>
    <w:p w14:paraId="15F82B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</w:p>
    <w:p w14:paraId="3C3A37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</w:p>
    <w:p w14:paraId="7CA919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</w:p>
    <w:p w14:paraId="54687E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</w:p>
    <w:p w14:paraId="680919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</w:p>
    <w:p w14:paraId="3B4684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</w:p>
    <w:p w14:paraId="243D65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</w:p>
    <w:p w14:paraId="10A6CB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</w:p>
    <w:p w14:paraId="01EE13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</w:p>
    <w:p w14:paraId="6B7551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</w:p>
    <w:p w14:paraId="7630F6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firstLine="480" w:firstLineChars="200"/>
        <w:textAlignment w:val="auto"/>
        <w:rPr>
          <w:rFonts w:hint="eastAsia" w:ascii="宋体" w:hAnsi="宋体" w:eastAsia="宋体"/>
          <w:color w:val="222222"/>
          <w:kern w:val="0"/>
          <w:sz w:val="24"/>
        </w:rPr>
      </w:pPr>
    </w:p>
    <w:p w14:paraId="0A32C6C6">
      <w:pPr>
        <w:spacing w:line="360" w:lineRule="auto"/>
        <w:ind w:firstLine="482"/>
        <w:jc w:val="center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iCs/>
          <w:sz w:val="24"/>
        </w:rPr>
        <w:t>新闻与传播</w:t>
      </w:r>
      <w:r>
        <w:rPr>
          <w:rFonts w:hint="eastAsia" w:ascii="Times New Roman" w:hAnsi="Times New Roman"/>
          <w:b/>
          <w:bCs/>
          <w:sz w:val="24"/>
        </w:rPr>
        <w:t>全日制专业学位硕士研究生课程设置一览表</w:t>
      </w:r>
    </w:p>
    <w:tbl>
      <w:tblPr>
        <w:tblStyle w:val="5"/>
        <w:tblW w:w="954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9"/>
        <w:gridCol w:w="1345"/>
        <w:gridCol w:w="3638"/>
        <w:gridCol w:w="1276"/>
        <w:gridCol w:w="788"/>
        <w:gridCol w:w="709"/>
        <w:gridCol w:w="1146"/>
      </w:tblGrid>
      <w:tr w14:paraId="151375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gridSpan w:val="2"/>
            <w:vAlign w:val="center"/>
          </w:tcPr>
          <w:p w14:paraId="765B57EA">
            <w:pPr>
              <w:jc w:val="center"/>
              <w:rPr>
                <w:rFonts w:hint="eastAsia" w:asciiTheme="minorEastAsia" w:hAnsi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</w:tc>
        <w:tc>
          <w:tcPr>
            <w:tcW w:w="3638" w:type="dxa"/>
            <w:vAlign w:val="center"/>
          </w:tcPr>
          <w:p w14:paraId="2D4451BF">
            <w:pPr>
              <w:jc w:val="center"/>
              <w:rPr>
                <w:rFonts w:hint="eastAsia" w:asciiTheme="minorEastAsia" w:hAnsi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课程说明</w:t>
            </w:r>
          </w:p>
        </w:tc>
        <w:tc>
          <w:tcPr>
            <w:tcW w:w="1276" w:type="dxa"/>
            <w:vAlign w:val="center"/>
          </w:tcPr>
          <w:p w14:paraId="24055567">
            <w:pPr>
              <w:jc w:val="center"/>
              <w:rPr>
                <w:rFonts w:hint="eastAsia" w:asciiTheme="minorEastAsia" w:hAnsi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课程编号</w:t>
            </w:r>
          </w:p>
        </w:tc>
        <w:tc>
          <w:tcPr>
            <w:tcW w:w="788" w:type="dxa"/>
            <w:vAlign w:val="center"/>
          </w:tcPr>
          <w:p w14:paraId="58A9D41A">
            <w:pPr>
              <w:jc w:val="center"/>
              <w:rPr>
                <w:rFonts w:hint="eastAsia" w:asciiTheme="minorEastAsia" w:hAnsi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</w:tc>
        <w:tc>
          <w:tcPr>
            <w:tcW w:w="709" w:type="dxa"/>
            <w:vAlign w:val="center"/>
          </w:tcPr>
          <w:p w14:paraId="52956527">
            <w:pPr>
              <w:jc w:val="center"/>
              <w:rPr>
                <w:rFonts w:hint="eastAsia" w:asciiTheme="minorEastAsia" w:hAnsi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学期</w:t>
            </w:r>
          </w:p>
        </w:tc>
        <w:tc>
          <w:tcPr>
            <w:tcW w:w="1146" w:type="dxa"/>
            <w:vAlign w:val="center"/>
          </w:tcPr>
          <w:p w14:paraId="30EF45E6">
            <w:pPr>
              <w:jc w:val="center"/>
              <w:rPr>
                <w:rFonts w:hint="eastAsia" w:asciiTheme="minorEastAsia" w:hAnsiTheme="minorEastAsia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A2A530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  <w:jc w:val="center"/>
        </w:trPr>
        <w:tc>
          <w:tcPr>
            <w:tcW w:w="639" w:type="dxa"/>
            <w:vMerge w:val="restart"/>
            <w:vAlign w:val="center"/>
          </w:tcPr>
          <w:p w14:paraId="3456EC5C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 w14:paraId="4EFA3CE7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位</w:t>
            </w:r>
          </w:p>
          <w:p w14:paraId="1FDED5C8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</w:tc>
        <w:tc>
          <w:tcPr>
            <w:tcW w:w="1345" w:type="dxa"/>
            <w:vMerge w:val="restart"/>
            <w:vAlign w:val="center"/>
          </w:tcPr>
          <w:p w14:paraId="04923AE3"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公共必修课</w:t>
            </w:r>
          </w:p>
          <w:p w14:paraId="7A47C03B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638" w:type="dxa"/>
            <w:vAlign w:val="center"/>
          </w:tcPr>
          <w:p w14:paraId="47C3E0EF">
            <w:pPr>
              <w:rPr>
                <w:rFonts w:hint="eastAsia" w:asciiTheme="minorEastAsia" w:hAnsi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新时代中国特色社会主义理论与实践</w:t>
            </w:r>
          </w:p>
        </w:tc>
        <w:tc>
          <w:tcPr>
            <w:tcW w:w="1276" w:type="dxa"/>
            <w:vAlign w:val="center"/>
          </w:tcPr>
          <w:p w14:paraId="150F2546"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TS0000001</w:t>
            </w:r>
          </w:p>
        </w:tc>
        <w:tc>
          <w:tcPr>
            <w:tcW w:w="788" w:type="dxa"/>
            <w:vAlign w:val="center"/>
          </w:tcPr>
          <w:p w14:paraId="4DB3F66C">
            <w:pPr>
              <w:jc w:val="center"/>
              <w:rPr>
                <w:rFonts w:hint="eastAsia" w:asciiTheme="minorEastAsia" w:hAnsi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709" w:type="dxa"/>
            <w:vAlign w:val="center"/>
          </w:tcPr>
          <w:p w14:paraId="06D739EF">
            <w:pPr>
              <w:jc w:val="center"/>
              <w:rPr>
                <w:rFonts w:hint="eastAsia" w:asciiTheme="minorEastAsia" w:hAnsi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46" w:type="dxa"/>
            <w:vAlign w:val="center"/>
          </w:tcPr>
          <w:p w14:paraId="54678A1C">
            <w:pPr>
              <w:jc w:val="center"/>
              <w:rPr>
                <w:rFonts w:hint="eastAsia" w:asciiTheme="minorEastAsia" w:hAnsi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78E2A1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" w:hRule="atLeast"/>
          <w:jc w:val="center"/>
        </w:trPr>
        <w:tc>
          <w:tcPr>
            <w:tcW w:w="639" w:type="dxa"/>
            <w:vMerge w:val="continue"/>
            <w:vAlign w:val="center"/>
          </w:tcPr>
          <w:p w14:paraId="0E81CE11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33668C4D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vAlign w:val="center"/>
          </w:tcPr>
          <w:p w14:paraId="41E64646">
            <w:pPr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通用学术英语</w:t>
            </w:r>
          </w:p>
        </w:tc>
        <w:tc>
          <w:tcPr>
            <w:tcW w:w="1276" w:type="dxa"/>
            <w:vAlign w:val="center"/>
          </w:tcPr>
          <w:p w14:paraId="39FACF87"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TS0000002</w:t>
            </w:r>
          </w:p>
        </w:tc>
        <w:tc>
          <w:tcPr>
            <w:tcW w:w="788" w:type="dxa"/>
            <w:vAlign w:val="center"/>
          </w:tcPr>
          <w:p w14:paraId="3D23AA7E">
            <w:pPr>
              <w:jc w:val="center"/>
              <w:rPr>
                <w:rFonts w:hint="eastAsia" w:asciiTheme="minorEastAsia" w:hAnsi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1BB5C79A">
            <w:pPr>
              <w:jc w:val="center"/>
              <w:rPr>
                <w:rFonts w:hint="eastAsia" w:asciiTheme="minorEastAsia" w:hAnsi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146" w:type="dxa"/>
            <w:vAlign w:val="center"/>
          </w:tcPr>
          <w:p w14:paraId="145426CD">
            <w:pPr>
              <w:jc w:val="center"/>
              <w:rPr>
                <w:rFonts w:hint="eastAsia" w:asciiTheme="minorEastAsia" w:hAnsi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1BEBB8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639" w:type="dxa"/>
            <w:vMerge w:val="continue"/>
            <w:vAlign w:val="center"/>
          </w:tcPr>
          <w:p w14:paraId="013DA407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restart"/>
            <w:vAlign w:val="center"/>
          </w:tcPr>
          <w:p w14:paraId="225B94BB"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学科基础课</w:t>
            </w:r>
          </w:p>
          <w:p w14:paraId="7811D491">
            <w:pPr>
              <w:jc w:val="center"/>
              <w:rPr>
                <w:rFonts w:hint="eastAsia" w:asciiTheme="minorEastAsia" w:hAnsiTheme="minorEastAsia" w:eastAsiaTheme="minorEastAsia"/>
                <w:b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</w:t>
            </w:r>
            <w:r>
              <w:rPr>
                <w:rFonts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学分）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6DBD4072"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sz w:val="18"/>
                <w:szCs w:val="18"/>
              </w:rPr>
              <w:t>文献阅读</w:t>
            </w:r>
            <w:r>
              <w:rPr>
                <w:rFonts w:hint="eastAsia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学术道德</w:t>
            </w:r>
            <w:r>
              <w:rPr>
                <w:sz w:val="18"/>
                <w:szCs w:val="18"/>
              </w:rPr>
              <w:t>与论文写作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1F22B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等线" w:cs="Times New Roman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ZS0206009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6D6A04D7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0E2217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67AD2DFA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7AA901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639" w:type="dxa"/>
            <w:vMerge w:val="continue"/>
            <w:vAlign w:val="center"/>
          </w:tcPr>
          <w:p w14:paraId="4F9432C9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3E9C7DA7">
            <w:pPr>
              <w:spacing w:line="360" w:lineRule="auto"/>
              <w:jc w:val="both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center"/>
          </w:tcPr>
          <w:p w14:paraId="334F6C7D"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新闻传播理论基础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35C4D7F"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ZS0206002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DA8BF2C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B5D9EF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05C31AA2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5FAD96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639" w:type="dxa"/>
            <w:vMerge w:val="continue"/>
            <w:vAlign w:val="center"/>
          </w:tcPr>
          <w:p w14:paraId="50FC2E18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5A0C806D">
            <w:pPr>
              <w:spacing w:line="360" w:lineRule="auto"/>
              <w:jc w:val="both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center"/>
          </w:tcPr>
          <w:p w14:paraId="3F6BED16"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新闻传播学研究方法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ECC2535"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ZS0206007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41D3BC11">
            <w:pPr>
              <w:jc w:val="center"/>
              <w:rPr>
                <w:rFonts w:hint="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highlight w:val="none"/>
                <w:lang w:val="en-US" w:eastAsia="zh-CN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837FA8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7AA3E2F5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3518A3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  <w:vAlign w:val="center"/>
          </w:tcPr>
          <w:p w14:paraId="73E30A9C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restart"/>
            <w:vAlign w:val="center"/>
          </w:tcPr>
          <w:p w14:paraId="3E19F812"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专业必修课</w:t>
            </w:r>
          </w:p>
          <w:p w14:paraId="59CA7AC6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8学分</w:t>
            </w: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77A070F1"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新媒体研究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075910"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ZS0206006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2404AA33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629935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435B3AE3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182CED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  <w:vAlign w:val="center"/>
          </w:tcPr>
          <w:p w14:paraId="5BAEA96B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5A5AD2DE">
            <w:pPr>
              <w:spacing w:line="360" w:lineRule="auto"/>
              <w:rPr>
                <w:rFonts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center"/>
          </w:tcPr>
          <w:p w14:paraId="2182AE6A"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媒介经营与管理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3EAA5C"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ZS0206005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490A38C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393C75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20189CAE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1DDA3C3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  <w:vAlign w:val="center"/>
          </w:tcPr>
          <w:p w14:paraId="63F59517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1C4C07C0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center"/>
          </w:tcPr>
          <w:p w14:paraId="15393242"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新闻传播政策、法律与伦理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9A2DDC6"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XS0203005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21B1ADB7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510C49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7189BB5B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7D8005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  <w:vAlign w:val="center"/>
          </w:tcPr>
          <w:p w14:paraId="3AE850CF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2BE54F33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center"/>
          </w:tcPr>
          <w:p w14:paraId="790DE77A">
            <w:pPr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马克思主义新闻学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28FD74C">
            <w:pPr>
              <w:jc w:val="center"/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XS0205006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30125443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8CF096E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0C6D7481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668BDD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  <w:jc w:val="center"/>
        </w:trPr>
        <w:tc>
          <w:tcPr>
            <w:tcW w:w="639" w:type="dxa"/>
            <w:vMerge w:val="restart"/>
            <w:vAlign w:val="center"/>
          </w:tcPr>
          <w:p w14:paraId="729D895B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非</w:t>
            </w:r>
          </w:p>
          <w:p w14:paraId="6A9AC65C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 w14:paraId="1AAF1D3F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位</w:t>
            </w:r>
          </w:p>
          <w:p w14:paraId="3122C0F5">
            <w:pPr>
              <w:spacing w:line="360" w:lineRule="auto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2D200ACB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restart"/>
            <w:vAlign w:val="center"/>
          </w:tcPr>
          <w:p w14:paraId="0ED81488">
            <w:pPr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公共</w:t>
            </w: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通识</w:t>
            </w:r>
            <w:r>
              <w:rPr>
                <w:rFonts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</w:t>
            </w:r>
          </w:p>
          <w:p w14:paraId="2A94C1B7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2学分</w:t>
            </w: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638" w:type="dxa"/>
            <w:vAlign w:val="center"/>
          </w:tcPr>
          <w:p w14:paraId="1C78B98A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《习近平谈治国理政》研读</w:t>
            </w:r>
          </w:p>
        </w:tc>
        <w:tc>
          <w:tcPr>
            <w:tcW w:w="1276" w:type="dxa"/>
            <w:vAlign w:val="center"/>
          </w:tcPr>
          <w:p w14:paraId="7AC73F71"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TT0000101</w:t>
            </w:r>
          </w:p>
        </w:tc>
        <w:tc>
          <w:tcPr>
            <w:tcW w:w="788" w:type="dxa"/>
            <w:vAlign w:val="center"/>
          </w:tcPr>
          <w:p w14:paraId="32E506EA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1AFDBEB7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46" w:type="dxa"/>
            <w:vAlign w:val="center"/>
          </w:tcPr>
          <w:p w14:paraId="5808008E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通修/考查</w:t>
            </w:r>
          </w:p>
        </w:tc>
      </w:tr>
      <w:tr w14:paraId="1D68FA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" w:hRule="atLeast"/>
          <w:jc w:val="center"/>
        </w:trPr>
        <w:tc>
          <w:tcPr>
            <w:tcW w:w="639" w:type="dxa"/>
            <w:vMerge w:val="continue"/>
            <w:vAlign w:val="center"/>
          </w:tcPr>
          <w:p w14:paraId="5A953CB4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4D2B6C9B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vAlign w:val="center"/>
          </w:tcPr>
          <w:p w14:paraId="1B05796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马克思主义与社会科学方法论</w:t>
            </w:r>
          </w:p>
        </w:tc>
        <w:tc>
          <w:tcPr>
            <w:tcW w:w="1276" w:type="dxa"/>
            <w:vAlign w:val="center"/>
          </w:tcPr>
          <w:p w14:paraId="0AC4125B"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TS0000101</w:t>
            </w:r>
          </w:p>
        </w:tc>
        <w:tc>
          <w:tcPr>
            <w:tcW w:w="788" w:type="dxa"/>
            <w:vAlign w:val="center"/>
          </w:tcPr>
          <w:p w14:paraId="2153A231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5A940C1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46" w:type="dxa"/>
            <w:vAlign w:val="center"/>
          </w:tcPr>
          <w:p w14:paraId="6E7EE580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通修/考查</w:t>
            </w:r>
          </w:p>
        </w:tc>
      </w:tr>
      <w:tr w14:paraId="56F06D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71832267">
            <w:pPr>
              <w:spacing w:line="360" w:lineRule="auto"/>
              <w:ind w:firstLine="361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restart"/>
            <w:vAlign w:val="center"/>
          </w:tcPr>
          <w:p w14:paraId="089164C6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专业选修课</w:t>
            </w:r>
          </w:p>
          <w:p w14:paraId="00BC53D8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共22学分，至少选修16学分</w:t>
            </w: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3638" w:type="dxa"/>
            <w:shd w:val="clear" w:color="auto" w:fill="auto"/>
            <w:vAlign w:val="center"/>
          </w:tcPr>
          <w:p w14:paraId="7E02D112"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舆论学研究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50607E">
            <w:pPr>
              <w:jc w:val="center"/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</w:pPr>
            <w:r>
              <w:rPr>
                <w:rFonts w:hint="default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XS0203105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2B3C5A6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2B00B5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63760DE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C0918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0E430828">
            <w:pPr>
              <w:spacing w:line="360" w:lineRule="auto"/>
              <w:ind w:firstLine="361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1BE69F25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center"/>
          </w:tcPr>
          <w:p w14:paraId="4CDEC96D"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新闻心理学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ED73D7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ZS0206114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FA7858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48681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4CDCED1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434429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789118D4">
            <w:pPr>
              <w:spacing w:line="360" w:lineRule="auto"/>
              <w:ind w:firstLine="361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  <w:p w14:paraId="505B8926">
            <w:pPr>
              <w:spacing w:line="360" w:lineRule="auto"/>
              <w:ind w:firstLine="361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484E543F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top"/>
          </w:tcPr>
          <w:p w14:paraId="1B7FD501"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区域国别传媒与国际传播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487734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ZS0206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128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17C49DED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32EEE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51C1D32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3356712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614DECFF">
            <w:pPr>
              <w:spacing w:line="360" w:lineRule="auto"/>
              <w:ind w:firstLine="361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5996D87D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top"/>
          </w:tcPr>
          <w:p w14:paraId="0C6ADA68"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认知传播研究前沿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CEB3A0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XS020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5102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5C30071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B87D5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070B897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3479AE2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3767E722">
            <w:pPr>
              <w:spacing w:line="360" w:lineRule="auto"/>
              <w:ind w:firstLine="361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651E0516">
            <w:pPr>
              <w:jc w:val="center"/>
              <w:rPr>
                <w:rFonts w:hint="eastAsia" w:ascii="Times New Roman" w:hAnsi="Times New Roman" w:eastAsia="宋体" w:cs="Times New Roman"/>
                <w:b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top"/>
          </w:tcPr>
          <w:p w14:paraId="1B802D23"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新媒介批评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63BD444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XS020310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14D7FEB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BF990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63582E9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5A2D4E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6C6E13D3">
            <w:pPr>
              <w:spacing w:line="360" w:lineRule="auto"/>
              <w:ind w:firstLine="361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</w:tcPr>
          <w:p w14:paraId="34C85BC0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center"/>
          </w:tcPr>
          <w:p w14:paraId="646DEDF0"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数据新闻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B884C3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ZS0206113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48BE775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99036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010FD8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180BE7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7F771E2A">
            <w:pPr>
              <w:spacing w:line="360" w:lineRule="auto"/>
              <w:ind w:firstLine="361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</w:tcPr>
          <w:p w14:paraId="3C66A665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center"/>
          </w:tcPr>
          <w:p w14:paraId="031F8F23"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新闻评论研究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81FFBCD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ZS0206115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5664B66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44108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2CDE31E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3BC2DA8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791DF9B4">
            <w:pPr>
              <w:spacing w:line="360" w:lineRule="auto"/>
              <w:ind w:firstLine="361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</w:tcPr>
          <w:p w14:paraId="26F70737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center"/>
          </w:tcPr>
          <w:p w14:paraId="44757572"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数字广告与创意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31BD64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ZS0206118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7CBB7BF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C559F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1BDCCBF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66C622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5FF22C06">
            <w:pPr>
              <w:spacing w:line="360" w:lineRule="auto"/>
              <w:ind w:firstLine="361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</w:tcPr>
          <w:p w14:paraId="02692506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center"/>
          </w:tcPr>
          <w:p w14:paraId="7DED2FB2"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高级新闻写作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60B2F8"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ZS0206</w:t>
            </w: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</w:rPr>
              <w:t>127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0A60E65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B82BC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3E9660A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4FCB32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6D3C8CF9">
            <w:pPr>
              <w:spacing w:line="360" w:lineRule="auto"/>
              <w:ind w:firstLine="361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</w:tcPr>
          <w:p w14:paraId="2C326B3E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top"/>
          </w:tcPr>
          <w:p w14:paraId="0C0AE11B">
            <w:pPr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媒体融合理论与前沿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9B02AF8">
            <w:pPr>
              <w:jc w:val="center"/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</w:rPr>
              <w:t>ZS0206125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6308AA3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ECEA2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25989F9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AE073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38A3EBCE">
            <w:pPr>
              <w:spacing w:line="360" w:lineRule="auto"/>
              <w:ind w:firstLine="361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</w:tcPr>
          <w:p w14:paraId="7ED9D4F2">
            <w:pPr>
              <w:spacing w:line="360" w:lineRule="auto"/>
              <w:ind w:firstLine="361"/>
              <w:jc w:val="center"/>
              <w:rPr>
                <w:rFonts w:hint="eastAsia" w:asciiTheme="minorEastAsia" w:hAnsiTheme="minorEastAsia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center"/>
          </w:tcPr>
          <w:p w14:paraId="6D8731B8">
            <w:pPr>
              <w:spacing w:after="0" w:line="240" w:lineRule="auto"/>
              <w:jc w:val="both"/>
              <w:rPr>
                <w:rFonts w:hint="default" w:ascii="宋体" w:hAnsi="宋体" w:eastAsia="宋体" w:cs="宋体"/>
                <w:bCs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宋体" w:hAnsi="宋体" w:eastAsia="宋体" w:cs="宋体"/>
                <w:bCs/>
                <w:sz w:val="18"/>
                <w:szCs w:val="18"/>
                <w:lang w:val="en-US" w:eastAsia="zh-CN"/>
                <w14:ligatures w14:val="none"/>
              </w:rPr>
              <w:t>新闻传播史经典阅读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AC2666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ZS0206126</w:t>
            </w:r>
          </w:p>
        </w:tc>
        <w:tc>
          <w:tcPr>
            <w:tcW w:w="788" w:type="dxa"/>
            <w:shd w:val="clear" w:color="auto" w:fill="auto"/>
            <w:vAlign w:val="center"/>
          </w:tcPr>
          <w:p w14:paraId="205AA207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001B613">
            <w:pPr>
              <w:spacing w:after="0" w:line="24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18"/>
                <w:szCs w:val="18"/>
                <w:lang w:val="en-US" w:eastAsia="zh-CN" w:bidi="ar-SA"/>
                <w14:ligatures w14:val="none"/>
              </w:rPr>
              <w:t>3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2EDD895C">
            <w:pPr>
              <w:spacing w:after="0" w:line="240" w:lineRule="auto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18"/>
                <w:szCs w:val="18"/>
                <w:lang w:val="en-US" w:eastAsia="zh-CN" w:bidi="ar-SA"/>
                <w14:ligatures w14:val="none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 w:val="18"/>
                <w:szCs w:val="18"/>
                <w:lang w:val="en-US" w:eastAsia="zh-CN"/>
                <w14:ligatures w14:val="none"/>
              </w:rPr>
              <w:t>考查</w:t>
            </w:r>
          </w:p>
        </w:tc>
      </w:tr>
      <w:tr w14:paraId="401F15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" w:hRule="atLeast"/>
          <w:jc w:val="center"/>
        </w:trPr>
        <w:tc>
          <w:tcPr>
            <w:tcW w:w="639" w:type="dxa"/>
            <w:vMerge w:val="restart"/>
            <w:vAlign w:val="center"/>
          </w:tcPr>
          <w:p w14:paraId="6C3E300D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必修环节</w:t>
            </w:r>
          </w:p>
          <w:p w14:paraId="7AA421D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restart"/>
            <w:vAlign w:val="center"/>
          </w:tcPr>
          <w:p w14:paraId="4683CF74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素质拓展</w:t>
            </w:r>
          </w:p>
          <w:p w14:paraId="68210A0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vAlign w:val="center"/>
          </w:tcPr>
          <w:p w14:paraId="389DFC3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入学教育</w:t>
            </w:r>
          </w:p>
        </w:tc>
        <w:tc>
          <w:tcPr>
            <w:tcW w:w="1276" w:type="dxa"/>
            <w:vAlign w:val="center"/>
          </w:tcPr>
          <w:p w14:paraId="5A1040E7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8" w:type="dxa"/>
            <w:vAlign w:val="center"/>
          </w:tcPr>
          <w:p w14:paraId="3447F606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DE14D7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146" w:type="dxa"/>
            <w:vAlign w:val="center"/>
          </w:tcPr>
          <w:p w14:paraId="560D807C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14:paraId="06A624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639" w:type="dxa"/>
            <w:vMerge w:val="continue"/>
            <w:vAlign w:val="center"/>
          </w:tcPr>
          <w:p w14:paraId="311F95C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2101CD6A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vAlign w:val="center"/>
          </w:tcPr>
          <w:p w14:paraId="7C6D75A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实习实践活动</w:t>
            </w:r>
          </w:p>
        </w:tc>
        <w:tc>
          <w:tcPr>
            <w:tcW w:w="1276" w:type="dxa"/>
            <w:vAlign w:val="center"/>
          </w:tcPr>
          <w:p w14:paraId="357D15AD">
            <w:pPr>
              <w:jc w:val="center"/>
              <w:rPr>
                <w:rFonts w:hint="default"/>
                <w:sz w:val="18"/>
                <w:szCs w:val="18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sz w:val="18"/>
                <w:szCs w:val="18"/>
                <w:lang w:val="en-US" w:eastAsia="zh-CN"/>
                <w14:ligatures w14:val="none"/>
              </w:rPr>
              <w:t>ZS0206129</w:t>
            </w:r>
            <w:bookmarkStart w:id="6" w:name="_GoBack"/>
            <w:bookmarkEnd w:id="6"/>
          </w:p>
        </w:tc>
        <w:tc>
          <w:tcPr>
            <w:tcW w:w="788" w:type="dxa"/>
            <w:vAlign w:val="center"/>
          </w:tcPr>
          <w:p w14:paraId="192EF11E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14:paraId="6F1FE99D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4-6</w:t>
            </w:r>
          </w:p>
        </w:tc>
        <w:tc>
          <w:tcPr>
            <w:tcW w:w="1146" w:type="dxa"/>
            <w:vAlign w:val="center"/>
          </w:tcPr>
          <w:p w14:paraId="4792DB3D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14:paraId="05AC6F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639" w:type="dxa"/>
            <w:vMerge w:val="continue"/>
            <w:vAlign w:val="center"/>
          </w:tcPr>
          <w:p w14:paraId="61081692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23CAC27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vAlign w:val="center"/>
          </w:tcPr>
          <w:p w14:paraId="186BE686">
            <w:pPr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学术/实践活动</w:t>
            </w:r>
          </w:p>
        </w:tc>
        <w:tc>
          <w:tcPr>
            <w:tcW w:w="1276" w:type="dxa"/>
            <w:vAlign w:val="center"/>
          </w:tcPr>
          <w:p w14:paraId="34676435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788" w:type="dxa"/>
            <w:vAlign w:val="center"/>
          </w:tcPr>
          <w:p w14:paraId="6A69B1D8">
            <w:pPr>
              <w:jc w:val="center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 w14:paraId="37B20649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146" w:type="dxa"/>
            <w:vAlign w:val="center"/>
          </w:tcPr>
          <w:p w14:paraId="73EFA89E"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 w14:paraId="091C97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639" w:type="dxa"/>
            <w:vMerge w:val="continue"/>
            <w:vAlign w:val="center"/>
          </w:tcPr>
          <w:p w14:paraId="76DD9733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6B7FDF31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shd w:val="clear" w:color="auto" w:fill="auto"/>
            <w:vAlign w:val="center"/>
          </w:tcPr>
          <w:p w14:paraId="5FD708E1">
            <w:pPr>
              <w:adjustRightInd w:val="0"/>
              <w:snapToGrid w:val="0"/>
              <w:rPr>
                <w:rFonts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竞赛活动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31C350">
            <w:pPr>
              <w:jc w:val="center"/>
              <w:rPr>
                <w:rFonts w:ascii="Times New Roman" w:hAnsi="Times New Roman" w:eastAsia="宋体" w:cs="Times New Roman"/>
                <w:color w:val="000000" w:themeColor="text1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shd w:val="clear" w:color="auto" w:fill="auto"/>
            <w:vAlign w:val="center"/>
          </w:tcPr>
          <w:p w14:paraId="1202973C">
            <w:pPr>
              <w:jc w:val="center"/>
              <w:rPr>
                <w:rFonts w:hint="eastAsia" w:ascii="Times New Roman" w:hAnsi="Times New Roman" w:eastAsia="宋体" w:cs="Times New Roman"/>
                <w:color w:val="FF0000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highlight w:val="none"/>
                <w:lang w:val="en-US" w:eastAsia="zh-CN"/>
              </w:rPr>
              <w:t>1</w:t>
            </w:r>
          </w:p>
        </w:tc>
        <w:tc>
          <w:tcPr>
            <w:tcW w:w="709" w:type="dxa"/>
            <w:vAlign w:val="center"/>
          </w:tcPr>
          <w:p w14:paraId="313635A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vAlign w:val="center"/>
          </w:tcPr>
          <w:p w14:paraId="16D1C9B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5194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1286E1C8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restart"/>
            <w:vAlign w:val="center"/>
          </w:tcPr>
          <w:p w14:paraId="60B103C4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学术训练</w:t>
            </w:r>
          </w:p>
        </w:tc>
        <w:tc>
          <w:tcPr>
            <w:tcW w:w="3638" w:type="dxa"/>
            <w:vAlign w:val="center"/>
          </w:tcPr>
          <w:p w14:paraId="7ABC701F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中期筛选</w:t>
            </w:r>
          </w:p>
        </w:tc>
        <w:tc>
          <w:tcPr>
            <w:tcW w:w="1276" w:type="dxa"/>
            <w:vAlign w:val="center"/>
          </w:tcPr>
          <w:p w14:paraId="4FEFC24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 w14:paraId="76C0AC6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2409C2F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46" w:type="dxa"/>
            <w:vMerge w:val="restart"/>
            <w:vAlign w:val="center"/>
          </w:tcPr>
          <w:p w14:paraId="14548BB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过程管理</w:t>
            </w:r>
          </w:p>
          <w:p w14:paraId="5142216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无学分</w:t>
            </w:r>
          </w:p>
        </w:tc>
      </w:tr>
      <w:tr w14:paraId="3B74B3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0365E75C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5584009C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vAlign w:val="center"/>
          </w:tcPr>
          <w:p w14:paraId="022858AE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论文开题</w:t>
            </w:r>
          </w:p>
        </w:tc>
        <w:tc>
          <w:tcPr>
            <w:tcW w:w="1276" w:type="dxa"/>
            <w:vAlign w:val="center"/>
          </w:tcPr>
          <w:p w14:paraId="3D5AECF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 w14:paraId="64FCD4F7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24D2917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146" w:type="dxa"/>
            <w:vMerge w:val="continue"/>
            <w:vAlign w:val="center"/>
          </w:tcPr>
          <w:p w14:paraId="17A1D8D6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18BB03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66665CC3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73F1DADF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vAlign w:val="center"/>
          </w:tcPr>
          <w:p w14:paraId="6081CC28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276" w:type="dxa"/>
            <w:vAlign w:val="center"/>
          </w:tcPr>
          <w:p w14:paraId="0B1D9F1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 w14:paraId="4BF54A7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AF14BB1">
            <w:pPr>
              <w:jc w:val="center"/>
              <w:rPr>
                <w:rFonts w:hint="eastAsia" w:eastAsiaTheme="minorEastAsia"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146" w:type="dxa"/>
            <w:vMerge w:val="continue"/>
          </w:tcPr>
          <w:p w14:paraId="1F40674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6AAC7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55740DB4">
            <w:pPr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1F56A9FB">
            <w:pPr>
              <w:jc w:val="center"/>
              <w:rPr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vAlign w:val="center"/>
          </w:tcPr>
          <w:p w14:paraId="3C407EAD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论文预答辩</w:t>
            </w:r>
          </w:p>
        </w:tc>
        <w:tc>
          <w:tcPr>
            <w:tcW w:w="1276" w:type="dxa"/>
            <w:vAlign w:val="center"/>
          </w:tcPr>
          <w:p w14:paraId="7F4DC7A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 w14:paraId="187B834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E70298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5-6</w:t>
            </w:r>
          </w:p>
        </w:tc>
        <w:tc>
          <w:tcPr>
            <w:tcW w:w="1146" w:type="dxa"/>
            <w:vMerge w:val="continue"/>
          </w:tcPr>
          <w:p w14:paraId="77F260B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CB2AF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4699AEB0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</w:tcPr>
          <w:p w14:paraId="15328625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vAlign w:val="center"/>
          </w:tcPr>
          <w:p w14:paraId="550AD616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论文评审</w:t>
            </w:r>
          </w:p>
        </w:tc>
        <w:tc>
          <w:tcPr>
            <w:tcW w:w="1276" w:type="dxa"/>
            <w:vAlign w:val="center"/>
          </w:tcPr>
          <w:p w14:paraId="170115CD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 w14:paraId="6685E04B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CBBB1F9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46" w:type="dxa"/>
            <w:vMerge w:val="continue"/>
          </w:tcPr>
          <w:p w14:paraId="4ED651AC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AD3F2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9" w:type="dxa"/>
            <w:vMerge w:val="continue"/>
          </w:tcPr>
          <w:p w14:paraId="1350DE6D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</w:tcPr>
          <w:p w14:paraId="22DB5513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8" w:type="dxa"/>
            <w:vAlign w:val="center"/>
          </w:tcPr>
          <w:p w14:paraId="2277B212">
            <w:pP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论文答辩</w:t>
            </w:r>
          </w:p>
        </w:tc>
        <w:tc>
          <w:tcPr>
            <w:tcW w:w="1276" w:type="dxa"/>
            <w:vAlign w:val="center"/>
          </w:tcPr>
          <w:p w14:paraId="18C4F341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88" w:type="dxa"/>
            <w:vAlign w:val="center"/>
          </w:tcPr>
          <w:p w14:paraId="0497C00F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AC2CA94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146" w:type="dxa"/>
            <w:vMerge w:val="continue"/>
          </w:tcPr>
          <w:p w14:paraId="08498F7A">
            <w:pPr>
              <w:jc w:val="center"/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8E7F92E">
      <w:pPr>
        <w:spacing w:line="360" w:lineRule="auto"/>
        <w:ind w:firstLine="480" w:firstLineChars="200"/>
        <w:rPr>
          <w:rFonts w:hint="eastAsia" w:asciiTheme="minorEastAsia" w:hAnsiTheme="minorEastAsia"/>
          <w:bCs/>
          <w:sz w:val="24"/>
        </w:rPr>
      </w:pPr>
      <w:r>
        <w:rPr>
          <w:rFonts w:hint="eastAsia" w:asciiTheme="minorEastAsia" w:hAnsiTheme="minorEastAsia"/>
          <w:bCs/>
          <w:sz w:val="24"/>
        </w:rPr>
        <w:t>*</w:t>
      </w:r>
      <w:r>
        <w:rPr>
          <w:rFonts w:asciiTheme="minorEastAsia" w:hAnsiTheme="minorEastAsia"/>
          <w:bCs/>
          <w:sz w:val="24"/>
        </w:rPr>
        <w:t>公共外语课程按</w:t>
      </w:r>
      <w:r>
        <w:rPr>
          <w:rFonts w:hint="eastAsia" w:asciiTheme="minorEastAsia" w:hAnsiTheme="minorEastAsia"/>
          <w:bCs/>
          <w:sz w:val="24"/>
        </w:rPr>
        <w:t>入学时</w:t>
      </w:r>
      <w:r>
        <w:rPr>
          <w:rFonts w:asciiTheme="minorEastAsia" w:hAnsiTheme="minorEastAsia"/>
          <w:bCs/>
          <w:sz w:val="24"/>
        </w:rPr>
        <w:t>的外国语考试科目</w:t>
      </w:r>
      <w:r>
        <w:rPr>
          <w:rFonts w:hint="eastAsia" w:asciiTheme="minorEastAsia" w:hAnsiTheme="minorEastAsia"/>
          <w:bCs/>
          <w:sz w:val="24"/>
        </w:rPr>
        <w:t>修读相关语种</w:t>
      </w:r>
      <w:r>
        <w:rPr>
          <w:rFonts w:asciiTheme="minorEastAsia" w:hAnsiTheme="minorEastAsia"/>
          <w:bCs/>
          <w:sz w:val="24"/>
        </w:rPr>
        <w:t>。</w:t>
      </w:r>
    </w:p>
    <w:p w14:paraId="2738B9FD">
      <w:pPr>
        <w:spacing w:line="360" w:lineRule="auto"/>
        <w:ind w:firstLine="560" w:firstLineChars="200"/>
        <w:rPr>
          <w:rFonts w:ascii="Times New Roman" w:hAnsi="Times New Roman" w:eastAsia="黑体"/>
          <w:bCs/>
          <w:sz w:val="28"/>
          <w:szCs w:val="28"/>
        </w:rPr>
      </w:pPr>
      <w:r>
        <w:rPr>
          <w:rFonts w:eastAsia="黑体"/>
          <w:bCs/>
          <w:sz w:val="28"/>
          <w:szCs w:val="28"/>
        </w:rPr>
        <w:t>十</w:t>
      </w:r>
      <w:r>
        <w:rPr>
          <w:rFonts w:hint="eastAsia" w:eastAsia="黑体"/>
          <w:bCs/>
          <w:sz w:val="28"/>
          <w:szCs w:val="28"/>
        </w:rPr>
        <w:t>三</w:t>
      </w:r>
      <w:r>
        <w:rPr>
          <w:rFonts w:eastAsia="黑体"/>
          <w:bCs/>
          <w:sz w:val="28"/>
          <w:szCs w:val="28"/>
        </w:rPr>
        <w:t>、其他需要说明事项</w:t>
      </w:r>
    </w:p>
    <w:p w14:paraId="3AE2FBF6">
      <w:pPr>
        <w:spacing w:line="360" w:lineRule="auto"/>
        <w:ind w:firstLine="480" w:firstLineChars="200"/>
        <w:rPr>
          <w:rFonts w:ascii="Times New Roman" w:hAnsi="Times New Roman"/>
          <w:bCs/>
          <w:sz w:val="24"/>
        </w:rPr>
      </w:pPr>
      <w:r>
        <w:rPr>
          <w:rFonts w:eastAsiaTheme="minorEastAsia"/>
          <w:bCs/>
          <w:sz w:val="24"/>
        </w:rPr>
        <w:t>毕业总学分：</w:t>
      </w:r>
      <w:r>
        <w:rPr>
          <w:rFonts w:hint="eastAsia" w:eastAsiaTheme="minor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hint="eastAsia" w:eastAsiaTheme="minor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+必修环节。</w:t>
      </w:r>
    </w:p>
    <w:p w14:paraId="25ED7460">
      <w:pPr>
        <w:spacing w:line="360" w:lineRule="auto"/>
        <w:ind w:firstLine="480" w:firstLineChars="200"/>
        <w:rPr>
          <w:rFonts w:ascii="Times New Roman" w:hAnsi="Times New Roman"/>
          <w:bCs/>
          <w:sz w:val="24"/>
        </w:rPr>
      </w:pPr>
    </w:p>
    <w:p w14:paraId="57ACB015">
      <w:pPr>
        <w:spacing w:line="360" w:lineRule="auto"/>
        <w:ind w:firstLine="560"/>
        <w:rPr>
          <w:rFonts w:ascii="Times New Roman" w:hAnsi="Times New Roman" w:eastAsia="黑体"/>
          <w:bCs/>
          <w:sz w:val="28"/>
          <w:szCs w:val="28"/>
        </w:rPr>
      </w:pPr>
    </w:p>
    <w:sectPr>
      <w:pgSz w:w="11906" w:h="16838"/>
      <w:pgMar w:top="1417" w:right="1417" w:bottom="124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MyMGIxMzJhZTdjYzM3ODQ3ZTJlYjU5MmNlZDFhNDUifQ=="/>
  </w:docVars>
  <w:rsids>
    <w:rsidRoot w:val="00E41013"/>
    <w:rsid w:val="00061D92"/>
    <w:rsid w:val="001315B0"/>
    <w:rsid w:val="0019742D"/>
    <w:rsid w:val="001C4B35"/>
    <w:rsid w:val="001E48A3"/>
    <w:rsid w:val="002766EA"/>
    <w:rsid w:val="00311A5F"/>
    <w:rsid w:val="00351520"/>
    <w:rsid w:val="00471243"/>
    <w:rsid w:val="005337B4"/>
    <w:rsid w:val="00604A56"/>
    <w:rsid w:val="006D4336"/>
    <w:rsid w:val="007771A6"/>
    <w:rsid w:val="00A83944"/>
    <w:rsid w:val="00AA0CAD"/>
    <w:rsid w:val="00B65982"/>
    <w:rsid w:val="00C64587"/>
    <w:rsid w:val="00DA2930"/>
    <w:rsid w:val="00E41013"/>
    <w:rsid w:val="00E42FFF"/>
    <w:rsid w:val="00F71BB5"/>
    <w:rsid w:val="0196642A"/>
    <w:rsid w:val="01DE4120"/>
    <w:rsid w:val="024C4816"/>
    <w:rsid w:val="072820D5"/>
    <w:rsid w:val="07851BA9"/>
    <w:rsid w:val="08A56A38"/>
    <w:rsid w:val="09075C45"/>
    <w:rsid w:val="09491BC8"/>
    <w:rsid w:val="097D14DB"/>
    <w:rsid w:val="0B424414"/>
    <w:rsid w:val="0C0F0EA7"/>
    <w:rsid w:val="0CA50394"/>
    <w:rsid w:val="0E70561D"/>
    <w:rsid w:val="0F0B7E3D"/>
    <w:rsid w:val="10150A56"/>
    <w:rsid w:val="101C4C06"/>
    <w:rsid w:val="10A81DF5"/>
    <w:rsid w:val="11032FA4"/>
    <w:rsid w:val="11C52008"/>
    <w:rsid w:val="12560910"/>
    <w:rsid w:val="126F10E1"/>
    <w:rsid w:val="12982A21"/>
    <w:rsid w:val="12E178B7"/>
    <w:rsid w:val="134250E1"/>
    <w:rsid w:val="13856E7F"/>
    <w:rsid w:val="13C20EF5"/>
    <w:rsid w:val="15AF7010"/>
    <w:rsid w:val="15B5533A"/>
    <w:rsid w:val="18F4239A"/>
    <w:rsid w:val="19803287"/>
    <w:rsid w:val="1A4801E2"/>
    <w:rsid w:val="1AB81B9E"/>
    <w:rsid w:val="1B277B17"/>
    <w:rsid w:val="1BAC6712"/>
    <w:rsid w:val="1CE912A0"/>
    <w:rsid w:val="1E747BDC"/>
    <w:rsid w:val="1F943A09"/>
    <w:rsid w:val="212A68F7"/>
    <w:rsid w:val="220F68EE"/>
    <w:rsid w:val="23612E63"/>
    <w:rsid w:val="23BA71D7"/>
    <w:rsid w:val="25613E0F"/>
    <w:rsid w:val="264A29DB"/>
    <w:rsid w:val="28221B0A"/>
    <w:rsid w:val="285B6218"/>
    <w:rsid w:val="29FB7058"/>
    <w:rsid w:val="2A9C2048"/>
    <w:rsid w:val="2AA00FAA"/>
    <w:rsid w:val="2AEF03C9"/>
    <w:rsid w:val="2AF451EA"/>
    <w:rsid w:val="2C910F3F"/>
    <w:rsid w:val="2E570909"/>
    <w:rsid w:val="2ED94EC9"/>
    <w:rsid w:val="2EDE64D0"/>
    <w:rsid w:val="2EF3125D"/>
    <w:rsid w:val="30655A94"/>
    <w:rsid w:val="3149354E"/>
    <w:rsid w:val="318E7551"/>
    <w:rsid w:val="32202632"/>
    <w:rsid w:val="32DB5B6E"/>
    <w:rsid w:val="33E47230"/>
    <w:rsid w:val="34326297"/>
    <w:rsid w:val="343850F2"/>
    <w:rsid w:val="34435089"/>
    <w:rsid w:val="358F200D"/>
    <w:rsid w:val="36CE0C85"/>
    <w:rsid w:val="379C09BC"/>
    <w:rsid w:val="380633E3"/>
    <w:rsid w:val="38290B67"/>
    <w:rsid w:val="391F38A1"/>
    <w:rsid w:val="395B6F37"/>
    <w:rsid w:val="3A9E30F1"/>
    <w:rsid w:val="3D582B4A"/>
    <w:rsid w:val="3E2874E4"/>
    <w:rsid w:val="3F366C5A"/>
    <w:rsid w:val="3F8213B4"/>
    <w:rsid w:val="3FDE21F8"/>
    <w:rsid w:val="4084115C"/>
    <w:rsid w:val="40961818"/>
    <w:rsid w:val="413A2C90"/>
    <w:rsid w:val="413D3F22"/>
    <w:rsid w:val="428205F7"/>
    <w:rsid w:val="43BE2424"/>
    <w:rsid w:val="43F201C6"/>
    <w:rsid w:val="44366C11"/>
    <w:rsid w:val="449F1C1A"/>
    <w:rsid w:val="457277D5"/>
    <w:rsid w:val="45FF3339"/>
    <w:rsid w:val="489F3E62"/>
    <w:rsid w:val="49050323"/>
    <w:rsid w:val="49297014"/>
    <w:rsid w:val="4AAF1765"/>
    <w:rsid w:val="4B5D697A"/>
    <w:rsid w:val="4C7854AE"/>
    <w:rsid w:val="4D454E21"/>
    <w:rsid w:val="4EAB7160"/>
    <w:rsid w:val="4EB4175E"/>
    <w:rsid w:val="51644FBE"/>
    <w:rsid w:val="51843CFB"/>
    <w:rsid w:val="525614FC"/>
    <w:rsid w:val="5257047F"/>
    <w:rsid w:val="52BE747E"/>
    <w:rsid w:val="52F42171"/>
    <w:rsid w:val="548D3A51"/>
    <w:rsid w:val="54943889"/>
    <w:rsid w:val="54AC381F"/>
    <w:rsid w:val="54D062C6"/>
    <w:rsid w:val="56206DD9"/>
    <w:rsid w:val="56876E58"/>
    <w:rsid w:val="57282D90"/>
    <w:rsid w:val="57526F31"/>
    <w:rsid w:val="57A777B2"/>
    <w:rsid w:val="584A74CC"/>
    <w:rsid w:val="58B65EA1"/>
    <w:rsid w:val="596D4A2C"/>
    <w:rsid w:val="5BD13050"/>
    <w:rsid w:val="5C6A6AB4"/>
    <w:rsid w:val="5DA67538"/>
    <w:rsid w:val="5DAE25B9"/>
    <w:rsid w:val="5DD80DE6"/>
    <w:rsid w:val="60594A54"/>
    <w:rsid w:val="61C1095D"/>
    <w:rsid w:val="62D358FF"/>
    <w:rsid w:val="63126F48"/>
    <w:rsid w:val="651A22E6"/>
    <w:rsid w:val="65BF0456"/>
    <w:rsid w:val="66111F71"/>
    <w:rsid w:val="667F2156"/>
    <w:rsid w:val="669015B7"/>
    <w:rsid w:val="66A23F66"/>
    <w:rsid w:val="675D7E8D"/>
    <w:rsid w:val="67A1421E"/>
    <w:rsid w:val="67D60F75"/>
    <w:rsid w:val="68C91550"/>
    <w:rsid w:val="69302FC4"/>
    <w:rsid w:val="6A545D35"/>
    <w:rsid w:val="6CC000C5"/>
    <w:rsid w:val="6CFA7AAC"/>
    <w:rsid w:val="6D165730"/>
    <w:rsid w:val="6E906D89"/>
    <w:rsid w:val="6EFC541B"/>
    <w:rsid w:val="6F706F62"/>
    <w:rsid w:val="6F92499A"/>
    <w:rsid w:val="6FBA3EFE"/>
    <w:rsid w:val="7020038D"/>
    <w:rsid w:val="707120B4"/>
    <w:rsid w:val="727264E4"/>
    <w:rsid w:val="727B6AF6"/>
    <w:rsid w:val="72E256EB"/>
    <w:rsid w:val="777B08EA"/>
    <w:rsid w:val="783D62C2"/>
    <w:rsid w:val="78C83BCE"/>
    <w:rsid w:val="7A277975"/>
    <w:rsid w:val="7AA945ED"/>
    <w:rsid w:val="7BCA6E40"/>
    <w:rsid w:val="7D0B2677"/>
    <w:rsid w:val="7D381EE0"/>
    <w:rsid w:val="7E490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  <w:style w:type="character" w:customStyle="1" w:styleId="8">
    <w:name w:val="页眉 字符"/>
    <w:basedOn w:val="6"/>
    <w:link w:val="4"/>
    <w:autoRedefine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3"/>
    <w:autoRedefine/>
    <w:qFormat/>
    <w:uiPriority w:val="99"/>
    <w:rPr>
      <w:sz w:val="18"/>
      <w:szCs w:val="18"/>
    </w:rPr>
  </w:style>
  <w:style w:type="paragraph" w:styleId="10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4258</Words>
  <Characters>4541</Characters>
  <Lines>307</Lines>
  <Paragraphs>349</Paragraphs>
  <TotalTime>29</TotalTime>
  <ScaleCrop>false</ScaleCrop>
  <LinksUpToDate>false</LinksUpToDate>
  <CharactersWithSpaces>4543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2025-04-21T03:57:00Z</dcterms:created>
  <dc:creator>Administrator</dc:creator>
  <cp:lastModifiedBy>未知</cp:lastModifiedBy>
  <cp:lastPrinted>2025-06-13T08:10:00Z</cp:lastPrinted>
  <dcterms:modified xsi:type="dcterms:W3CDTF">2025-06-16T03:15:26Z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BC3E48746F3D46598F9AAED40B73576D_13</vt:lpwstr>
  </property>
  <property fmtid="{D5CDD505-2E9C-101B-9397-08002B2CF9AE}" pid="4" name="KSOTemplateDocerSaveRecord">
    <vt:lpwstr>eyJoZGlkIjoiNjZmYjFlOTAyOWMxNzIwMGQ3MTE3ZGUxZjUwOTAwYjIiLCJ1c2VySWQiOiIzMzI1ODEwMzgifQ==</vt:lpwstr>
  </property>
</Properties>
</file>