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F7ABD">
      <w:pPr>
        <w:ind w:left="321" w:leftChars="153" w:right="227"/>
        <w:jc w:val="center"/>
        <w:rPr>
          <w:rFonts w:eastAsia="黑体"/>
          <w:b/>
          <w:bCs/>
          <w:sz w:val="36"/>
          <w:szCs w:val="36"/>
        </w:rPr>
      </w:pPr>
      <w:bookmarkStart w:id="0" w:name="OLE_LINK7"/>
      <w:bookmarkStart w:id="1" w:name="OLE_LINK6"/>
      <w:r>
        <w:rPr>
          <w:rFonts w:hint="eastAsia" w:eastAsia="黑体"/>
          <w:b/>
          <w:bCs/>
          <w:sz w:val="36"/>
          <w:szCs w:val="36"/>
          <w:u w:val="single"/>
        </w:rPr>
        <w:t>出版</w:t>
      </w:r>
      <w:r>
        <w:rPr>
          <w:rFonts w:eastAsia="黑体"/>
          <w:b/>
          <w:bCs/>
          <w:sz w:val="36"/>
          <w:szCs w:val="36"/>
        </w:rPr>
        <w:t>专业全日制专业学位硕士研究生培养方案</w:t>
      </w:r>
    </w:p>
    <w:p w14:paraId="355AFFE8">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新闻传播学院</w:t>
      </w:r>
      <w:r>
        <w:rPr>
          <w:rFonts w:eastAsia="黑体"/>
          <w:b/>
          <w:bCs/>
          <w:sz w:val="28"/>
          <w:szCs w:val="28"/>
        </w:rPr>
        <w:t>)</w:t>
      </w:r>
    </w:p>
    <w:p w14:paraId="680C9EB4">
      <w:pPr>
        <w:keepNext w:val="0"/>
        <w:keepLines w:val="0"/>
        <w:pageBreakBefore w:val="0"/>
        <w:kinsoku/>
        <w:wordWrap/>
        <w:overflowPunct/>
        <w:topLinePunct w:val="0"/>
        <w:autoSpaceDE/>
        <w:autoSpaceDN/>
        <w:bidi w:val="0"/>
        <w:snapToGrid w:val="0"/>
        <w:spacing w:line="360" w:lineRule="auto"/>
        <w:ind w:firstLine="560"/>
        <w:rPr>
          <w:rFonts w:eastAsia="黑体"/>
          <w:bCs/>
          <w:sz w:val="28"/>
          <w:szCs w:val="28"/>
        </w:rPr>
      </w:pPr>
      <w:r>
        <w:rPr>
          <w:rFonts w:eastAsia="黑体"/>
          <w:bCs/>
          <w:sz w:val="28"/>
          <w:szCs w:val="28"/>
        </w:rPr>
        <w:t>一、专业名称、代码</w:t>
      </w:r>
    </w:p>
    <w:p w14:paraId="0B81E37B">
      <w:pPr>
        <w:keepNext w:val="0"/>
        <w:keepLines w:val="0"/>
        <w:pageBreakBefore w:val="0"/>
        <w:widowControl/>
        <w:kinsoku/>
        <w:wordWrap/>
        <w:overflowPunct/>
        <w:topLinePunct w:val="0"/>
        <w:autoSpaceDE/>
        <w:autoSpaceDN/>
        <w:bidi w:val="0"/>
        <w:snapToGrid w:val="0"/>
        <w:spacing w:line="360" w:lineRule="auto"/>
        <w:ind w:firstLine="480" w:firstLineChars="200"/>
        <w:jc w:val="left"/>
        <w:rPr>
          <w:color w:val="222222"/>
          <w:kern w:val="0"/>
          <w:sz w:val="18"/>
          <w:szCs w:val="18"/>
        </w:rPr>
      </w:pPr>
      <w:r>
        <w:rPr>
          <w:color w:val="222222"/>
          <w:kern w:val="0"/>
          <w:sz w:val="24"/>
        </w:rPr>
        <w:t>专业名称：</w:t>
      </w:r>
      <w:r>
        <w:rPr>
          <w:rFonts w:hint="eastAsia"/>
          <w:color w:val="222222"/>
          <w:kern w:val="0"/>
          <w:sz w:val="24"/>
        </w:rPr>
        <w:t>出版</w:t>
      </w:r>
    </w:p>
    <w:p w14:paraId="05BCB3FD">
      <w:pPr>
        <w:keepNext w:val="0"/>
        <w:keepLines w:val="0"/>
        <w:pageBreakBefore w:val="0"/>
        <w:widowControl/>
        <w:kinsoku/>
        <w:wordWrap/>
        <w:overflowPunct/>
        <w:topLinePunct w:val="0"/>
        <w:autoSpaceDE/>
        <w:autoSpaceDN/>
        <w:bidi w:val="0"/>
        <w:snapToGrid w:val="0"/>
        <w:spacing w:line="360" w:lineRule="auto"/>
        <w:ind w:firstLine="480" w:firstLineChars="200"/>
        <w:jc w:val="left"/>
        <w:rPr>
          <w:color w:val="222222"/>
          <w:kern w:val="0"/>
          <w:sz w:val="18"/>
          <w:szCs w:val="18"/>
        </w:rPr>
      </w:pPr>
      <w:r>
        <w:rPr>
          <w:color w:val="222222"/>
          <w:kern w:val="0"/>
          <w:sz w:val="24"/>
        </w:rPr>
        <w:t>专业代码：0553</w:t>
      </w:r>
    </w:p>
    <w:p w14:paraId="14C39A84">
      <w:pPr>
        <w:keepNext w:val="0"/>
        <w:keepLines w:val="0"/>
        <w:pageBreakBefore w:val="0"/>
        <w:kinsoku/>
        <w:wordWrap/>
        <w:overflowPunct/>
        <w:topLinePunct w:val="0"/>
        <w:autoSpaceDE/>
        <w:autoSpaceDN/>
        <w:bidi w:val="0"/>
        <w:snapToGrid w:val="0"/>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3CCA4D7">
      <w:pPr>
        <w:keepNext w:val="0"/>
        <w:keepLines w:val="0"/>
        <w:pageBreakBefore w:val="0"/>
        <w:widowControl/>
        <w:kinsoku/>
        <w:wordWrap/>
        <w:overflowPunct/>
        <w:topLinePunct w:val="0"/>
        <w:autoSpaceDE/>
        <w:autoSpaceDN/>
        <w:bidi w:val="0"/>
        <w:snapToGrid w:val="0"/>
        <w:spacing w:line="360" w:lineRule="auto"/>
        <w:ind w:firstLine="480" w:firstLineChars="200"/>
        <w:jc w:val="left"/>
        <w:rPr>
          <w:color w:val="222222"/>
          <w:kern w:val="0"/>
          <w:sz w:val="24"/>
        </w:rPr>
      </w:pPr>
      <w:r>
        <w:rPr>
          <w:rFonts w:hint="eastAsia"/>
          <w:color w:val="222222"/>
          <w:kern w:val="0"/>
          <w:sz w:val="24"/>
        </w:rPr>
        <w:t>出版是编辑、复制作品并向公众发行，以传播科学文化、信息和进行思想交流的一种社会文化活动。出版专业是在出版职业基础上发展起来的一门应用型学科，从学科知识体系划分，内容涉及史（发展史）、论（理论）、务（实务）、法（方法论）；从实践角度衡量，主要涉及专业、经营、管理三方面的交叉学科知识。</w:t>
      </w:r>
    </w:p>
    <w:p w14:paraId="7CDC862C">
      <w:pPr>
        <w:keepNext w:val="0"/>
        <w:keepLines w:val="0"/>
        <w:pageBreakBefore w:val="0"/>
        <w:widowControl/>
        <w:kinsoku/>
        <w:wordWrap/>
        <w:overflowPunct/>
        <w:topLinePunct w:val="0"/>
        <w:autoSpaceDE/>
        <w:autoSpaceDN/>
        <w:bidi w:val="0"/>
        <w:snapToGrid w:val="0"/>
        <w:spacing w:line="360" w:lineRule="auto"/>
        <w:ind w:firstLine="480" w:firstLineChars="200"/>
        <w:jc w:val="left"/>
        <w:rPr>
          <w:color w:val="222222"/>
          <w:kern w:val="0"/>
          <w:sz w:val="24"/>
        </w:rPr>
      </w:pPr>
      <w:r>
        <w:rPr>
          <w:color w:val="222222"/>
          <w:kern w:val="0"/>
          <w:sz w:val="24"/>
        </w:rPr>
        <w:t>人才培养定位</w:t>
      </w:r>
      <w:r>
        <w:rPr>
          <w:rFonts w:hint="eastAsia"/>
          <w:color w:val="222222"/>
          <w:kern w:val="0"/>
          <w:sz w:val="24"/>
        </w:rPr>
        <w:t>：</w:t>
      </w:r>
      <w:r>
        <w:rPr>
          <w:color w:val="222222"/>
          <w:kern w:val="0"/>
          <w:sz w:val="24"/>
        </w:rPr>
        <w:t>适应出版业发展对</w:t>
      </w:r>
      <w:r>
        <w:fldChar w:fldCharType="begin"/>
      </w:r>
      <w:r>
        <w:instrText xml:space="preserve"> HYPERLINK "https://baike.baidu.com/item/%E5%87%BA%E7%89%88/285005" \t "_blank" </w:instrText>
      </w:r>
      <w:r>
        <w:fldChar w:fldCharType="separate"/>
      </w:r>
      <w:r>
        <w:rPr>
          <w:color w:val="222222"/>
          <w:kern w:val="0"/>
          <w:sz w:val="24"/>
        </w:rPr>
        <w:t>出版</w:t>
      </w:r>
      <w:r>
        <w:rPr>
          <w:color w:val="222222"/>
          <w:kern w:val="0"/>
          <w:sz w:val="24"/>
        </w:rPr>
        <w:fldChar w:fldCharType="end"/>
      </w:r>
      <w:r>
        <w:rPr>
          <w:color w:val="222222"/>
          <w:kern w:val="0"/>
          <w:sz w:val="24"/>
        </w:rPr>
        <w:t>专门人才的迫切需求，努力将本专业</w:t>
      </w:r>
      <w:r>
        <w:rPr>
          <w:rFonts w:hint="eastAsia"/>
          <w:color w:val="222222"/>
          <w:kern w:val="0"/>
          <w:sz w:val="24"/>
        </w:rPr>
        <w:t>学位授权</w:t>
      </w:r>
      <w:r>
        <w:rPr>
          <w:color w:val="222222"/>
          <w:kern w:val="0"/>
          <w:sz w:val="24"/>
        </w:rPr>
        <w:t>点培育成为全国尤其是京津冀地区出版人才培养的创新基地之一。</w:t>
      </w:r>
    </w:p>
    <w:p w14:paraId="5A0962AA">
      <w:pPr>
        <w:keepNext w:val="0"/>
        <w:keepLines w:val="0"/>
        <w:pageBreakBefore w:val="0"/>
        <w:widowControl/>
        <w:kinsoku/>
        <w:wordWrap/>
        <w:overflowPunct/>
        <w:topLinePunct w:val="0"/>
        <w:autoSpaceDE/>
        <w:autoSpaceDN/>
        <w:bidi w:val="0"/>
        <w:snapToGrid w:val="0"/>
        <w:spacing w:line="360" w:lineRule="auto"/>
        <w:ind w:firstLine="480" w:firstLineChars="200"/>
        <w:jc w:val="left"/>
        <w:rPr>
          <w:color w:val="222222"/>
          <w:kern w:val="0"/>
          <w:sz w:val="24"/>
        </w:rPr>
      </w:pPr>
      <w:r>
        <w:rPr>
          <w:rFonts w:hint="eastAsia"/>
          <w:color w:val="222222"/>
          <w:kern w:val="0"/>
          <w:sz w:val="24"/>
        </w:rPr>
        <w:t>特色及优势：</w:t>
      </w:r>
      <w:r>
        <w:rPr>
          <w:color w:val="222222"/>
          <w:kern w:val="0"/>
          <w:sz w:val="24"/>
        </w:rPr>
        <w:t>（1）是国内为数不多的办学层次</w:t>
      </w:r>
      <w:r>
        <w:rPr>
          <w:rFonts w:hint="eastAsia"/>
          <w:color w:val="222222"/>
          <w:kern w:val="0"/>
          <w:sz w:val="24"/>
        </w:rPr>
        <w:t>较为</w:t>
      </w:r>
      <w:r>
        <w:rPr>
          <w:color w:val="222222"/>
          <w:kern w:val="0"/>
          <w:sz w:val="24"/>
        </w:rPr>
        <w:t>完备的出版专业</w:t>
      </w:r>
      <w:r>
        <w:rPr>
          <w:rFonts w:hint="eastAsia"/>
          <w:color w:val="222222"/>
          <w:kern w:val="0"/>
          <w:sz w:val="24"/>
        </w:rPr>
        <w:t>学位授权</w:t>
      </w:r>
      <w:r>
        <w:rPr>
          <w:color w:val="222222"/>
          <w:kern w:val="0"/>
          <w:sz w:val="24"/>
        </w:rPr>
        <w:t>点，逐步形成了厚基础、宽口径、理论与实践相结合、服务京津冀一体化发展的办学特色。（2）以教学、科研和实践共创发展为根本指导思想，以产学研联合培养为抓手，整合多方资源，</w:t>
      </w:r>
      <w:r>
        <w:rPr>
          <w:rFonts w:hint="eastAsia"/>
          <w:color w:val="222222"/>
          <w:kern w:val="0"/>
          <w:sz w:val="24"/>
        </w:rPr>
        <w:t>共建有版权特色的出版学院，</w:t>
      </w:r>
      <w:r>
        <w:rPr>
          <w:color w:val="222222"/>
          <w:kern w:val="0"/>
          <w:sz w:val="24"/>
        </w:rPr>
        <w:t>进行跨学科专业化人才培养。（3）坚守人才培养初心，以师资教育、业界经历及教学科研积累为基础，注重培养学生的人文素养和健全人格，培养出一批适应行业发展、符合社会需求的人才</w:t>
      </w:r>
      <w:r>
        <w:rPr>
          <w:rFonts w:hint="eastAsia"/>
          <w:color w:val="222222"/>
          <w:kern w:val="0"/>
          <w:sz w:val="24"/>
        </w:rPr>
        <w:t>。</w:t>
      </w:r>
    </w:p>
    <w:p w14:paraId="23F13396">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eastAsia="黑体"/>
          <w:bCs/>
          <w:sz w:val="28"/>
          <w:szCs w:val="28"/>
        </w:rPr>
        <w:t>三、研究方向</w:t>
      </w:r>
    </w:p>
    <w:p w14:paraId="669A7B92">
      <w:pPr>
        <w:keepNext w:val="0"/>
        <w:keepLines w:val="0"/>
        <w:pageBreakBefore w:val="0"/>
        <w:kinsoku/>
        <w:wordWrap/>
        <w:overflowPunct/>
        <w:topLinePunct w:val="0"/>
        <w:autoSpaceDE/>
        <w:autoSpaceDN/>
        <w:bidi w:val="0"/>
        <w:snapToGrid w:val="0"/>
        <w:spacing w:line="360" w:lineRule="auto"/>
        <w:ind w:firstLine="497" w:firstLineChars="196"/>
        <w:rPr>
          <w:rFonts w:ascii="宋体" w:hAnsi="宋体" w:cs="宋体"/>
          <w:color w:val="000000"/>
          <w:spacing w:val="7"/>
          <w:kern w:val="0"/>
          <w:sz w:val="24"/>
        </w:rPr>
      </w:pPr>
      <w:r>
        <w:rPr>
          <w:rFonts w:hint="eastAsia" w:ascii="宋体" w:hAnsi="宋体" w:cs="宋体"/>
          <w:color w:val="000000"/>
          <w:spacing w:val="7"/>
          <w:kern w:val="0"/>
          <w:sz w:val="24"/>
        </w:rPr>
        <w:t>当前我国出版业正处于数转智改期，根据现阶段出版业特点，开设如下研究方向：</w:t>
      </w:r>
    </w:p>
    <w:p w14:paraId="4F8389CC">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szCs w:val="21"/>
        </w:rPr>
      </w:pPr>
      <w:r>
        <w:rPr>
          <w:rFonts w:hint="eastAsia" w:ascii="宋体" w:hAnsi="宋体"/>
          <w:color w:val="000000"/>
          <w:sz w:val="24"/>
          <w:szCs w:val="21"/>
        </w:rPr>
        <w:t>1.出版经营与管理</w:t>
      </w:r>
    </w:p>
    <w:p w14:paraId="044A3752">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hint="eastAsia" w:ascii="宋体" w:hAnsi="宋体"/>
          <w:color w:val="000000"/>
          <w:sz w:val="24"/>
        </w:rPr>
        <w:t>从传媒经济学与管理学角度，</w:t>
      </w:r>
      <w:r>
        <w:rPr>
          <w:rFonts w:hint="eastAsia" w:ascii="宋体" w:hAnsi="宋体"/>
          <w:color w:val="000000"/>
          <w:kern w:val="0"/>
          <w:sz w:val="24"/>
        </w:rPr>
        <w:t>讲解清楚出版市场运作及产业组织模式。在符合市场供需理论的前提下，</w:t>
      </w:r>
      <w:r>
        <w:rPr>
          <w:rFonts w:hint="eastAsia" w:ascii="宋体" w:hAnsi="宋体"/>
          <w:color w:val="000000"/>
          <w:kern w:val="0"/>
          <w:sz w:val="24"/>
          <w:lang w:val="en-US" w:eastAsia="zh-CN"/>
        </w:rPr>
        <w:t>解释</w:t>
      </w:r>
      <w:r>
        <w:rPr>
          <w:rFonts w:hint="eastAsia" w:ascii="宋体" w:hAnsi="宋体"/>
          <w:color w:val="000000"/>
          <w:sz w:val="24"/>
        </w:rPr>
        <w:t>读者和出版企业之间的相互作用与影响；从</w:t>
      </w:r>
      <w:r>
        <w:rPr>
          <w:rFonts w:hint="eastAsia" w:ascii="宋体" w:hAnsi="宋体"/>
          <w:color w:val="000000"/>
          <w:kern w:val="0"/>
          <w:sz w:val="24"/>
        </w:rPr>
        <w:t>产业组织模式角度解释市场结</w:t>
      </w:r>
      <w:r>
        <w:rPr>
          <w:rFonts w:hint="eastAsia" w:ascii="宋体" w:hAnsi="宋体"/>
          <w:color w:val="000000"/>
          <w:sz w:val="24"/>
        </w:rPr>
        <w:t>构、行为和绩效之间的关系等。具体包括出版企业经营管理概述、出版企业生产流程管理、出版企业质量管理、出版企业营销管理、出版企业财务管理、出版企业组织与人力资源管理、出版企业版权管理等内容。优势在于导师多具有出版社、期刊社等企业经营管理经验与理论素养。</w:t>
      </w:r>
    </w:p>
    <w:p w14:paraId="2E3900F5">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szCs w:val="21"/>
        </w:rPr>
      </w:pPr>
      <w:r>
        <w:rPr>
          <w:rFonts w:hint="eastAsia" w:ascii="宋体" w:hAnsi="宋体"/>
          <w:color w:val="000000"/>
          <w:sz w:val="24"/>
          <w:szCs w:val="21"/>
        </w:rPr>
        <w:t>2.编辑出版业务</w:t>
      </w:r>
    </w:p>
    <w:p w14:paraId="5BE68B5F">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hint="eastAsia" w:ascii="宋体" w:hAnsi="宋体"/>
          <w:color w:val="000000"/>
          <w:sz w:val="24"/>
        </w:rPr>
        <w:t>从编辑出版活动的</w:t>
      </w:r>
      <w:r>
        <w:rPr>
          <w:rFonts w:hint="eastAsia" w:ascii="宋体" w:hAnsi="宋体"/>
          <w:sz w:val="24"/>
        </w:rPr>
        <w:t>逻辑起点、合法性来源等角度讲清编辑出版的性质、功能、主体与客体等基础理论知识，以及业务流程与决策标准——</w:t>
      </w:r>
      <w:r>
        <w:rPr>
          <w:rFonts w:hint="eastAsia" w:ascii="宋体" w:hAnsi="宋体" w:cs="宋体"/>
          <w:color w:val="000000"/>
          <w:kern w:val="0"/>
          <w:sz w:val="24"/>
        </w:rPr>
        <w:t>编辑出版业务流程表面看是指从对“原材料”的选择直至发送最终产品的过程，实际指的是产品在经历“决策链”的过程中，对于影响产品本质的各种工作规则以及组织标准的应用。</w:t>
      </w:r>
      <w:r>
        <w:rPr>
          <w:rFonts w:hint="eastAsia" w:ascii="宋体" w:hAnsi="宋体"/>
          <w:color w:val="000000"/>
          <w:sz w:val="24"/>
        </w:rPr>
        <w:t>具体包括信息采集与整理、选题策划、审鉴、编辑加工、编辑产品的形式、宣传与评价、质量管理、市场营销、版权贸易等实务性内容。</w:t>
      </w:r>
      <w:r>
        <w:rPr>
          <w:rFonts w:hint="eastAsia" w:ascii="宋体" w:hAnsi="宋体" w:cs="宋体"/>
          <w:color w:val="000000"/>
          <w:kern w:val="0"/>
          <w:sz w:val="24"/>
        </w:rPr>
        <w:t>优势在于导师多有业界实践经验。</w:t>
      </w:r>
    </w:p>
    <w:p w14:paraId="367DA995">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hint="eastAsia" w:ascii="宋体" w:hAnsi="宋体"/>
          <w:color w:val="000000"/>
          <w:sz w:val="24"/>
        </w:rPr>
        <w:t>3.数字出版</w:t>
      </w:r>
    </w:p>
    <w:p w14:paraId="0DDF8C74">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s="宋体"/>
          <w:color w:val="000000"/>
          <w:kern w:val="0"/>
          <w:sz w:val="24"/>
        </w:rPr>
      </w:pPr>
      <w:r>
        <w:rPr>
          <w:rFonts w:hint="eastAsia" w:ascii="宋体" w:hAnsi="宋体" w:cs="宋体"/>
          <w:color w:val="000000"/>
          <w:kern w:val="0"/>
          <w:sz w:val="24"/>
        </w:rPr>
        <w:t>从业务系统、内容管理与控制、内容生产与分发、市场营销和服务提供等层面全面介绍数字出版发展演变历程，从</w:t>
      </w:r>
      <w:r>
        <w:rPr>
          <w:rFonts w:ascii="宋体" w:hAnsi="宋体" w:cs="宋体"/>
          <w:color w:val="000000"/>
          <w:kern w:val="0"/>
          <w:sz w:val="24"/>
        </w:rPr>
        <w:t>数字</w:t>
      </w:r>
      <w:r>
        <w:rPr>
          <w:rFonts w:hint="eastAsia" w:ascii="宋体" w:hAnsi="宋体" w:cs="宋体"/>
          <w:color w:val="000000"/>
          <w:kern w:val="0"/>
          <w:sz w:val="24"/>
        </w:rPr>
        <w:t>产品的选题策划、产品设计与</w:t>
      </w:r>
      <w:r>
        <w:rPr>
          <w:rFonts w:ascii="宋体" w:hAnsi="宋体" w:cs="宋体"/>
          <w:color w:val="000000"/>
          <w:kern w:val="0"/>
          <w:sz w:val="24"/>
        </w:rPr>
        <w:t>内容组织</w:t>
      </w:r>
      <w:r>
        <w:rPr>
          <w:rFonts w:hint="eastAsia" w:ascii="宋体" w:hAnsi="宋体" w:cs="宋体"/>
          <w:color w:val="000000"/>
          <w:kern w:val="0"/>
          <w:sz w:val="24"/>
        </w:rPr>
        <w:t>、内容加工与产品制作、内容资源管理、产品运营等环节讲解数字产品的开发、生产与传播。具体包括数字出版经营与管理、数据库建设与管理、网络编辑学、数字版权运营与管理、数字出版商业模式与创新等内容。优势在于相关课题成果积累丰富，与国内先进数字出版企业保持了密切联系和良好互动。</w:t>
      </w:r>
    </w:p>
    <w:p w14:paraId="541BF104">
      <w:pPr>
        <w:keepNext w:val="0"/>
        <w:keepLines w:val="0"/>
        <w:pageBreakBefore w:val="0"/>
        <w:tabs>
          <w:tab w:val="left" w:pos="840"/>
        </w:tabs>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hint="eastAsia" w:ascii="宋体" w:hAnsi="宋体"/>
          <w:color w:val="000000"/>
          <w:sz w:val="24"/>
        </w:rPr>
        <w:t>4</w:t>
      </w:r>
      <w:r>
        <w:rPr>
          <w:rFonts w:ascii="宋体" w:hAnsi="宋体"/>
          <w:color w:val="000000"/>
          <w:sz w:val="24"/>
        </w:rPr>
        <w:t>.</w:t>
      </w:r>
      <w:r>
        <w:rPr>
          <w:rFonts w:hint="eastAsia" w:ascii="宋体" w:hAnsi="宋体"/>
          <w:color w:val="000000"/>
          <w:sz w:val="24"/>
        </w:rPr>
        <w:t>版权与版权文化</w:t>
      </w:r>
    </w:p>
    <w:p w14:paraId="372AEB7D">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i/>
          <w:color w:val="FF0000"/>
          <w:sz w:val="24"/>
        </w:rPr>
      </w:pPr>
      <w:r>
        <w:rPr>
          <w:rFonts w:hint="eastAsia" w:ascii="宋体" w:hAnsi="宋体"/>
          <w:color w:val="000000"/>
          <w:sz w:val="24"/>
        </w:rPr>
        <w:t>结合出版流程环节讲解版权</w:t>
      </w:r>
      <w:r>
        <w:rPr>
          <w:rFonts w:hint="eastAsia" w:ascii="宋体" w:hAnsi="宋体"/>
          <w:color w:val="000000"/>
          <w:sz w:val="24"/>
          <w:shd w:val="clear" w:color="auto" w:fill="FFFFFF"/>
        </w:rPr>
        <w:t>创造、运用、保护、管理、服务等实践</w:t>
      </w:r>
      <w:r>
        <w:rPr>
          <w:rFonts w:hint="eastAsia" w:ascii="宋体" w:hAnsi="宋体"/>
          <w:color w:val="000000"/>
          <w:sz w:val="24"/>
        </w:rPr>
        <w:t>问题，从版权起源、发展角度讲授版权理论与版权发展史，帮助学生深刻理解版权及其本质、掌握版权运营一般</w:t>
      </w:r>
      <w:r>
        <w:rPr>
          <w:rFonts w:hint="eastAsia" w:ascii="宋体" w:hAnsi="宋体"/>
          <w:color w:val="000000"/>
          <w:sz w:val="24"/>
          <w:lang w:val="en-US" w:eastAsia="zh-CN"/>
        </w:rPr>
        <w:t>常识</w:t>
      </w:r>
      <w:r>
        <w:rPr>
          <w:rFonts w:hint="eastAsia" w:ascii="宋体" w:hAnsi="宋体"/>
          <w:color w:val="000000"/>
          <w:sz w:val="24"/>
        </w:rPr>
        <w:t>。具体课程内容包括出版与版权相关法律法规、版权与版权贸易、数字时代的版权开发与保护、</w:t>
      </w:r>
      <w:r>
        <w:rPr>
          <w:rFonts w:ascii="宋体" w:hAnsi="宋体"/>
          <w:color w:val="000000"/>
          <w:sz w:val="24"/>
        </w:rPr>
        <w:t>版权</w:t>
      </w:r>
      <w:r>
        <w:rPr>
          <w:rFonts w:hint="eastAsia" w:ascii="宋体" w:hAnsi="宋体"/>
          <w:color w:val="000000"/>
          <w:sz w:val="24"/>
        </w:rPr>
        <w:t>产业与版权经济、</w:t>
      </w:r>
      <w:r>
        <w:rPr>
          <w:rFonts w:ascii="宋体" w:hAnsi="宋体"/>
          <w:color w:val="000000"/>
          <w:sz w:val="24"/>
        </w:rPr>
        <w:t>版权</w:t>
      </w:r>
      <w:r>
        <w:rPr>
          <w:rFonts w:hint="eastAsia" w:ascii="宋体" w:hAnsi="宋体"/>
          <w:color w:val="000000"/>
          <w:sz w:val="24"/>
        </w:rPr>
        <w:t>发展简</w:t>
      </w:r>
      <w:r>
        <w:rPr>
          <w:rFonts w:ascii="宋体" w:hAnsi="宋体"/>
          <w:color w:val="000000"/>
          <w:sz w:val="24"/>
        </w:rPr>
        <w:t>史</w:t>
      </w:r>
      <w:r>
        <w:rPr>
          <w:rFonts w:hint="eastAsia" w:ascii="宋体" w:hAnsi="宋体"/>
          <w:color w:val="000000"/>
          <w:sz w:val="24"/>
        </w:rPr>
        <w:t>与版权文化、版权人才培养与成长路径等。优势在于与中国版权保护中心联合培养，提供专业的版权保护前沿知识与实习实践机会。</w:t>
      </w:r>
    </w:p>
    <w:p w14:paraId="522E408D">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eastAsia="黑体"/>
          <w:bCs/>
          <w:sz w:val="28"/>
          <w:szCs w:val="28"/>
        </w:rPr>
        <w:t>四、学制及学习年限</w:t>
      </w:r>
    </w:p>
    <w:p w14:paraId="63870907">
      <w:pPr>
        <w:keepNext w:val="0"/>
        <w:keepLines w:val="0"/>
        <w:pageBreakBefore w:val="0"/>
        <w:kinsoku/>
        <w:wordWrap/>
        <w:overflowPunct/>
        <w:topLinePunct w:val="0"/>
        <w:autoSpaceDE/>
        <w:autoSpaceDN/>
        <w:bidi w:val="0"/>
        <w:snapToGrid w:val="0"/>
        <w:spacing w:line="360" w:lineRule="auto"/>
        <w:ind w:firstLine="480" w:firstLineChars="200"/>
        <w:rPr>
          <w:rFonts w:hint="eastAsia" w:eastAsiaTheme="minorEastAsia"/>
          <w:color w:val="000000"/>
          <w:sz w:val="24"/>
        </w:rPr>
      </w:pPr>
      <w:r>
        <w:rPr>
          <w:rFonts w:hint="eastAsia" w:eastAsiaTheme="minorEastAsia"/>
          <w:color w:val="000000"/>
          <w:sz w:val="24"/>
        </w:rPr>
        <w:t>本专业学制为3年，在校最长学习年限（含休学）不超过6年。</w:t>
      </w:r>
    </w:p>
    <w:p w14:paraId="2D42E4FC">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eastAsia="黑体"/>
          <w:bCs/>
          <w:sz w:val="28"/>
          <w:szCs w:val="28"/>
        </w:rPr>
        <w:t>五、培养目标</w:t>
      </w:r>
    </w:p>
    <w:p w14:paraId="076729C8">
      <w:pPr>
        <w:keepNext w:val="0"/>
        <w:keepLines w:val="0"/>
        <w:pageBreakBefore w:val="0"/>
        <w:kinsoku/>
        <w:wordWrap/>
        <w:overflowPunct/>
        <w:topLinePunct w:val="0"/>
        <w:autoSpaceDE/>
        <w:autoSpaceDN/>
        <w:bidi w:val="0"/>
        <w:snapToGrid w:val="0"/>
        <w:spacing w:line="360" w:lineRule="auto"/>
        <w:ind w:firstLine="480"/>
        <w:rPr>
          <w:rFonts w:ascii="宋体" w:hAnsi="宋体"/>
          <w:i/>
          <w:color w:val="000000"/>
          <w:sz w:val="24"/>
        </w:rPr>
      </w:pPr>
      <w:r>
        <w:rPr>
          <w:rFonts w:hint="eastAsia" w:ascii="宋体" w:hAnsi="宋体"/>
          <w:color w:val="000000"/>
          <w:sz w:val="24"/>
        </w:rPr>
        <w:t>针对目前我国出版业发展现状，</w:t>
      </w:r>
      <w:r>
        <w:rPr>
          <w:rFonts w:ascii="宋体" w:hAnsi="宋体"/>
          <w:color w:val="000000"/>
          <w:sz w:val="24"/>
        </w:rPr>
        <w:t>培养具备良好的政治思想素质和职业道德素养，掌握出版专业知识和技能，具有较宽的知识面，能够综合运用</w:t>
      </w:r>
      <w:r>
        <w:rPr>
          <w:rFonts w:hint="eastAsia" w:ascii="宋体" w:hAnsi="宋体"/>
          <w:color w:val="000000"/>
          <w:sz w:val="24"/>
        </w:rPr>
        <w:t>多学科</w:t>
      </w:r>
      <w:r>
        <w:rPr>
          <w:rFonts w:ascii="宋体" w:hAnsi="宋体"/>
          <w:color w:val="000000"/>
          <w:sz w:val="24"/>
        </w:rPr>
        <w:t>知识解决出版业实际问题，适应现代出版业发展需要的高层次、复合型、应用型出版专门人才</w:t>
      </w:r>
      <w:r>
        <w:rPr>
          <w:rFonts w:hint="eastAsia" w:ascii="宋体" w:hAnsi="宋体"/>
          <w:color w:val="000000"/>
          <w:sz w:val="24"/>
        </w:rPr>
        <w:t>。具体目标：</w:t>
      </w:r>
    </w:p>
    <w:p w14:paraId="1BBA9B8D">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1.践行社会主义核心价值观，具有坚定的理想信念、高尚的道德情操、优良的学术作风和高度的社会责任感。</w:t>
      </w:r>
    </w:p>
    <w:p w14:paraId="60EE250C">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sz w:val="24"/>
        </w:rPr>
      </w:pPr>
      <w:r>
        <w:rPr>
          <w:rFonts w:hint="eastAsia" w:ascii="宋体" w:hAnsi="宋体"/>
          <w:color w:val="000000"/>
          <w:sz w:val="24"/>
        </w:rPr>
        <w:t>2.掌握马克思主义基本理论，拥护中国共产党的领导，拥护社会主义制度，遵纪守法，品行端正。</w:t>
      </w:r>
    </w:p>
    <w:p w14:paraId="2B10195F">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sz w:val="24"/>
        </w:rPr>
      </w:pPr>
      <w:r>
        <w:rPr>
          <w:rFonts w:hint="eastAsia" w:ascii="宋体" w:hAnsi="宋体"/>
          <w:color w:val="000000"/>
          <w:sz w:val="24"/>
        </w:rPr>
        <w:t>3.掌握本专业基础理论知识和技能，具有良好的职业素养和较强的解决实际问题能力，能够独立承担专业技能性或一定的经营管理性工作。</w:t>
      </w:r>
    </w:p>
    <w:p w14:paraId="23AA2D73">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4.具有健康的身体和良好的心理素质，具有良好的团队意识和团队合作精神。</w:t>
      </w:r>
    </w:p>
    <w:p w14:paraId="529E69BF">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sz w:val="24"/>
        </w:rPr>
      </w:pPr>
      <w:r>
        <w:rPr>
          <w:rFonts w:hint="eastAsia" w:ascii="宋体" w:hAnsi="宋体"/>
          <w:color w:val="000000"/>
          <w:sz w:val="24"/>
        </w:rPr>
        <w:t>5.掌握一门外国语，具有一定的写、译能力和基本的听、说能力。</w:t>
      </w:r>
    </w:p>
    <w:p w14:paraId="1EB4F994">
      <w:pPr>
        <w:keepNext w:val="0"/>
        <w:keepLines w:val="0"/>
        <w:pageBreakBefore w:val="0"/>
        <w:kinsoku/>
        <w:wordWrap/>
        <w:overflowPunct/>
        <w:topLinePunct w:val="0"/>
        <w:autoSpaceDE/>
        <w:autoSpaceDN/>
        <w:bidi w:val="0"/>
        <w:snapToGrid w:val="0"/>
        <w:spacing w:line="360" w:lineRule="auto"/>
        <w:ind w:firstLine="560" w:firstLineChars="200"/>
        <w:rPr>
          <w:rFonts w:eastAsia="黑体"/>
          <w:bCs/>
          <w:color w:val="FF0000"/>
          <w:sz w:val="28"/>
          <w:szCs w:val="28"/>
        </w:rPr>
      </w:pPr>
      <w:r>
        <w:rPr>
          <w:rFonts w:eastAsia="黑体"/>
          <w:bCs/>
          <w:sz w:val="28"/>
          <w:szCs w:val="28"/>
        </w:rPr>
        <w:t>六、培养方式</w:t>
      </w:r>
    </w:p>
    <w:p w14:paraId="0AB6F8D4">
      <w:pPr>
        <w:keepNext w:val="0"/>
        <w:keepLines w:val="0"/>
        <w:pageBreakBefore w:val="0"/>
        <w:kinsoku/>
        <w:wordWrap/>
        <w:overflowPunct/>
        <w:topLinePunct w:val="0"/>
        <w:autoSpaceDE/>
        <w:autoSpaceDN/>
        <w:bidi w:val="0"/>
        <w:snapToGrid w:val="0"/>
        <w:spacing w:line="360" w:lineRule="auto"/>
        <w:ind w:firstLine="480"/>
        <w:rPr>
          <w:rFonts w:ascii="宋体" w:hAnsi="宋体"/>
          <w:color w:val="000000"/>
          <w:sz w:val="24"/>
        </w:rPr>
      </w:pPr>
      <w:r>
        <w:rPr>
          <w:rFonts w:hint="eastAsia" w:ascii="宋体" w:hAnsi="宋体"/>
          <w:color w:val="000000"/>
          <w:sz w:val="24"/>
        </w:rPr>
        <w:t>第一、二、三学期在校</w:t>
      </w:r>
      <w:r>
        <w:rPr>
          <w:rFonts w:hint="eastAsia" w:ascii="宋体" w:hAnsi="宋体"/>
          <w:color w:val="000000"/>
          <w:sz w:val="24"/>
          <w:lang w:val="en-US" w:eastAsia="zh-CN"/>
        </w:rPr>
        <w:t>进行</w:t>
      </w:r>
      <w:r>
        <w:rPr>
          <w:rFonts w:hint="eastAsia" w:ascii="宋体" w:hAnsi="宋体"/>
          <w:color w:val="000000"/>
          <w:sz w:val="24"/>
        </w:rPr>
        <w:t>全日制课程学习与实践训练，第四、五、六学期</w:t>
      </w:r>
      <w:r>
        <w:rPr>
          <w:rFonts w:hint="eastAsia" w:ascii="宋体" w:hAnsi="宋体"/>
          <w:color w:val="000000"/>
          <w:sz w:val="24"/>
          <w:lang w:val="en-US" w:eastAsia="zh-CN"/>
        </w:rPr>
        <w:t>进行</w:t>
      </w:r>
      <w:r>
        <w:rPr>
          <w:rFonts w:hint="eastAsia" w:ascii="宋体" w:hAnsi="宋体"/>
          <w:color w:val="000000"/>
          <w:sz w:val="24"/>
        </w:rPr>
        <w:t>专业实习、毕业论文写作与实践成果研发。实行导师组集体指导与导师指导相结合制，导师指导实行双导师制，聘请有行业实践经验的专家作为业界导师共同承担指导工作。</w:t>
      </w:r>
    </w:p>
    <w:p w14:paraId="366C05DC">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33EAB13">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w:t>
      </w:r>
      <w:r>
        <w:rPr>
          <w:rFonts w:hint="eastAsia" w:ascii="宋体" w:hAnsi="宋体" w:eastAsia="宋体" w:cs="宋体"/>
          <w:bCs/>
          <w:sz w:val="24"/>
        </w:rPr>
        <w:t>政字〔2021〕15号）</w:t>
      </w:r>
      <w:r>
        <w:rPr>
          <w:rFonts w:eastAsiaTheme="minorEastAsia"/>
          <w:bCs/>
          <w:sz w:val="24"/>
        </w:rPr>
        <w:t>的相关规定，组织开展中期筛选工作。</w:t>
      </w:r>
    </w:p>
    <w:p w14:paraId="1E76407A">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w:t>
      </w:r>
      <w:r>
        <w:rPr>
          <w:rFonts w:hint="eastAsia" w:eastAsia="黑体"/>
          <w:bCs/>
          <w:sz w:val="28"/>
          <w:szCs w:val="28"/>
        </w:rPr>
        <w:t>（毕业）</w:t>
      </w:r>
      <w:r>
        <w:rPr>
          <w:rFonts w:eastAsia="黑体"/>
          <w:bCs/>
          <w:sz w:val="28"/>
          <w:szCs w:val="28"/>
        </w:rPr>
        <w:t>论文</w:t>
      </w:r>
      <w:r>
        <w:rPr>
          <w:rFonts w:hint="eastAsia" w:eastAsia="黑体"/>
          <w:bCs/>
          <w:sz w:val="28"/>
          <w:szCs w:val="28"/>
        </w:rPr>
        <w:t>与申请学位实践成果</w:t>
      </w:r>
    </w:p>
    <w:p w14:paraId="7E0A5336">
      <w:pPr>
        <w:keepNext w:val="0"/>
        <w:keepLines w:val="0"/>
        <w:pageBreakBefore w:val="0"/>
        <w:widowControl/>
        <w:kinsoku/>
        <w:wordWrap/>
        <w:overflowPunct/>
        <w:topLinePunct w:val="0"/>
        <w:autoSpaceDE/>
        <w:autoSpaceDN/>
        <w:bidi w:val="0"/>
        <w:snapToGrid w:val="0"/>
        <w:spacing w:line="360" w:lineRule="auto"/>
        <w:ind w:firstLine="480"/>
        <w:jc w:val="left"/>
        <w:rPr>
          <w:color w:val="000000" w:themeColor="text1"/>
          <w:kern w:val="0"/>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w:t>
      </w:r>
      <w:r>
        <w:rPr>
          <w:rFonts w:hint="eastAsia" w:ascii="宋体" w:hAnsi="宋体" w:eastAsia="宋体" w:cs="宋体"/>
          <w:color w:val="000000" w:themeColor="text1"/>
          <w:kern w:val="0"/>
          <w:sz w:val="24"/>
          <w14:textFill>
            <w14:solidFill>
              <w14:schemeClr w14:val="tx1"/>
            </w14:solidFill>
          </w14:textFill>
        </w:rPr>
        <w:t>字</w:t>
      </w:r>
      <w:r>
        <w:rPr>
          <w:rFonts w:hint="eastAsia" w:ascii="宋体" w:hAnsi="宋体" w:eastAsia="宋体" w:cs="宋体"/>
          <w:bCs/>
          <w:sz w:val="24"/>
        </w:rPr>
        <w:t>〔2025〕9号</w:t>
      </w:r>
      <w:r>
        <w:rPr>
          <w:rFonts w:hint="eastAsia" w:ascii="宋体" w:hAnsi="宋体" w:eastAsia="宋体" w:cs="宋体"/>
          <w:color w:val="000000" w:themeColor="text1"/>
          <w:kern w:val="0"/>
          <w:sz w:val="24"/>
          <w14:textFill>
            <w14:solidFill>
              <w14:schemeClr w14:val="tx1"/>
            </w14:solidFill>
          </w14:textFill>
        </w:rPr>
        <w:t>）规定，硕士研究生学位论文与申请学位实践成果开题与答辩时间间隔原则上不少于12个月。申请学位成果以</w:t>
      </w:r>
      <w:r>
        <w:rPr>
          <w:rFonts w:hint="eastAsia"/>
          <w:color w:val="000000" w:themeColor="text1"/>
          <w:kern w:val="0"/>
          <w:sz w:val="24"/>
          <w14:textFill>
            <w14:solidFill>
              <w14:schemeClr w14:val="tx1"/>
            </w14:solidFill>
          </w14:textFill>
        </w:rPr>
        <w:t>实践成果为主，学位论文应面向实际，</w:t>
      </w:r>
      <w:r>
        <w:rPr>
          <w:color w:val="000000" w:themeColor="text1"/>
          <w:kern w:val="0"/>
          <w:sz w:val="24"/>
          <w14:textFill>
            <w14:solidFill>
              <w14:schemeClr w14:val="tx1"/>
            </w14:solidFill>
          </w14:textFill>
        </w:rPr>
        <w:t>体现学生运用出版及相关学科的理论、知识和方法分析、解决出版实际问题的能力。</w:t>
      </w:r>
    </w:p>
    <w:p w14:paraId="6D273108">
      <w:pPr>
        <w:keepNext w:val="0"/>
        <w:keepLines w:val="0"/>
        <w:pageBreakBefore w:val="0"/>
        <w:widowControl/>
        <w:kinsoku/>
        <w:wordWrap/>
        <w:overflowPunct/>
        <w:topLinePunct w:val="0"/>
        <w:autoSpaceDE/>
        <w:autoSpaceDN/>
        <w:bidi w:val="0"/>
        <w:snapToGrid w:val="0"/>
        <w:spacing w:line="360" w:lineRule="auto"/>
        <w:ind w:firstLine="480"/>
        <w:jc w:val="left"/>
        <w:rPr>
          <w:color w:val="000000" w:themeColor="text1"/>
          <w:kern w:val="0"/>
          <w:sz w:val="24"/>
          <w14:textFill>
            <w14:solidFill>
              <w14:schemeClr w14:val="tx1"/>
            </w14:solidFill>
          </w14:textFill>
        </w:rPr>
      </w:pPr>
      <w:r>
        <w:rPr>
          <w:rFonts w:hint="eastAsia"/>
          <w:color w:val="000000" w:themeColor="text1"/>
          <w:kern w:val="0"/>
          <w:sz w:val="24"/>
          <w14:textFill>
            <w14:solidFill>
              <w14:schemeClr w14:val="tx1"/>
            </w14:solidFill>
          </w14:textFill>
        </w:rPr>
        <w:t>申请学位成果形式包括学位论文和实践成果中的调研报告、案例分析报告、出版产品设计等。</w:t>
      </w:r>
    </w:p>
    <w:p w14:paraId="1390E7D6">
      <w:pPr>
        <w:keepNext w:val="0"/>
        <w:keepLines w:val="0"/>
        <w:pageBreakBefore w:val="0"/>
        <w:kinsoku/>
        <w:wordWrap/>
        <w:overflowPunct/>
        <w:topLinePunct w:val="0"/>
        <w:autoSpaceDE/>
        <w:autoSpaceDN/>
        <w:bidi w:val="0"/>
        <w:snapToGrid w:val="0"/>
        <w:spacing w:line="360" w:lineRule="auto"/>
        <w:ind w:firstLine="480" w:firstLineChars="200"/>
        <w:rPr>
          <w:rFonts w:ascii="宋体" w:hAnsi="宋体"/>
          <w:color w:val="000000"/>
          <w:sz w:val="24"/>
        </w:rPr>
      </w:pPr>
      <w:r>
        <w:rPr>
          <w:rFonts w:hint="eastAsia" w:ascii="宋体" w:hAnsi="宋体"/>
          <w:color w:val="000000"/>
          <w:sz w:val="24"/>
        </w:rPr>
        <w:t>学位论文。须完成一篇30</w:t>
      </w:r>
      <w:r>
        <w:rPr>
          <w:rFonts w:ascii="宋体" w:hAnsi="宋体"/>
          <w:color w:val="000000"/>
          <w:sz w:val="24"/>
        </w:rPr>
        <w:t>000</w:t>
      </w:r>
      <w:r>
        <w:rPr>
          <w:rFonts w:hint="eastAsia" w:ascii="宋体" w:hAnsi="宋体"/>
          <w:color w:val="000000"/>
          <w:sz w:val="24"/>
        </w:rPr>
        <w:t>字及以上的学位论文。学位论文是对出版领域问题进行专门研究的成果。学位申请人可围绕图书出版、期刊出版、音像与电子出版、网络出版等出版类型，以及数字出版、融合出版等出版新业态，版权、阅读等出版诸方面，确定选题和写作。出版学位论文属应用研究型学位论文，要求学位申请人针对出版业的实际问题，系统运用出版专业知识、相关理论和分析工具，形成对出版实践有启发价值的成果。</w:t>
      </w:r>
    </w:p>
    <w:p w14:paraId="391AADD2">
      <w:pPr>
        <w:keepNext w:val="0"/>
        <w:keepLines w:val="0"/>
        <w:pageBreakBefore w:val="0"/>
        <w:widowControl w:val="0"/>
        <w:kinsoku/>
        <w:wordWrap/>
        <w:overflowPunct/>
        <w:topLinePunct w:val="0"/>
        <w:autoSpaceDE/>
        <w:autoSpaceDN/>
        <w:bidi w:val="0"/>
        <w:snapToGrid w:val="0"/>
        <w:spacing w:line="360" w:lineRule="auto"/>
        <w:ind w:firstLine="480" w:firstLineChars="200"/>
        <w:rPr>
          <w:rFonts w:ascii="宋体" w:hAnsi="宋体"/>
          <w:color w:val="000000"/>
          <w:sz w:val="24"/>
        </w:rPr>
      </w:pPr>
      <w:r>
        <w:rPr>
          <w:rFonts w:hint="eastAsia" w:ascii="宋体" w:hAnsi="宋体"/>
          <w:color w:val="000000"/>
          <w:sz w:val="24"/>
        </w:rPr>
        <w:t>调研报告。</w:t>
      </w:r>
      <w:bookmarkStart w:id="2" w:name="OLE_LINK2"/>
      <w:bookmarkStart w:id="3" w:name="OLE_LINK34"/>
      <w:r>
        <w:rPr>
          <w:rFonts w:hint="eastAsia" w:ascii="宋体" w:hAnsi="宋体"/>
          <w:color w:val="000000"/>
          <w:sz w:val="24"/>
        </w:rPr>
        <w:t>须完成一篇3</w:t>
      </w:r>
      <w:r>
        <w:rPr>
          <w:rFonts w:ascii="宋体" w:hAnsi="宋体"/>
          <w:color w:val="000000"/>
          <w:sz w:val="24"/>
        </w:rPr>
        <w:t>0000</w:t>
      </w:r>
      <w:r>
        <w:rPr>
          <w:rFonts w:hint="eastAsia" w:ascii="宋体" w:hAnsi="宋体"/>
          <w:color w:val="000000"/>
          <w:sz w:val="24"/>
        </w:rPr>
        <w:t>字及以上的调研报告。</w:t>
      </w:r>
      <w:bookmarkEnd w:id="2"/>
      <w:r>
        <w:rPr>
          <w:rFonts w:hint="eastAsia" w:ascii="宋体" w:hAnsi="宋体"/>
          <w:color w:val="000000"/>
          <w:sz w:val="24"/>
        </w:rPr>
        <w:t>出版调研报告是对出版领域问题进行调查、分析的研究成果</w:t>
      </w:r>
      <w:bookmarkEnd w:id="3"/>
      <w:bookmarkStart w:id="4" w:name="OLE_LINK35"/>
      <w:r>
        <w:rPr>
          <w:rFonts w:hint="eastAsia" w:ascii="宋体" w:hAnsi="宋体"/>
          <w:color w:val="000000"/>
          <w:sz w:val="24"/>
        </w:rPr>
        <w:t>，选题</w:t>
      </w:r>
      <w:r>
        <w:rPr>
          <w:rFonts w:ascii="宋体" w:hAnsi="宋体"/>
          <w:color w:val="000000"/>
          <w:sz w:val="24"/>
        </w:rPr>
        <w:t>应直接来源于</w:t>
      </w:r>
      <w:r>
        <w:rPr>
          <w:rFonts w:hint="eastAsia" w:ascii="宋体" w:hAnsi="宋体"/>
          <w:color w:val="000000"/>
          <w:sz w:val="24"/>
        </w:rPr>
        <w:t>出版</w:t>
      </w:r>
      <w:r>
        <w:rPr>
          <w:rFonts w:ascii="宋体" w:hAnsi="宋体"/>
          <w:color w:val="000000"/>
          <w:sz w:val="24"/>
        </w:rPr>
        <w:t>实践领域或</w:t>
      </w:r>
      <w:r>
        <w:rPr>
          <w:rFonts w:hint="eastAsia" w:ascii="宋体" w:hAnsi="宋体"/>
          <w:color w:val="000000"/>
          <w:sz w:val="24"/>
        </w:rPr>
        <w:t>出版</w:t>
      </w:r>
      <w:r>
        <w:rPr>
          <w:rFonts w:ascii="宋体" w:hAnsi="宋体"/>
          <w:color w:val="000000"/>
          <w:sz w:val="24"/>
        </w:rPr>
        <w:t>业发展</w:t>
      </w:r>
      <w:r>
        <w:rPr>
          <w:rFonts w:hint="eastAsia" w:ascii="宋体" w:hAnsi="宋体"/>
          <w:color w:val="000000"/>
          <w:sz w:val="24"/>
        </w:rPr>
        <w:t>，</w:t>
      </w:r>
      <w:r>
        <w:rPr>
          <w:rFonts w:ascii="宋体" w:hAnsi="宋体"/>
          <w:color w:val="000000"/>
          <w:sz w:val="24"/>
        </w:rPr>
        <w:t>应有明确的职业背景和应用价值</w:t>
      </w:r>
      <w:r>
        <w:rPr>
          <w:rFonts w:hint="eastAsia" w:ascii="宋体" w:hAnsi="宋体"/>
          <w:color w:val="000000"/>
          <w:sz w:val="24"/>
        </w:rPr>
        <w:t>；</w:t>
      </w:r>
      <w:r>
        <w:rPr>
          <w:rFonts w:ascii="宋体" w:hAnsi="宋体"/>
          <w:color w:val="000000"/>
          <w:sz w:val="24"/>
        </w:rPr>
        <w:t>问题聚焦且有一定深度、代表性和可操作性</w:t>
      </w:r>
      <w:bookmarkEnd w:id="4"/>
      <w:r>
        <w:rPr>
          <w:rFonts w:ascii="宋体" w:hAnsi="宋体"/>
          <w:color w:val="000000"/>
          <w:sz w:val="24"/>
        </w:rPr>
        <w:t>。</w:t>
      </w:r>
      <w:r>
        <w:rPr>
          <w:rFonts w:hint="eastAsia" w:ascii="宋体" w:hAnsi="宋体"/>
          <w:color w:val="000000"/>
          <w:sz w:val="24"/>
        </w:rPr>
        <w:t>学位申请人</w:t>
      </w:r>
      <w:bookmarkStart w:id="5" w:name="OLE_LINK33"/>
      <w:r>
        <w:rPr>
          <w:rFonts w:hint="eastAsia" w:ascii="宋体" w:hAnsi="宋体"/>
          <w:color w:val="000000"/>
          <w:sz w:val="24"/>
        </w:rPr>
        <w:t>可围绕图书出版、期刊出版、音像与电子出版、网络出版等出版类型，以及数字出版、融合出版等出版新业态，版权、阅读等出版诸方面，确定选题和写作</w:t>
      </w:r>
      <w:bookmarkEnd w:id="5"/>
      <w:r>
        <w:rPr>
          <w:rFonts w:hint="eastAsia" w:ascii="宋体" w:hAnsi="宋体"/>
          <w:color w:val="000000"/>
          <w:sz w:val="24"/>
        </w:rPr>
        <w:t>。</w:t>
      </w:r>
    </w:p>
    <w:p w14:paraId="4F8B2A27">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center"/>
        <w:rPr>
          <w:rFonts w:ascii="宋体" w:hAnsi="宋体"/>
          <w:color w:val="000000"/>
          <w:sz w:val="24"/>
        </w:rPr>
      </w:pPr>
      <w:r>
        <w:rPr>
          <w:rFonts w:hint="eastAsia" w:ascii="宋体" w:hAnsi="宋体"/>
          <w:color w:val="000000"/>
          <w:sz w:val="24"/>
        </w:rPr>
        <w:t>案例分析报告。须完成一篇3</w:t>
      </w:r>
      <w:r>
        <w:rPr>
          <w:rFonts w:ascii="宋体" w:hAnsi="宋体"/>
          <w:color w:val="000000"/>
          <w:sz w:val="24"/>
        </w:rPr>
        <w:t>0000</w:t>
      </w:r>
      <w:r>
        <w:rPr>
          <w:rFonts w:hint="eastAsia" w:ascii="宋体" w:hAnsi="宋体"/>
          <w:color w:val="000000"/>
          <w:sz w:val="24"/>
        </w:rPr>
        <w:t>字及以上的案例分析报告。出版案例分析报告是针对出版领域实践情况进行分析的应用性成果</w:t>
      </w:r>
      <w:bookmarkStart w:id="6" w:name="OLE_LINK41"/>
      <w:r>
        <w:rPr>
          <w:rFonts w:hint="eastAsia" w:ascii="宋体" w:hAnsi="宋体"/>
          <w:color w:val="000000"/>
          <w:sz w:val="24"/>
        </w:rPr>
        <w:t>，选题</w:t>
      </w:r>
      <w:r>
        <w:rPr>
          <w:rFonts w:ascii="宋体" w:hAnsi="宋体"/>
          <w:color w:val="000000"/>
          <w:sz w:val="24"/>
        </w:rPr>
        <w:t>应直接来源于</w:t>
      </w:r>
      <w:r>
        <w:rPr>
          <w:rFonts w:hint="eastAsia" w:ascii="宋体" w:hAnsi="宋体"/>
          <w:color w:val="000000"/>
          <w:sz w:val="24"/>
        </w:rPr>
        <w:t>出版</w:t>
      </w:r>
      <w:r>
        <w:rPr>
          <w:rFonts w:ascii="宋体" w:hAnsi="宋体"/>
          <w:color w:val="000000"/>
          <w:sz w:val="24"/>
        </w:rPr>
        <w:t>实践领域的真实客观事件</w:t>
      </w:r>
      <w:r>
        <w:rPr>
          <w:rFonts w:hint="eastAsia" w:ascii="宋体" w:hAnsi="宋体"/>
          <w:color w:val="000000"/>
          <w:sz w:val="24"/>
        </w:rPr>
        <w:t>，应</w:t>
      </w:r>
      <w:r>
        <w:rPr>
          <w:rFonts w:ascii="宋体" w:hAnsi="宋体"/>
          <w:color w:val="000000"/>
          <w:sz w:val="24"/>
        </w:rPr>
        <w:t>采用具有专业性、典型性、特殊性、理论启发</w:t>
      </w:r>
      <w:r>
        <w:rPr>
          <w:rFonts w:hint="eastAsia" w:ascii="宋体" w:hAnsi="宋体"/>
          <w:color w:val="000000"/>
          <w:sz w:val="24"/>
        </w:rPr>
        <w:t>性</w:t>
      </w:r>
      <w:r>
        <w:rPr>
          <w:rFonts w:ascii="宋体" w:hAnsi="宋体"/>
          <w:color w:val="000000"/>
          <w:sz w:val="24"/>
        </w:rPr>
        <w:t>等特点</w:t>
      </w:r>
      <w:r>
        <w:rPr>
          <w:rFonts w:hint="eastAsia" w:ascii="宋体" w:hAnsi="宋体"/>
          <w:color w:val="000000"/>
          <w:sz w:val="24"/>
        </w:rPr>
        <w:t>，</w:t>
      </w:r>
      <w:r>
        <w:rPr>
          <w:rFonts w:ascii="宋体" w:hAnsi="宋体"/>
          <w:color w:val="000000"/>
          <w:sz w:val="24"/>
        </w:rPr>
        <w:t>且具有实践价值和可操作性的一手真实案例信息</w:t>
      </w:r>
      <w:r>
        <w:rPr>
          <w:rFonts w:hint="eastAsia" w:ascii="宋体" w:hAnsi="宋体"/>
          <w:color w:val="000000"/>
          <w:sz w:val="24"/>
        </w:rPr>
        <w:t>。</w:t>
      </w:r>
      <w:bookmarkEnd w:id="6"/>
      <w:r>
        <w:rPr>
          <w:rFonts w:hint="eastAsia" w:ascii="宋体" w:hAnsi="宋体"/>
          <w:color w:val="000000"/>
          <w:sz w:val="24"/>
        </w:rPr>
        <w:t>报告要针对出版实践领域中的某一特定对象，如出版人、出版物、出版单位、出版事件、出版组织、出版现象、出版政策、版权管理与运营、全民阅读等，深入案例现场展开系统深度分析，以总结提炼共性规律。</w:t>
      </w:r>
    </w:p>
    <w:p w14:paraId="0E7372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center"/>
        <w:rPr>
          <w:rFonts w:ascii="宋体" w:hAnsi="宋体"/>
          <w:color w:val="000000"/>
          <w:sz w:val="24"/>
        </w:rPr>
      </w:pPr>
      <w:r>
        <w:rPr>
          <w:rFonts w:hint="eastAsia" w:ascii="宋体" w:hAnsi="宋体"/>
          <w:color w:val="000000"/>
          <w:sz w:val="24"/>
        </w:rPr>
        <w:t>出版产品设计。出版产品设计是指在一定理论指导下完成的具体出版产品及其制作说明。出版产品设计</w:t>
      </w:r>
      <w:bookmarkStart w:id="7" w:name="OLE_LINK25"/>
      <w:r>
        <w:rPr>
          <w:rFonts w:ascii="宋体" w:hAnsi="宋体"/>
          <w:color w:val="000000"/>
          <w:sz w:val="24"/>
        </w:rPr>
        <w:t>应来源于</w:t>
      </w:r>
      <w:r>
        <w:rPr>
          <w:rFonts w:hint="eastAsia" w:ascii="宋体" w:hAnsi="宋体"/>
          <w:color w:val="000000"/>
          <w:sz w:val="24"/>
        </w:rPr>
        <w:t>出版</w:t>
      </w:r>
      <w:r>
        <w:rPr>
          <w:rFonts w:ascii="宋体" w:hAnsi="宋体"/>
          <w:color w:val="000000"/>
          <w:sz w:val="24"/>
        </w:rPr>
        <w:t>领域实践需求</w:t>
      </w:r>
      <w:r>
        <w:rPr>
          <w:rFonts w:hint="eastAsia" w:ascii="宋体" w:hAnsi="宋体"/>
          <w:color w:val="000000"/>
          <w:sz w:val="24"/>
        </w:rPr>
        <w:t>，</w:t>
      </w:r>
      <w:r>
        <w:rPr>
          <w:rFonts w:ascii="宋体" w:hAnsi="宋体"/>
          <w:color w:val="000000"/>
          <w:sz w:val="24"/>
        </w:rPr>
        <w:t>具有实用性和可操作性</w:t>
      </w:r>
      <w:bookmarkEnd w:id="7"/>
      <w:r>
        <w:rPr>
          <w:rFonts w:hint="eastAsia" w:ascii="宋体" w:hAnsi="宋体"/>
          <w:color w:val="000000"/>
          <w:sz w:val="24"/>
        </w:rPr>
        <w:t>，由“出版产品（或部分出版产品）”和“出版产品设计报告”两部分组成。“出版产品”指学位申请人在一定出版理论指导下，通过实践活动产生出的具有一定价值的、符合出版活动规律、具有独创性、科学性、文学性或艺术性的智力成果，可以是设计新产品，也可以是对已有产品的改进和改造，提升产品的品质或价值，如纸质图书、纸质期刊、音像电子出版物，以及数字图书、电子期刊、数据库等产品。“出版产品设计报告”是对制作的出版产品进行的分析、阐述和说明，字数不少于1</w:t>
      </w:r>
      <w:r>
        <w:rPr>
          <w:rFonts w:ascii="宋体" w:hAnsi="宋体"/>
          <w:color w:val="000000"/>
          <w:sz w:val="24"/>
        </w:rPr>
        <w:t>6000</w:t>
      </w:r>
      <w:r>
        <w:rPr>
          <w:rFonts w:hint="eastAsia" w:ascii="宋体" w:hAnsi="宋体"/>
          <w:color w:val="000000"/>
          <w:sz w:val="24"/>
        </w:rPr>
        <w:t>字。</w:t>
      </w:r>
    </w:p>
    <w:p w14:paraId="1FFE2B2E">
      <w:pPr>
        <w:keepNext w:val="0"/>
        <w:keepLines w:val="0"/>
        <w:pageBreakBefore w:val="0"/>
        <w:widowControl/>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ascii="宋体" w:hAnsi="宋体"/>
          <w:color w:val="000000"/>
          <w:sz w:val="24"/>
        </w:rPr>
        <w:t>2.开题：开题是研究生培养过程中开展学位（毕业）论文</w:t>
      </w:r>
      <w:r>
        <w:rPr>
          <w:rFonts w:hint="eastAsia" w:ascii="宋体" w:hAnsi="宋体"/>
          <w:color w:val="000000"/>
          <w:sz w:val="24"/>
        </w:rPr>
        <w:t>与申请学位实践成果</w:t>
      </w:r>
      <w:r>
        <w:rPr>
          <w:rFonts w:ascii="宋体" w:hAnsi="宋体"/>
          <w:color w:val="000000"/>
          <w:sz w:val="24"/>
        </w:rPr>
        <w:t>工作的首要环节，要求研究生充分阅读国内外相关文献，撰写开题报告。开题报告应包含文献综述、选题依据、研究方案、预期目标与成果、工作计划等关键问题。</w:t>
      </w:r>
    </w:p>
    <w:p w14:paraId="7138EEBF">
      <w:pPr>
        <w:keepNext w:val="0"/>
        <w:keepLines w:val="0"/>
        <w:pageBreakBefore w:val="0"/>
        <w:widowControl/>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ascii="宋体" w:hAnsi="宋体"/>
          <w:color w:val="000000"/>
          <w:sz w:val="24"/>
        </w:rPr>
        <w:t>原则上在入学后第3学期（最迟</w:t>
      </w:r>
      <w:r>
        <w:rPr>
          <w:rFonts w:hint="eastAsia" w:ascii="宋体" w:hAnsi="宋体"/>
          <w:color w:val="000000"/>
          <w:sz w:val="24"/>
          <w:lang w:val="en-US" w:eastAsia="zh-CN"/>
        </w:rPr>
        <w:t>在</w:t>
      </w:r>
      <w:r>
        <w:rPr>
          <w:rFonts w:ascii="宋体" w:hAnsi="宋体"/>
          <w:color w:val="000000"/>
          <w:sz w:val="24"/>
        </w:rPr>
        <w:t>第4学期）完成开题。开题由3-5名具有高级专业技术职务人员参加，以学术报告的方式进行。</w:t>
      </w:r>
    </w:p>
    <w:p w14:paraId="077BF5DF">
      <w:pPr>
        <w:keepNext w:val="0"/>
        <w:keepLines w:val="0"/>
        <w:pageBreakBefore w:val="0"/>
        <w:widowControl/>
        <w:kinsoku/>
        <w:wordWrap/>
        <w:overflowPunct/>
        <w:topLinePunct w:val="0"/>
        <w:autoSpaceDE/>
        <w:autoSpaceDN/>
        <w:bidi w:val="0"/>
        <w:snapToGrid w:val="0"/>
        <w:spacing w:line="360" w:lineRule="auto"/>
        <w:ind w:firstLine="480" w:firstLineChars="200"/>
        <w:jc w:val="left"/>
        <w:rPr>
          <w:rFonts w:ascii="宋体" w:hAnsi="宋体"/>
          <w:color w:val="000000"/>
          <w:sz w:val="24"/>
        </w:rPr>
      </w:pPr>
      <w:r>
        <w:rPr>
          <w:rFonts w:ascii="宋体" w:hAnsi="宋体"/>
          <w:color w:val="000000"/>
          <w:sz w:val="24"/>
        </w:rPr>
        <w:t>3.中期进展报告：中期进展报告是检查研究生个人综合能力及学位论文</w:t>
      </w:r>
      <w:r>
        <w:rPr>
          <w:rFonts w:hint="eastAsia" w:ascii="宋体" w:hAnsi="宋体"/>
          <w:color w:val="000000"/>
          <w:sz w:val="24"/>
        </w:rPr>
        <w:t>与申请学位实践成果</w:t>
      </w:r>
      <w:r>
        <w:rPr>
          <w:rFonts w:ascii="宋体" w:hAnsi="宋体"/>
          <w:color w:val="000000"/>
          <w:sz w:val="24"/>
        </w:rPr>
        <w:t>进展、指导研究生把握学位（毕业）论文</w:t>
      </w:r>
      <w:r>
        <w:rPr>
          <w:rFonts w:hint="eastAsia" w:ascii="宋体" w:hAnsi="宋体"/>
          <w:color w:val="000000"/>
          <w:sz w:val="24"/>
        </w:rPr>
        <w:t>与申请学位实践成果</w:t>
      </w:r>
      <w:r>
        <w:rPr>
          <w:rFonts w:ascii="宋体" w:hAnsi="宋体"/>
          <w:color w:val="000000"/>
          <w:sz w:val="24"/>
        </w:rPr>
        <w:t>方向、提高学位（毕业）论文</w:t>
      </w:r>
      <w:r>
        <w:rPr>
          <w:rFonts w:hint="eastAsia" w:ascii="宋体" w:hAnsi="宋体"/>
          <w:color w:val="000000"/>
          <w:sz w:val="24"/>
        </w:rPr>
        <w:t>与申请学位实践成果</w:t>
      </w:r>
      <w:r>
        <w:rPr>
          <w:rFonts w:ascii="宋体" w:hAnsi="宋体"/>
          <w:color w:val="000000"/>
          <w:sz w:val="24"/>
        </w:rPr>
        <w:t>质量的必要环节。中期进展报告原则上应在入学后第5学期进行；导师组自行制定中期考核办法并组织考核。</w:t>
      </w:r>
    </w:p>
    <w:p w14:paraId="14942CA5">
      <w:pPr>
        <w:keepNext w:val="0"/>
        <w:keepLines w:val="0"/>
        <w:pageBreakBefore w:val="0"/>
        <w:widowControl/>
        <w:kinsoku/>
        <w:wordWrap/>
        <w:overflowPunct/>
        <w:topLinePunct w:val="0"/>
        <w:autoSpaceDE/>
        <w:autoSpaceDN/>
        <w:bidi w:val="0"/>
        <w:snapToGrid w:val="0"/>
        <w:spacing w:line="360" w:lineRule="auto"/>
        <w:ind w:firstLine="480"/>
        <w:jc w:val="left"/>
        <w:rPr>
          <w:rFonts w:ascii="宋体" w:hAnsi="宋体"/>
          <w:color w:val="000000"/>
          <w:sz w:val="24"/>
        </w:rPr>
      </w:pPr>
      <w:r>
        <w:rPr>
          <w:rFonts w:ascii="宋体" w:hAnsi="宋体"/>
          <w:color w:val="000000"/>
          <w:sz w:val="24"/>
        </w:rPr>
        <w:t>4.学位申请：达到学位授予条件的申请人，经导师同意后，应于答辩前三个月，向所属学位评定分委员会提出学位申请，提交学位申请材料。</w:t>
      </w:r>
    </w:p>
    <w:p w14:paraId="27D24366">
      <w:pPr>
        <w:keepNext w:val="0"/>
        <w:keepLines w:val="0"/>
        <w:pageBreakBefore w:val="0"/>
        <w:widowControl/>
        <w:kinsoku/>
        <w:wordWrap/>
        <w:overflowPunct/>
        <w:topLinePunct w:val="0"/>
        <w:autoSpaceDE/>
        <w:autoSpaceDN/>
        <w:bidi w:val="0"/>
        <w:snapToGrid w:val="0"/>
        <w:spacing w:line="360" w:lineRule="auto"/>
        <w:ind w:firstLine="480"/>
        <w:jc w:val="left"/>
        <w:rPr>
          <w:rFonts w:ascii="宋体" w:hAnsi="宋体"/>
          <w:color w:val="000000"/>
          <w:sz w:val="24"/>
        </w:rPr>
      </w:pPr>
      <w:r>
        <w:rPr>
          <w:rFonts w:ascii="宋体" w:hAnsi="宋体"/>
          <w:color w:val="000000"/>
          <w:sz w:val="24"/>
        </w:rPr>
        <w:t>5.预答辩：学位申请人须进行学位论文</w:t>
      </w:r>
      <w:r>
        <w:rPr>
          <w:rFonts w:hint="eastAsia" w:ascii="宋体" w:hAnsi="宋体"/>
          <w:color w:val="000000"/>
          <w:sz w:val="24"/>
        </w:rPr>
        <w:t>与申请学位实践成果</w:t>
      </w:r>
      <w:r>
        <w:rPr>
          <w:rFonts w:ascii="宋体" w:hAnsi="宋体"/>
          <w:color w:val="000000"/>
          <w:sz w:val="24"/>
        </w:rPr>
        <w:t>预答辩。预答辩通过者，方可进入学位论文</w:t>
      </w:r>
      <w:r>
        <w:rPr>
          <w:rFonts w:hint="eastAsia" w:ascii="宋体" w:hAnsi="宋体"/>
          <w:color w:val="000000"/>
          <w:sz w:val="24"/>
        </w:rPr>
        <w:t>与申请学位实践成果</w:t>
      </w:r>
      <w:r>
        <w:rPr>
          <w:rFonts w:ascii="宋体" w:hAnsi="宋体"/>
          <w:color w:val="000000"/>
          <w:sz w:val="24"/>
        </w:rPr>
        <w:t>评阅、学位论文</w:t>
      </w:r>
      <w:r>
        <w:rPr>
          <w:rFonts w:hint="eastAsia" w:ascii="宋体" w:hAnsi="宋体"/>
          <w:color w:val="000000"/>
          <w:sz w:val="24"/>
        </w:rPr>
        <w:t>与申请学位实践成果</w:t>
      </w:r>
      <w:r>
        <w:rPr>
          <w:rFonts w:ascii="宋体" w:hAnsi="宋体"/>
          <w:color w:val="000000"/>
          <w:sz w:val="24"/>
        </w:rPr>
        <w:t>答辩等环节。学位（毕业）论文</w:t>
      </w:r>
      <w:r>
        <w:rPr>
          <w:rFonts w:hint="eastAsia" w:ascii="宋体" w:hAnsi="宋体"/>
          <w:color w:val="000000"/>
          <w:sz w:val="24"/>
        </w:rPr>
        <w:t>与申请学位实践成果</w:t>
      </w:r>
      <w:r>
        <w:rPr>
          <w:rFonts w:ascii="宋体" w:hAnsi="宋体"/>
          <w:color w:val="000000"/>
          <w:sz w:val="24"/>
        </w:rPr>
        <w:t>预答辩在正式答辩前3个月进行。</w:t>
      </w:r>
    </w:p>
    <w:p w14:paraId="651FE277">
      <w:pPr>
        <w:keepNext w:val="0"/>
        <w:keepLines w:val="0"/>
        <w:pageBreakBefore w:val="0"/>
        <w:widowControl/>
        <w:kinsoku/>
        <w:wordWrap/>
        <w:overflowPunct/>
        <w:topLinePunct w:val="0"/>
        <w:autoSpaceDE/>
        <w:autoSpaceDN/>
        <w:bidi w:val="0"/>
        <w:snapToGrid w:val="0"/>
        <w:spacing w:line="360" w:lineRule="auto"/>
        <w:ind w:firstLine="480"/>
        <w:jc w:val="left"/>
        <w:rPr>
          <w:rFonts w:hint="eastAsia" w:ascii="宋体" w:hAnsi="宋体" w:eastAsia="宋体" w:cs="宋体"/>
          <w:color w:val="000000"/>
          <w:sz w:val="24"/>
        </w:rPr>
      </w:pPr>
      <w:r>
        <w:rPr>
          <w:rFonts w:ascii="宋体" w:hAnsi="宋体"/>
          <w:color w:val="000000"/>
          <w:sz w:val="24"/>
        </w:rPr>
        <w:t>6.论文</w:t>
      </w:r>
      <w:r>
        <w:rPr>
          <w:rFonts w:hint="eastAsia" w:ascii="宋体" w:hAnsi="宋体"/>
          <w:color w:val="000000"/>
          <w:sz w:val="24"/>
        </w:rPr>
        <w:t>与申请学位实践成果</w:t>
      </w:r>
      <w:r>
        <w:rPr>
          <w:rFonts w:ascii="宋体" w:hAnsi="宋体"/>
          <w:color w:val="000000"/>
          <w:sz w:val="24"/>
        </w:rPr>
        <w:t>评阅：学位（毕业）论文</w:t>
      </w:r>
      <w:r>
        <w:rPr>
          <w:rFonts w:hint="eastAsia" w:ascii="宋体" w:hAnsi="宋体"/>
          <w:color w:val="000000"/>
          <w:sz w:val="24"/>
        </w:rPr>
        <w:t>与申请学位实践成果</w:t>
      </w:r>
      <w:r>
        <w:rPr>
          <w:rFonts w:ascii="宋体" w:hAnsi="宋体"/>
          <w:color w:val="000000"/>
          <w:sz w:val="24"/>
        </w:rPr>
        <w:t>获得导师组认可，经培养单位形式审查合格，并通过预答辩，方可提出进入评阅程序的申请。论文</w:t>
      </w:r>
      <w:r>
        <w:rPr>
          <w:rFonts w:hint="eastAsia" w:ascii="宋体" w:hAnsi="宋体"/>
          <w:color w:val="000000"/>
          <w:sz w:val="24"/>
        </w:rPr>
        <w:t>与申请学位实践成果</w:t>
      </w:r>
      <w:r>
        <w:rPr>
          <w:rFonts w:ascii="宋体" w:hAnsi="宋体"/>
          <w:color w:val="000000"/>
          <w:sz w:val="24"/>
        </w:rPr>
        <w:t>评阅在正式答辩前40天由研究生提出，由培养单位依据相关规定进行匿名评审。评阅结果及异议处理按照《河北大学研究生学位论文或者实践成果评审管理办法》（校政字</w:t>
      </w:r>
      <w:r>
        <w:rPr>
          <w:rFonts w:hint="eastAsia" w:ascii="宋体" w:hAnsi="宋体" w:eastAsia="宋体" w:cs="宋体"/>
          <w:color w:val="000000"/>
          <w:sz w:val="24"/>
        </w:rPr>
        <w:t>〔2025〕8号）执行。</w:t>
      </w:r>
    </w:p>
    <w:p w14:paraId="25330068">
      <w:pPr>
        <w:keepNext w:val="0"/>
        <w:keepLines w:val="0"/>
        <w:pageBreakBefore w:val="0"/>
        <w:widowControl/>
        <w:kinsoku/>
        <w:wordWrap/>
        <w:overflowPunct/>
        <w:topLinePunct w:val="0"/>
        <w:autoSpaceDE/>
        <w:autoSpaceDN/>
        <w:bidi w:val="0"/>
        <w:snapToGrid w:val="0"/>
        <w:spacing w:line="360" w:lineRule="auto"/>
        <w:ind w:firstLine="480"/>
        <w:jc w:val="left"/>
        <w:rPr>
          <w:rFonts w:eastAsiaTheme="minorEastAsia"/>
          <w:i/>
          <w:color w:val="FF0000"/>
          <w:sz w:val="24"/>
        </w:rPr>
      </w:pPr>
      <w:r>
        <w:rPr>
          <w:rFonts w:hint="eastAsia" w:ascii="宋体" w:hAnsi="宋体" w:eastAsia="宋体" w:cs="宋体"/>
          <w:color w:val="000000"/>
          <w:sz w:val="24"/>
        </w:rPr>
        <w:t>7.答辩：学</w:t>
      </w:r>
      <w:r>
        <w:rPr>
          <w:rFonts w:hint="eastAsia" w:ascii="宋体" w:hAnsi="宋体" w:eastAsia="宋体" w:cs="宋体"/>
          <w:bCs/>
          <w:color w:val="222222"/>
          <w:kern w:val="0"/>
          <w:sz w:val="24"/>
        </w:rPr>
        <w:t>位（毕业）论文</w:t>
      </w:r>
      <w:r>
        <w:rPr>
          <w:rFonts w:hint="eastAsia" w:ascii="宋体" w:hAnsi="宋体" w:eastAsia="宋体" w:cs="宋体"/>
          <w:color w:val="000000"/>
          <w:sz w:val="24"/>
        </w:rPr>
        <w:t>与申请学位实践成果</w:t>
      </w:r>
      <w:r>
        <w:rPr>
          <w:rFonts w:hint="eastAsia" w:ascii="宋体" w:hAnsi="宋体" w:eastAsia="宋体" w:cs="宋体"/>
          <w:bCs/>
          <w:color w:val="222222"/>
          <w:kern w:val="0"/>
          <w:sz w:val="24"/>
        </w:rPr>
        <w:t>答辩按照</w:t>
      </w:r>
      <w:r>
        <w:rPr>
          <w:rFonts w:hint="eastAsia" w:ascii="宋体" w:hAnsi="宋体" w:eastAsia="宋体" w:cs="宋体"/>
          <w:color w:val="222222"/>
          <w:kern w:val="0"/>
          <w:sz w:val="24"/>
        </w:rPr>
        <w:t>《河北大学博士、硕士学位授予工作实施细则》（校政字〔2025〕7号）执</w:t>
      </w:r>
      <w:r>
        <w:rPr>
          <w:color w:val="222222"/>
          <w:kern w:val="0"/>
          <w:sz w:val="24"/>
        </w:rPr>
        <w:t>行。</w:t>
      </w:r>
    </w:p>
    <w:p w14:paraId="2DA6CE80">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64F4C9B">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43684F56">
      <w:pPr>
        <w:keepNext w:val="0"/>
        <w:keepLines w:val="0"/>
        <w:pageBreakBefore w:val="0"/>
        <w:kinsoku/>
        <w:wordWrap/>
        <w:overflowPunct/>
        <w:topLinePunct w:val="0"/>
        <w:autoSpaceDE/>
        <w:autoSpaceDN/>
        <w:bidi w:val="0"/>
        <w:snapToGrid w:val="0"/>
        <w:spacing w:line="360" w:lineRule="auto"/>
        <w:ind w:firstLine="480" w:firstLineChars="200"/>
        <w:rPr>
          <w:bCs/>
          <w:color w:val="FF0000"/>
          <w:kern w:val="0"/>
          <w:sz w:val="24"/>
        </w:rPr>
      </w:pPr>
      <w:r>
        <w:rPr>
          <w:rFonts w:eastAsiaTheme="minorEastAsia"/>
          <w:bCs/>
          <w:sz w:val="24"/>
        </w:rPr>
        <w:t xml:space="preserve">2. </w:t>
      </w:r>
      <w:r>
        <w:rPr>
          <w:bCs/>
          <w:sz w:val="24"/>
        </w:rPr>
        <w:t>实践</w:t>
      </w:r>
      <w:r>
        <w:rPr>
          <w:rFonts w:hint="eastAsia"/>
          <w:bCs/>
          <w:sz w:val="24"/>
          <w:lang w:val="en-US" w:eastAsia="zh-CN"/>
        </w:rPr>
        <w:t>/</w:t>
      </w:r>
      <w:r>
        <w:rPr>
          <w:bCs/>
          <w:sz w:val="24"/>
        </w:rPr>
        <w:t>学术活动。研究生在读期间至少需要完成</w:t>
      </w:r>
      <w:r>
        <w:rPr>
          <w:rFonts w:hint="eastAsia"/>
          <w:bCs/>
          <w:sz w:val="24"/>
          <w:lang w:val="en-US" w:eastAsia="zh-CN"/>
        </w:rPr>
        <w:t>三</w:t>
      </w:r>
      <w:r>
        <w:rPr>
          <w:bCs/>
          <w:sz w:val="24"/>
        </w:rPr>
        <w:t>类活动中的</w:t>
      </w:r>
      <w:r>
        <w:rPr>
          <w:rFonts w:hint="eastAsia"/>
          <w:bCs/>
          <w:sz w:val="24"/>
          <w:lang w:val="en-US" w:eastAsia="zh-CN"/>
        </w:rPr>
        <w:t>两</w:t>
      </w:r>
      <w:r>
        <w:rPr>
          <w:bCs/>
          <w:sz w:val="24"/>
        </w:rPr>
        <w:t>类：</w:t>
      </w:r>
    </w:p>
    <w:p w14:paraId="504AC5BE">
      <w:pPr>
        <w:keepNext w:val="0"/>
        <w:keepLines w:val="0"/>
        <w:pageBreakBefore w:val="0"/>
        <w:kinsoku/>
        <w:wordWrap/>
        <w:overflowPunct/>
        <w:topLinePunct w:val="0"/>
        <w:autoSpaceDE/>
        <w:autoSpaceDN/>
        <w:bidi w:val="0"/>
        <w:snapToGrid w:val="0"/>
        <w:spacing w:line="360" w:lineRule="auto"/>
        <w:ind w:firstLine="480" w:firstLineChars="200"/>
        <w:rPr>
          <w:rFonts w:hint="eastAsia"/>
          <w:bCs/>
          <w:kern w:val="0"/>
          <w:sz w:val="24"/>
          <w:lang w:eastAsia="zh-CN"/>
        </w:rPr>
      </w:pPr>
      <w:r>
        <w:rPr>
          <w:bCs/>
          <w:kern w:val="0"/>
          <w:sz w:val="24"/>
        </w:rPr>
        <w:t>（</w:t>
      </w:r>
      <w:r>
        <w:rPr>
          <w:rFonts w:hint="eastAsia"/>
          <w:bCs/>
          <w:kern w:val="0"/>
          <w:sz w:val="24"/>
          <w:lang w:val="en-US" w:eastAsia="zh-CN"/>
        </w:rPr>
        <w:t>1</w:t>
      </w:r>
      <w:r>
        <w:rPr>
          <w:bCs/>
          <w:kern w:val="0"/>
          <w:sz w:val="24"/>
        </w:rPr>
        <w:t>）实践活动：</w:t>
      </w:r>
      <w:bookmarkStart w:id="8" w:name="_Hlk193352636"/>
      <w:r>
        <w:rPr>
          <w:rFonts w:hint="eastAsia" w:ascii="宋体" w:hAnsi="宋体"/>
          <w:bCs/>
          <w:sz w:val="24"/>
        </w:rPr>
        <w:t>研究生完成培养方案规定的实践活动</w:t>
      </w:r>
      <w:r>
        <w:rPr>
          <w:rFonts w:hint="eastAsia" w:ascii="宋体" w:hAnsi="宋体"/>
          <w:bCs/>
          <w:sz w:val="24"/>
          <w:lang w:eastAsia="zh-CN"/>
        </w:rPr>
        <w:t>，</w:t>
      </w:r>
      <w:r>
        <w:rPr>
          <w:rFonts w:hint="eastAsia" w:ascii="宋体" w:hAnsi="宋体"/>
          <w:bCs/>
          <w:sz w:val="24"/>
          <w:lang w:val="en-US" w:eastAsia="zh-CN"/>
        </w:rPr>
        <w:t>在</w:t>
      </w:r>
      <w:r>
        <w:rPr>
          <w:rFonts w:hint="eastAsia"/>
          <w:bCs/>
          <w:kern w:val="0"/>
          <w:sz w:val="24"/>
        </w:rPr>
        <w:t>学期间必须保证不少于6个月的实习实践，可采用集中实践与分段实践相结合的方式。</w:t>
      </w:r>
      <w:bookmarkEnd w:id="8"/>
      <w:r>
        <w:rPr>
          <w:bCs/>
          <w:kern w:val="0"/>
          <w:sz w:val="24"/>
        </w:rPr>
        <w:t>参与本专业相关的社会实践，由相关单位出具相关实践证明材料；或组织开展与本专业相关的调查、考察等活动，并提交相关报告</w:t>
      </w:r>
      <w:r>
        <w:rPr>
          <w:rFonts w:hint="eastAsia"/>
          <w:bCs/>
          <w:kern w:val="0"/>
          <w:sz w:val="24"/>
          <w:lang w:eastAsia="zh-CN"/>
        </w:rPr>
        <w:t>。</w:t>
      </w:r>
    </w:p>
    <w:p w14:paraId="762FB14B">
      <w:pPr>
        <w:keepNext w:val="0"/>
        <w:keepLines w:val="0"/>
        <w:pageBreakBefore w:val="0"/>
        <w:kinsoku/>
        <w:wordWrap/>
        <w:overflowPunct/>
        <w:topLinePunct w:val="0"/>
        <w:autoSpaceDE/>
        <w:autoSpaceDN/>
        <w:bidi w:val="0"/>
        <w:snapToGrid w:val="0"/>
        <w:spacing w:line="360" w:lineRule="auto"/>
        <w:ind w:firstLine="480" w:firstLineChars="200"/>
        <w:rPr>
          <w:rFonts w:hint="eastAsia" w:eastAsia="宋体"/>
          <w:bCs/>
          <w:kern w:val="0"/>
          <w:sz w:val="24"/>
          <w:lang w:eastAsia="zh-CN"/>
        </w:rPr>
      </w:pPr>
      <w:r>
        <w:rPr>
          <w:bCs/>
          <w:kern w:val="0"/>
          <w:sz w:val="24"/>
        </w:rPr>
        <w:t>（</w:t>
      </w:r>
      <w:r>
        <w:rPr>
          <w:rFonts w:hint="eastAsia"/>
          <w:bCs/>
          <w:kern w:val="0"/>
          <w:sz w:val="24"/>
          <w:lang w:val="en-US" w:eastAsia="zh-CN"/>
        </w:rPr>
        <w:t>2</w:t>
      </w:r>
      <w:r>
        <w:rPr>
          <w:bCs/>
          <w:kern w:val="0"/>
          <w:sz w:val="24"/>
        </w:rPr>
        <w:t>）学术活动：研究生在读期间参加不</w:t>
      </w:r>
      <w:r>
        <w:rPr>
          <w:rFonts w:hint="eastAsia" w:ascii="宋体" w:hAnsi="宋体" w:eastAsia="宋体" w:cs="宋体"/>
          <w:bCs/>
          <w:kern w:val="0"/>
          <w:sz w:val="24"/>
        </w:rPr>
        <w:t>少于10次学术活动，并撰写学术报告小结；以主讲人或宣讲人身份，参加在校内外举行的学术报告或学术讲座不少于</w:t>
      </w:r>
      <w:r>
        <w:rPr>
          <w:rFonts w:hint="eastAsia" w:ascii="宋体" w:hAnsi="宋体" w:eastAsia="宋体" w:cs="宋体"/>
          <w:bCs/>
          <w:iCs/>
          <w:color w:val="000000" w:themeColor="text1"/>
          <w:kern w:val="0"/>
          <w:sz w:val="24"/>
          <w14:textFill>
            <w14:solidFill>
              <w14:schemeClr w14:val="tx1"/>
            </w14:solidFill>
          </w14:textFill>
        </w:rPr>
        <w:t>1</w:t>
      </w:r>
      <w:r>
        <w:rPr>
          <w:rFonts w:hint="eastAsia" w:ascii="宋体" w:hAnsi="宋体" w:eastAsia="宋体" w:cs="宋体"/>
          <w:bCs/>
          <w:kern w:val="0"/>
          <w:sz w:val="24"/>
        </w:rPr>
        <w:t>次</w:t>
      </w:r>
      <w:r>
        <w:rPr>
          <w:bCs/>
          <w:kern w:val="0"/>
          <w:sz w:val="24"/>
        </w:rPr>
        <w:t>。</w:t>
      </w:r>
    </w:p>
    <w:p w14:paraId="57E75BD2">
      <w:pPr>
        <w:keepNext w:val="0"/>
        <w:keepLines w:val="0"/>
        <w:pageBreakBefore w:val="0"/>
        <w:kinsoku/>
        <w:wordWrap/>
        <w:overflowPunct/>
        <w:topLinePunct w:val="0"/>
        <w:autoSpaceDE/>
        <w:autoSpaceDN/>
        <w:bidi w:val="0"/>
        <w:snapToGrid w:val="0"/>
        <w:spacing w:line="360" w:lineRule="auto"/>
        <w:ind w:firstLine="480" w:firstLineChars="200"/>
        <w:rPr>
          <w:rFonts w:hint="default" w:eastAsia="宋体"/>
          <w:bCs/>
          <w:kern w:val="0"/>
          <w:sz w:val="24"/>
          <w:lang w:val="en-US" w:eastAsia="zh-CN"/>
        </w:rPr>
      </w:pPr>
      <w:r>
        <w:rPr>
          <w:rFonts w:hint="eastAsia"/>
          <w:bCs/>
          <w:kern w:val="0"/>
          <w:sz w:val="24"/>
          <w:lang w:eastAsia="zh-CN"/>
        </w:rPr>
        <w:t>（</w:t>
      </w:r>
      <w:r>
        <w:rPr>
          <w:rFonts w:hint="eastAsia"/>
          <w:bCs/>
          <w:kern w:val="0"/>
          <w:sz w:val="24"/>
          <w:lang w:val="en-US" w:eastAsia="zh-CN"/>
        </w:rPr>
        <w:t>3</w:t>
      </w:r>
      <w:r>
        <w:rPr>
          <w:rFonts w:hint="eastAsia"/>
          <w:bCs/>
          <w:kern w:val="0"/>
          <w:sz w:val="24"/>
          <w:lang w:eastAsia="zh-CN"/>
        </w:rPr>
        <w:t>）</w:t>
      </w:r>
      <w:r>
        <w:rPr>
          <w:rFonts w:hint="eastAsia"/>
          <w:bCs/>
          <w:kern w:val="0"/>
          <w:sz w:val="24"/>
          <w:lang w:val="en-US" w:eastAsia="zh-CN"/>
        </w:rPr>
        <w:t>竞赛活动：</w:t>
      </w:r>
      <w:r>
        <w:rPr>
          <w:rFonts w:hint="eastAsia"/>
          <w:bCs/>
          <w:kern w:val="0"/>
          <w:sz w:val="24"/>
        </w:rPr>
        <w:t>参加学科专业竞赛，提交相应作品</w:t>
      </w:r>
      <w:r>
        <w:rPr>
          <w:bCs/>
          <w:kern w:val="0"/>
          <w:sz w:val="24"/>
        </w:rPr>
        <w:t>。</w:t>
      </w:r>
    </w:p>
    <w:p w14:paraId="767DCDB6">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FCB2176">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bCs/>
          <w:sz w:val="24"/>
        </w:rPr>
      </w:pPr>
      <w:r>
        <w:rPr>
          <w:rFonts w:eastAsiaTheme="minorEastAsia"/>
          <w:bCs/>
          <w:sz w:val="24"/>
        </w:rPr>
        <w:t>4. 论文答辩。学位（毕业）论文</w:t>
      </w:r>
      <w:r>
        <w:rPr>
          <w:rFonts w:hint="eastAsia" w:ascii="宋体" w:hAnsi="宋体"/>
          <w:color w:val="000000"/>
          <w:sz w:val="24"/>
        </w:rPr>
        <w:t>与申请学位实践成果</w:t>
      </w:r>
      <w:r>
        <w:rPr>
          <w:rFonts w:eastAsiaTheme="minorEastAsia"/>
          <w:bCs/>
          <w:sz w:val="24"/>
        </w:rPr>
        <w:t>经专家评审合格、通过学位（毕业）</w:t>
      </w:r>
      <w:r>
        <w:rPr>
          <w:rFonts w:hint="eastAsia" w:ascii="宋体" w:hAnsi="宋体"/>
          <w:color w:val="000000"/>
          <w:sz w:val="24"/>
        </w:rPr>
        <w:t>与申请学位实践成果</w:t>
      </w:r>
      <w:r>
        <w:rPr>
          <w:rFonts w:eastAsiaTheme="minorEastAsia"/>
          <w:bCs/>
          <w:sz w:val="24"/>
        </w:rPr>
        <w:t>答辩，符合毕业资格审查后，准予毕业。</w:t>
      </w:r>
    </w:p>
    <w:p w14:paraId="2BF8C0BA">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49319A84">
      <w:pPr>
        <w:keepNext w:val="0"/>
        <w:keepLines w:val="0"/>
        <w:pageBreakBefore w:val="0"/>
        <w:kinsoku/>
        <w:wordWrap/>
        <w:overflowPunct/>
        <w:topLinePunct w:val="0"/>
        <w:autoSpaceDE/>
        <w:autoSpaceDN/>
        <w:bidi w:val="0"/>
        <w:snapToGrid w:val="0"/>
        <w:spacing w:line="360" w:lineRule="auto"/>
        <w:ind w:firstLine="480" w:firstLineChars="200"/>
        <w:rPr>
          <w:rFonts w:hint="eastAsia" w:eastAsiaTheme="minorEastAsia"/>
          <w:color w:val="000000"/>
          <w:sz w:val="24"/>
          <w:lang w:val="en-US" w:eastAsia="zh-CN"/>
        </w:rPr>
      </w:pPr>
      <w:r>
        <w:rPr>
          <w:rFonts w:hint="eastAsia" w:eastAsiaTheme="minorEastAsia"/>
          <w:color w:val="000000"/>
          <w:sz w:val="24"/>
        </w:rPr>
        <w:t>鼓励研究生参加导师相关课题研究，鼓励研究生参加学科专业竞赛，取得的相关创新性成果根据学校三好学生评定、学院奖学金评定、</w:t>
      </w:r>
      <w:bookmarkStart w:id="9" w:name="OLE_LINK11"/>
      <w:r>
        <w:rPr>
          <w:rFonts w:hint="eastAsia" w:eastAsiaTheme="minorEastAsia"/>
          <w:color w:val="000000"/>
          <w:sz w:val="24"/>
        </w:rPr>
        <w:t>硕博连读推荐</w:t>
      </w:r>
      <w:bookmarkEnd w:id="9"/>
      <w:r>
        <w:rPr>
          <w:rFonts w:hint="eastAsia" w:eastAsiaTheme="minorEastAsia"/>
          <w:color w:val="000000"/>
          <w:sz w:val="24"/>
        </w:rPr>
        <w:t>等文件，适当给予加分或优先推荐。</w:t>
      </w:r>
      <w:r>
        <w:rPr>
          <w:rFonts w:hint="eastAsia" w:eastAsiaTheme="minorEastAsia"/>
          <w:color w:val="000000"/>
          <w:sz w:val="24"/>
          <w:lang w:val="en-US" w:eastAsia="zh-CN"/>
        </w:rPr>
        <w:t>具体要求与标准见《新闻传播学院关于研究生申请学位取得创新性成果的规定》。</w:t>
      </w:r>
    </w:p>
    <w:p w14:paraId="6CA64FCF">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eastAsia="黑体"/>
          <w:bCs/>
          <w:sz w:val="28"/>
          <w:szCs w:val="28"/>
        </w:rPr>
        <w:t>十一、学位授予</w:t>
      </w:r>
    </w:p>
    <w:p w14:paraId="6A44B2F2">
      <w:pPr>
        <w:keepNext w:val="0"/>
        <w:keepLines w:val="0"/>
        <w:pageBreakBefore w:val="0"/>
        <w:kinsoku/>
        <w:wordWrap/>
        <w:overflowPunct/>
        <w:topLinePunct w:val="0"/>
        <w:autoSpaceDE/>
        <w:autoSpaceDN/>
        <w:bidi w:val="0"/>
        <w:snapToGrid w:val="0"/>
        <w:spacing w:line="360" w:lineRule="auto"/>
        <w:ind w:firstLine="480" w:firstLineChars="200"/>
        <w:rPr>
          <w:rFonts w:eastAsiaTheme="minorEastAsia"/>
          <w:bCs/>
          <w:sz w:val="24"/>
        </w:rPr>
      </w:pPr>
      <w:r>
        <w:rPr>
          <w:rFonts w:hint="eastAsia" w:eastAsiaTheme="minorEastAsia"/>
          <w:bCs/>
          <w:color w:val="000000" w:themeColor="text1"/>
          <w:sz w:val="24"/>
          <w14:textFill>
            <w14:solidFill>
              <w14:schemeClr w14:val="tx1"/>
            </w14:solidFill>
          </w14:textFill>
        </w:rPr>
        <w:t>研究生</w:t>
      </w:r>
      <w:r>
        <w:rPr>
          <w:rFonts w:eastAsiaTheme="minorEastAsia"/>
          <w:bCs/>
          <w:color w:val="000000" w:themeColor="text1"/>
          <w:sz w:val="24"/>
          <w14:textFill>
            <w14:solidFill>
              <w14:schemeClr w14:val="tx1"/>
            </w14:solidFill>
          </w14:textFill>
        </w:rPr>
        <w:t>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w:t>
      </w:r>
      <w:r>
        <w:rPr>
          <w:rFonts w:hint="eastAsia" w:ascii="宋体" w:hAnsi="宋体" w:eastAsia="宋体" w:cs="宋体"/>
          <w:color w:val="222222"/>
          <w:kern w:val="0"/>
          <w:sz w:val="24"/>
        </w:rPr>
        <w:t>〔2025〕7号）</w:t>
      </w:r>
      <w:r>
        <w:rPr>
          <w:rFonts w:eastAsiaTheme="minorEastAsia"/>
          <w:bCs/>
          <w:sz w:val="24"/>
        </w:rPr>
        <w:t>的有关规定，达到学校学位授予标准，经学校学位评定委员会审议，授予硕士学位。</w:t>
      </w:r>
    </w:p>
    <w:p w14:paraId="35F97C21">
      <w:pPr>
        <w:keepNext w:val="0"/>
        <w:keepLines w:val="0"/>
        <w:pageBreakBefore w:val="0"/>
        <w:kinsoku/>
        <w:wordWrap/>
        <w:overflowPunct/>
        <w:topLinePunct w:val="0"/>
        <w:autoSpaceDE/>
        <w:autoSpaceDN/>
        <w:bidi w:val="0"/>
        <w:snapToGrid w:val="0"/>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714E29D">
      <w:pPr>
        <w:keepNext w:val="0"/>
        <w:keepLines w:val="0"/>
        <w:pageBreakBefore w:val="0"/>
        <w:kinsoku/>
        <w:wordWrap/>
        <w:overflowPunct/>
        <w:topLinePunct w:val="0"/>
        <w:autoSpaceDE/>
        <w:autoSpaceDN/>
        <w:bidi w:val="0"/>
        <w:snapToGrid w:val="0"/>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本专业最低毕业学分为</w:t>
      </w:r>
      <w:r>
        <w:rPr>
          <w:rFonts w:hint="eastAsia" w:ascii="宋体" w:hAnsi="宋体" w:eastAsia="宋体" w:cs="宋体"/>
          <w:color w:val="000000"/>
          <w:sz w:val="24"/>
          <w:highlight w:val="none"/>
          <w:lang w:val="en-US" w:eastAsia="zh-CN"/>
        </w:rPr>
        <w:t>42</w:t>
      </w:r>
      <w:r>
        <w:rPr>
          <w:rFonts w:hint="eastAsia" w:ascii="宋体" w:hAnsi="宋体" w:cs="宋体"/>
          <w:color w:val="000000"/>
          <w:sz w:val="24"/>
          <w:highlight w:val="none"/>
          <w:lang w:val="en-US" w:eastAsia="zh-CN"/>
        </w:rPr>
        <w:t>学</w:t>
      </w:r>
      <w:r>
        <w:rPr>
          <w:rFonts w:hint="eastAsia" w:ascii="宋体" w:hAnsi="宋体" w:eastAsia="宋体" w:cs="宋体"/>
          <w:color w:val="000000"/>
          <w:sz w:val="24"/>
          <w:highlight w:val="none"/>
        </w:rPr>
        <w:t>分</w:t>
      </w:r>
      <w:r>
        <w:rPr>
          <w:rFonts w:hint="eastAsia" w:ascii="宋体" w:hAnsi="宋体" w:eastAsia="宋体" w:cs="宋体"/>
          <w:color w:val="000000"/>
          <w:sz w:val="24"/>
        </w:rPr>
        <w:t>，其中学位课不</w:t>
      </w:r>
      <w:r>
        <w:rPr>
          <w:rFonts w:hint="eastAsia" w:ascii="宋体" w:hAnsi="宋体" w:eastAsia="宋体" w:cs="宋体"/>
          <w:color w:val="auto"/>
          <w:sz w:val="24"/>
        </w:rPr>
        <w:t>少于</w:t>
      </w:r>
      <w:r>
        <w:rPr>
          <w:rFonts w:hint="eastAsia" w:ascii="宋体" w:hAnsi="宋体" w:eastAsia="宋体" w:cs="宋体"/>
          <w:color w:val="auto"/>
          <w:sz w:val="24"/>
          <w:lang w:val="en-US" w:eastAsia="zh-CN"/>
        </w:rPr>
        <w:t>22</w:t>
      </w:r>
      <w:r>
        <w:rPr>
          <w:rFonts w:hint="eastAsia" w:ascii="宋体" w:hAnsi="宋体" w:eastAsia="宋体" w:cs="宋体"/>
          <w:color w:val="auto"/>
          <w:sz w:val="24"/>
        </w:rPr>
        <w:t>学</w:t>
      </w:r>
      <w:r>
        <w:rPr>
          <w:rFonts w:hint="eastAsia" w:ascii="宋体" w:hAnsi="宋体" w:eastAsia="宋体" w:cs="宋体"/>
          <w:color w:val="000000"/>
          <w:sz w:val="24"/>
        </w:rPr>
        <w:t>分，非学位课不少于</w:t>
      </w:r>
      <w:r>
        <w:rPr>
          <w:rFonts w:hint="eastAsia" w:ascii="宋体" w:hAnsi="宋体" w:eastAsia="宋体" w:cs="宋体"/>
          <w:color w:val="000000"/>
          <w:sz w:val="24"/>
          <w:lang w:val="en-US" w:eastAsia="zh-CN"/>
        </w:rPr>
        <w:t>15</w:t>
      </w:r>
      <w:r>
        <w:rPr>
          <w:rFonts w:hint="eastAsia" w:ascii="宋体" w:hAnsi="宋体" w:eastAsia="宋体" w:cs="宋体"/>
          <w:color w:val="000000"/>
          <w:sz w:val="24"/>
        </w:rPr>
        <w:t>学分，必修环节不少于</w:t>
      </w:r>
      <w:r>
        <w:rPr>
          <w:rFonts w:hint="eastAsia" w:ascii="宋体" w:hAnsi="宋体" w:eastAsia="宋体" w:cs="宋体"/>
          <w:color w:val="000000"/>
          <w:sz w:val="24"/>
          <w:lang w:val="en-US" w:eastAsia="zh-CN"/>
        </w:rPr>
        <w:t>5学</w:t>
      </w:r>
      <w:r>
        <w:rPr>
          <w:rFonts w:hint="eastAsia" w:ascii="宋体" w:hAnsi="宋体" w:eastAsia="宋体" w:cs="宋体"/>
          <w:color w:val="000000"/>
          <w:sz w:val="24"/>
        </w:rPr>
        <w:t>分（</w:t>
      </w:r>
      <w:r>
        <w:rPr>
          <w:rFonts w:hint="eastAsia" w:ascii="宋体" w:hAnsi="宋体" w:eastAsia="宋体" w:cs="宋体"/>
          <w:color w:val="000000"/>
          <w:sz w:val="24"/>
          <w:lang w:val="en-US" w:eastAsia="zh-CN"/>
        </w:rPr>
        <w:t>其中</w:t>
      </w:r>
      <w:r>
        <w:rPr>
          <w:rFonts w:hint="eastAsia" w:ascii="宋体" w:hAnsi="宋体" w:eastAsia="宋体" w:cs="宋体"/>
          <w:color w:val="000000"/>
          <w:sz w:val="24"/>
        </w:rPr>
        <w:t>实习实践活动4学分）。</w:t>
      </w:r>
    </w:p>
    <w:p w14:paraId="308F62DE">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r>
        <w:rPr>
          <w:rFonts w:hint="eastAsia" w:ascii="宋体" w:hAnsi="宋体" w:eastAsia="宋体" w:cs="宋体"/>
          <w:color w:val="000000"/>
          <w:sz w:val="24"/>
        </w:rPr>
        <w:t>课程考试不设补考环节，考试成绩低于60分的需重修。</w:t>
      </w:r>
    </w:p>
    <w:p w14:paraId="7A02CDB3">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2490012">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D385CBF">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ADCDEB8">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4732ABD2">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563F81C6">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81258E5">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9604676">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74C41649">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BDD6D8B">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EE29F76">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2D0E31F7">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5245B0D5">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4BC51A10">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59B9CAE">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4DC0E417">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A5D98DC">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8F1536F">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88356BB">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7A4855F9">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22F7E364">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7B7C95DA">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6389F518">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968CE70">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178CAA1">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45C1A33F">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0F358E3B">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47F65611">
      <w:pPr>
        <w:keepNext w:val="0"/>
        <w:keepLines w:val="0"/>
        <w:pageBreakBefore w:val="0"/>
        <w:kinsoku/>
        <w:wordWrap/>
        <w:overflowPunct/>
        <w:topLinePunct w:val="0"/>
        <w:autoSpaceDE/>
        <w:autoSpaceDN/>
        <w:bidi w:val="0"/>
        <w:snapToGrid w:val="0"/>
        <w:spacing w:line="360" w:lineRule="auto"/>
        <w:ind w:firstLine="480"/>
        <w:rPr>
          <w:rFonts w:hint="eastAsia" w:ascii="宋体" w:hAnsi="宋体" w:eastAsia="宋体" w:cs="宋体"/>
          <w:color w:val="000000"/>
          <w:sz w:val="24"/>
        </w:rPr>
      </w:pPr>
    </w:p>
    <w:p w14:paraId="1F36B6F1">
      <w:pPr>
        <w:spacing w:after="156" w:afterLines="50" w:line="440" w:lineRule="exact"/>
        <w:ind w:firstLine="482" w:firstLineChars="200"/>
        <w:jc w:val="center"/>
        <w:rPr>
          <w:rFonts w:eastAsiaTheme="minorEastAsia"/>
          <w:b/>
          <w:bCs/>
          <w:sz w:val="24"/>
        </w:rPr>
      </w:pPr>
      <w:r>
        <w:rPr>
          <w:rFonts w:hint="eastAsia" w:eastAsiaTheme="minorEastAsia"/>
          <w:b/>
          <w:bCs/>
          <w:sz w:val="24"/>
        </w:rPr>
        <w:t>出版</w:t>
      </w:r>
      <w:r>
        <w:rPr>
          <w:rFonts w:eastAsiaTheme="minorEastAsia"/>
          <w:b/>
          <w:bCs/>
          <w:sz w:val="24"/>
        </w:rPr>
        <w:t>专业全日制专业学位硕士研究生课程及培养环节设置一览表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0929C0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A98029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6A32DB9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45922F1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6384059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75D08FF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72CE3A6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7F7DDC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03A47F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2FF6733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7177D27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E86CF2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4A6B5651">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TS0000001</w:t>
            </w:r>
          </w:p>
        </w:tc>
        <w:tc>
          <w:tcPr>
            <w:tcW w:w="709" w:type="dxa"/>
            <w:vAlign w:val="center"/>
          </w:tcPr>
          <w:p w14:paraId="0002AF6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59A33A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7A0F9B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8CC4F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7BC2F016">
            <w:pPr>
              <w:jc w:val="center"/>
              <w:rPr>
                <w:b/>
                <w:color w:val="000000" w:themeColor="text1"/>
                <w:sz w:val="18"/>
                <w:szCs w:val="18"/>
                <w14:textFill>
                  <w14:solidFill>
                    <w14:schemeClr w14:val="tx1"/>
                  </w14:solidFill>
                </w14:textFill>
              </w:rPr>
            </w:pPr>
          </w:p>
        </w:tc>
        <w:tc>
          <w:tcPr>
            <w:tcW w:w="1226" w:type="dxa"/>
            <w:vMerge w:val="continue"/>
            <w:vAlign w:val="center"/>
          </w:tcPr>
          <w:p w14:paraId="3400883E">
            <w:pPr>
              <w:jc w:val="center"/>
              <w:rPr>
                <w:b/>
                <w:color w:val="000000" w:themeColor="text1"/>
                <w:sz w:val="18"/>
                <w:szCs w:val="18"/>
                <w14:textFill>
                  <w14:solidFill>
                    <w14:schemeClr w14:val="tx1"/>
                  </w14:solidFill>
                </w14:textFill>
              </w:rPr>
            </w:pPr>
          </w:p>
        </w:tc>
        <w:tc>
          <w:tcPr>
            <w:tcW w:w="3516" w:type="dxa"/>
            <w:vAlign w:val="center"/>
          </w:tcPr>
          <w:p w14:paraId="74D314E0">
            <w:pPr>
              <w:rPr>
                <w:sz w:val="18"/>
                <w:szCs w:val="18"/>
              </w:rPr>
            </w:pPr>
            <w:r>
              <w:rPr>
                <w:sz w:val="18"/>
                <w:szCs w:val="18"/>
              </w:rPr>
              <w:t>通用学术英语</w:t>
            </w:r>
          </w:p>
        </w:tc>
        <w:tc>
          <w:tcPr>
            <w:tcW w:w="1081" w:type="dxa"/>
            <w:vAlign w:val="center"/>
          </w:tcPr>
          <w:p w14:paraId="7671654F">
            <w:pPr>
              <w:jc w:val="center"/>
              <w:rPr>
                <w:sz w:val="18"/>
                <w:szCs w:val="18"/>
                <w:highlight w:val="none"/>
              </w:rPr>
            </w:pPr>
            <w:r>
              <w:rPr>
                <w:sz w:val="18"/>
                <w:szCs w:val="18"/>
                <w:highlight w:val="none"/>
              </w:rPr>
              <w:t>TS0000002</w:t>
            </w:r>
          </w:p>
        </w:tc>
        <w:tc>
          <w:tcPr>
            <w:tcW w:w="709" w:type="dxa"/>
            <w:vAlign w:val="center"/>
          </w:tcPr>
          <w:p w14:paraId="1F707BC5">
            <w:pPr>
              <w:jc w:val="center"/>
              <w:rPr>
                <w:sz w:val="18"/>
                <w:szCs w:val="18"/>
              </w:rPr>
            </w:pPr>
            <w:r>
              <w:rPr>
                <w:sz w:val="18"/>
                <w:szCs w:val="18"/>
              </w:rPr>
              <w:t>2</w:t>
            </w:r>
          </w:p>
        </w:tc>
        <w:tc>
          <w:tcPr>
            <w:tcW w:w="709" w:type="dxa"/>
            <w:vAlign w:val="center"/>
          </w:tcPr>
          <w:p w14:paraId="0D72EFC8">
            <w:pPr>
              <w:jc w:val="center"/>
              <w:rPr>
                <w:sz w:val="18"/>
                <w:szCs w:val="18"/>
              </w:rPr>
            </w:pPr>
            <w:r>
              <w:rPr>
                <w:sz w:val="18"/>
                <w:szCs w:val="18"/>
              </w:rPr>
              <w:t>1</w:t>
            </w:r>
          </w:p>
        </w:tc>
        <w:tc>
          <w:tcPr>
            <w:tcW w:w="1045" w:type="dxa"/>
            <w:vAlign w:val="center"/>
          </w:tcPr>
          <w:p w14:paraId="4B713D81">
            <w:pPr>
              <w:jc w:val="center"/>
              <w:rPr>
                <w:sz w:val="18"/>
                <w:szCs w:val="18"/>
              </w:rPr>
            </w:pPr>
            <w:r>
              <w:rPr>
                <w:rFonts w:hint="eastAsia"/>
                <w:sz w:val="18"/>
                <w:szCs w:val="18"/>
              </w:rPr>
              <w:t>考查</w:t>
            </w:r>
          </w:p>
        </w:tc>
      </w:tr>
      <w:tr w14:paraId="45588B8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89" w:hRule="atLeast"/>
          <w:jc w:val="center"/>
        </w:trPr>
        <w:tc>
          <w:tcPr>
            <w:tcW w:w="571" w:type="dxa"/>
            <w:vMerge w:val="continue"/>
            <w:vAlign w:val="center"/>
          </w:tcPr>
          <w:p w14:paraId="69307256">
            <w:pPr>
              <w:jc w:val="center"/>
              <w:rPr>
                <w:b/>
                <w:color w:val="000000" w:themeColor="text1"/>
                <w:sz w:val="18"/>
                <w:szCs w:val="18"/>
                <w14:textFill>
                  <w14:solidFill>
                    <w14:schemeClr w14:val="tx1"/>
                  </w14:solidFill>
                </w14:textFill>
              </w:rPr>
            </w:pPr>
          </w:p>
        </w:tc>
        <w:tc>
          <w:tcPr>
            <w:tcW w:w="1226" w:type="dxa"/>
            <w:vAlign w:val="center"/>
          </w:tcPr>
          <w:p w14:paraId="6938CBCC">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1D57BB1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2</w:t>
            </w:r>
            <w:r>
              <w:rPr>
                <w:b/>
                <w:color w:val="000000" w:themeColor="text1"/>
                <w:sz w:val="18"/>
                <w:szCs w:val="18"/>
                <w14:textFill>
                  <w14:solidFill>
                    <w14:schemeClr w14:val="tx1"/>
                  </w14:solidFill>
                </w14:textFill>
              </w:rPr>
              <w:t>学分）</w:t>
            </w:r>
          </w:p>
        </w:tc>
        <w:tc>
          <w:tcPr>
            <w:tcW w:w="3516" w:type="dxa"/>
            <w:vAlign w:val="center"/>
          </w:tcPr>
          <w:p w14:paraId="3A6B98C9">
            <w:pPr>
              <w:rPr>
                <w:sz w:val="18"/>
                <w:szCs w:val="18"/>
              </w:rPr>
            </w:pPr>
            <w:r>
              <w:rPr>
                <w:rFonts w:hint="eastAsia" w:ascii="Times New Roman" w:hAnsi="Times New Roman" w:eastAsia="宋体" w:cs="Times New Roman"/>
                <w:sz w:val="18"/>
                <w:szCs w:val="18"/>
                <w:lang w:val="en-US" w:eastAsia="zh-CN"/>
                <w14:ligatures w14:val="none"/>
              </w:rPr>
              <w:t>文献阅读、</w:t>
            </w:r>
            <w:r>
              <w:rPr>
                <w:rFonts w:ascii="Times New Roman" w:hAnsi="Times New Roman" w:eastAsia="宋体" w:cs="Times New Roman"/>
                <w:sz w:val="18"/>
                <w:szCs w:val="18"/>
                <w14:ligatures w14:val="none"/>
              </w:rPr>
              <w:t>学术道德与论文写作</w:t>
            </w:r>
          </w:p>
        </w:tc>
        <w:tc>
          <w:tcPr>
            <w:tcW w:w="1081" w:type="dxa"/>
            <w:vAlign w:val="center"/>
          </w:tcPr>
          <w:p w14:paraId="077D25F5">
            <w:pPr>
              <w:jc w:val="center"/>
              <w:rPr>
                <w:rFonts w:hint="default" w:eastAsia="宋体"/>
                <w:sz w:val="18"/>
                <w:szCs w:val="18"/>
                <w:highlight w:val="none"/>
                <w:lang w:val="en-US" w:eastAsia="zh-CN"/>
              </w:rPr>
            </w:pPr>
            <w:r>
              <w:rPr>
                <w:rFonts w:hint="eastAsia" w:ascii="Times New Roman" w:hAnsi="Times New Roman" w:eastAsia="宋体" w:cs="Times New Roman"/>
                <w:sz w:val="18"/>
                <w:szCs w:val="18"/>
                <w:lang w:val="en-US" w:eastAsia="zh-CN"/>
                <w14:ligatures w14:val="none"/>
              </w:rPr>
              <w:t>ZS0206009</w:t>
            </w:r>
          </w:p>
        </w:tc>
        <w:tc>
          <w:tcPr>
            <w:tcW w:w="709" w:type="dxa"/>
            <w:vAlign w:val="center"/>
          </w:tcPr>
          <w:p w14:paraId="36FA4D7B">
            <w:pPr>
              <w:jc w:val="center"/>
              <w:rPr>
                <w:sz w:val="18"/>
                <w:szCs w:val="18"/>
              </w:rPr>
            </w:pPr>
            <w:r>
              <w:rPr>
                <w:rFonts w:hint="eastAsia"/>
                <w:sz w:val="18"/>
                <w:szCs w:val="18"/>
                <w:highlight w:val="none"/>
              </w:rPr>
              <w:t>2</w:t>
            </w:r>
          </w:p>
        </w:tc>
        <w:tc>
          <w:tcPr>
            <w:tcW w:w="709" w:type="dxa"/>
            <w:vAlign w:val="center"/>
          </w:tcPr>
          <w:p w14:paraId="5C53BB41">
            <w:pPr>
              <w:jc w:val="center"/>
              <w:rPr>
                <w:sz w:val="18"/>
                <w:szCs w:val="18"/>
              </w:rPr>
            </w:pPr>
            <w:r>
              <w:rPr>
                <w:rFonts w:hint="eastAsia"/>
                <w:sz w:val="18"/>
                <w:szCs w:val="18"/>
              </w:rPr>
              <w:t>1</w:t>
            </w:r>
          </w:p>
        </w:tc>
        <w:tc>
          <w:tcPr>
            <w:tcW w:w="1045" w:type="dxa"/>
            <w:vAlign w:val="center"/>
          </w:tcPr>
          <w:p w14:paraId="6C44873D">
            <w:pPr>
              <w:jc w:val="center"/>
              <w:rPr>
                <w:sz w:val="18"/>
                <w:szCs w:val="18"/>
              </w:rPr>
            </w:pPr>
            <w:r>
              <w:rPr>
                <w:rFonts w:hint="eastAsia"/>
                <w:sz w:val="18"/>
                <w:szCs w:val="18"/>
              </w:rPr>
              <w:t>考查</w:t>
            </w:r>
          </w:p>
        </w:tc>
      </w:tr>
      <w:tr w14:paraId="6EC992B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5E1E405">
            <w:pPr>
              <w:jc w:val="center"/>
              <w:rPr>
                <w:b/>
                <w:color w:val="000000" w:themeColor="text1"/>
                <w:sz w:val="18"/>
                <w:szCs w:val="18"/>
                <w14:textFill>
                  <w14:solidFill>
                    <w14:schemeClr w14:val="tx1"/>
                  </w14:solidFill>
                </w14:textFill>
              </w:rPr>
            </w:pPr>
          </w:p>
        </w:tc>
        <w:tc>
          <w:tcPr>
            <w:tcW w:w="1226" w:type="dxa"/>
            <w:vMerge w:val="restart"/>
            <w:vAlign w:val="center"/>
          </w:tcPr>
          <w:p w14:paraId="30BE46E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2FF0958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1</w:t>
            </w:r>
            <w:r>
              <w:rPr>
                <w:b/>
                <w:color w:val="000000" w:themeColor="text1"/>
                <w:sz w:val="18"/>
                <w:szCs w:val="18"/>
                <w14:textFill>
                  <w14:solidFill>
                    <w14:schemeClr w14:val="tx1"/>
                  </w14:solidFill>
                </w14:textFill>
              </w:rPr>
              <w:t>6学分）</w:t>
            </w:r>
          </w:p>
        </w:tc>
        <w:tc>
          <w:tcPr>
            <w:tcW w:w="3516" w:type="dxa"/>
            <w:vAlign w:val="center"/>
          </w:tcPr>
          <w:p w14:paraId="0AD0434B">
            <w:r>
              <w:rPr>
                <w:rFonts w:hint="eastAsia"/>
                <w:sz w:val="18"/>
                <w:szCs w:val="18"/>
              </w:rPr>
              <w:t>出版学概论</w:t>
            </w:r>
          </w:p>
        </w:tc>
        <w:tc>
          <w:tcPr>
            <w:tcW w:w="1081" w:type="dxa"/>
            <w:vAlign w:val="center"/>
          </w:tcPr>
          <w:p w14:paraId="38E896F4">
            <w:pPr>
              <w:jc w:val="center"/>
              <w:rPr>
                <w:color w:val="FF0000"/>
                <w:sz w:val="18"/>
                <w:szCs w:val="18"/>
                <w:highlight w:val="none"/>
              </w:rPr>
            </w:pPr>
            <w:r>
              <w:rPr>
                <w:rFonts w:hint="eastAsia"/>
                <w:sz w:val="18"/>
                <w:szCs w:val="18"/>
                <w:highlight w:val="none"/>
              </w:rPr>
              <w:t>ZS0207002</w:t>
            </w:r>
          </w:p>
        </w:tc>
        <w:tc>
          <w:tcPr>
            <w:tcW w:w="709" w:type="dxa"/>
            <w:vAlign w:val="center"/>
          </w:tcPr>
          <w:p w14:paraId="7C046E12">
            <w:pPr>
              <w:jc w:val="center"/>
              <w:rPr>
                <w:color w:val="FF0000"/>
              </w:rPr>
            </w:pPr>
            <w:r>
              <w:rPr>
                <w:rFonts w:hint="eastAsia"/>
                <w:sz w:val="18"/>
                <w:szCs w:val="18"/>
              </w:rPr>
              <w:t>3</w:t>
            </w:r>
          </w:p>
        </w:tc>
        <w:tc>
          <w:tcPr>
            <w:tcW w:w="709" w:type="dxa"/>
            <w:vAlign w:val="center"/>
          </w:tcPr>
          <w:p w14:paraId="75AF56FB">
            <w:pPr>
              <w:jc w:val="center"/>
              <w:rPr>
                <w:color w:val="FF0000"/>
              </w:rPr>
            </w:pPr>
            <w:r>
              <w:rPr>
                <w:rFonts w:hint="eastAsia"/>
                <w:sz w:val="18"/>
                <w:szCs w:val="18"/>
              </w:rPr>
              <w:t>1</w:t>
            </w:r>
          </w:p>
        </w:tc>
        <w:tc>
          <w:tcPr>
            <w:tcW w:w="1045" w:type="dxa"/>
            <w:vAlign w:val="center"/>
          </w:tcPr>
          <w:p w14:paraId="211056C0">
            <w:pPr>
              <w:jc w:val="center"/>
              <w:rPr>
                <w:color w:val="FF0000"/>
                <w:sz w:val="18"/>
                <w:szCs w:val="18"/>
              </w:rPr>
            </w:pPr>
            <w:r>
              <w:rPr>
                <w:rFonts w:hint="eastAsia"/>
                <w:sz w:val="18"/>
                <w:szCs w:val="18"/>
              </w:rPr>
              <w:t>考查</w:t>
            </w:r>
          </w:p>
        </w:tc>
      </w:tr>
      <w:tr w14:paraId="61BC5B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06993F">
            <w:pPr>
              <w:jc w:val="center"/>
              <w:rPr>
                <w:b/>
                <w:color w:val="000000" w:themeColor="text1"/>
                <w:sz w:val="18"/>
                <w:szCs w:val="18"/>
                <w14:textFill>
                  <w14:solidFill>
                    <w14:schemeClr w14:val="tx1"/>
                  </w14:solidFill>
                </w14:textFill>
              </w:rPr>
            </w:pPr>
          </w:p>
        </w:tc>
        <w:tc>
          <w:tcPr>
            <w:tcW w:w="1226" w:type="dxa"/>
            <w:vMerge w:val="continue"/>
            <w:vAlign w:val="center"/>
          </w:tcPr>
          <w:p w14:paraId="0631E294">
            <w:pPr>
              <w:jc w:val="center"/>
              <w:rPr>
                <w:b/>
                <w:color w:val="000000" w:themeColor="text1"/>
                <w:sz w:val="18"/>
                <w:szCs w:val="18"/>
                <w14:textFill>
                  <w14:solidFill>
                    <w14:schemeClr w14:val="tx1"/>
                  </w14:solidFill>
                </w14:textFill>
              </w:rPr>
            </w:pPr>
          </w:p>
        </w:tc>
        <w:tc>
          <w:tcPr>
            <w:tcW w:w="3516" w:type="dxa"/>
            <w:vAlign w:val="center"/>
          </w:tcPr>
          <w:p w14:paraId="42CDEF54">
            <w:pPr>
              <w:rPr>
                <w:i/>
                <w:color w:val="FF0000"/>
                <w:sz w:val="18"/>
                <w:szCs w:val="18"/>
              </w:rPr>
            </w:pPr>
            <w:r>
              <w:rPr>
                <w:rFonts w:hint="eastAsia"/>
                <w:sz w:val="18"/>
                <w:szCs w:val="18"/>
              </w:rPr>
              <w:t>出版法规</w:t>
            </w:r>
          </w:p>
        </w:tc>
        <w:tc>
          <w:tcPr>
            <w:tcW w:w="1081" w:type="dxa"/>
            <w:vAlign w:val="center"/>
          </w:tcPr>
          <w:p w14:paraId="71633FC1">
            <w:pPr>
              <w:jc w:val="center"/>
              <w:rPr>
                <w:rFonts w:hint="default" w:eastAsia="宋体"/>
                <w:i/>
                <w:color w:val="FF0000"/>
                <w:sz w:val="18"/>
                <w:szCs w:val="18"/>
                <w:highlight w:val="none"/>
                <w:lang w:val="en-US" w:eastAsia="zh-CN"/>
              </w:rPr>
            </w:pPr>
            <w:r>
              <w:rPr>
                <w:rFonts w:hint="eastAsia"/>
                <w:sz w:val="18"/>
                <w:szCs w:val="18"/>
                <w:highlight w:val="none"/>
              </w:rPr>
              <w:t>ZS02070</w:t>
            </w:r>
            <w:r>
              <w:rPr>
                <w:rFonts w:hint="eastAsia"/>
                <w:sz w:val="18"/>
                <w:szCs w:val="18"/>
                <w:highlight w:val="none"/>
                <w:lang w:val="en-US" w:eastAsia="zh-CN"/>
              </w:rPr>
              <w:t>13</w:t>
            </w:r>
          </w:p>
        </w:tc>
        <w:tc>
          <w:tcPr>
            <w:tcW w:w="709" w:type="dxa"/>
            <w:vAlign w:val="center"/>
          </w:tcPr>
          <w:p w14:paraId="0791D1F1">
            <w:pPr>
              <w:jc w:val="center"/>
              <w:rPr>
                <w:i/>
                <w:color w:val="FF0000"/>
                <w:sz w:val="18"/>
                <w:szCs w:val="18"/>
              </w:rPr>
            </w:pPr>
            <w:r>
              <w:rPr>
                <w:rFonts w:hint="eastAsia"/>
                <w:sz w:val="18"/>
                <w:szCs w:val="18"/>
              </w:rPr>
              <w:t>2</w:t>
            </w:r>
          </w:p>
        </w:tc>
        <w:tc>
          <w:tcPr>
            <w:tcW w:w="709" w:type="dxa"/>
            <w:vAlign w:val="center"/>
          </w:tcPr>
          <w:p w14:paraId="002FC3BA">
            <w:pPr>
              <w:jc w:val="center"/>
              <w:rPr>
                <w:i/>
                <w:color w:val="FF0000"/>
                <w:sz w:val="18"/>
                <w:szCs w:val="18"/>
              </w:rPr>
            </w:pPr>
            <w:r>
              <w:rPr>
                <w:rFonts w:hint="eastAsia"/>
                <w:sz w:val="18"/>
                <w:szCs w:val="18"/>
              </w:rPr>
              <w:t>1</w:t>
            </w:r>
          </w:p>
        </w:tc>
        <w:tc>
          <w:tcPr>
            <w:tcW w:w="1045" w:type="dxa"/>
            <w:vAlign w:val="center"/>
          </w:tcPr>
          <w:p w14:paraId="43745A63">
            <w:pPr>
              <w:jc w:val="center"/>
              <w:rPr>
                <w:i/>
                <w:color w:val="FF0000"/>
                <w:sz w:val="18"/>
                <w:szCs w:val="18"/>
              </w:rPr>
            </w:pPr>
            <w:r>
              <w:rPr>
                <w:rFonts w:hint="eastAsia"/>
                <w:sz w:val="18"/>
                <w:szCs w:val="18"/>
              </w:rPr>
              <w:t>考查</w:t>
            </w:r>
          </w:p>
        </w:tc>
      </w:tr>
      <w:tr w14:paraId="2CA0BE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99E3D3A">
            <w:pPr>
              <w:jc w:val="center"/>
              <w:rPr>
                <w:b/>
                <w:color w:val="000000" w:themeColor="text1"/>
                <w:sz w:val="18"/>
                <w:szCs w:val="18"/>
                <w14:textFill>
                  <w14:solidFill>
                    <w14:schemeClr w14:val="tx1"/>
                  </w14:solidFill>
                </w14:textFill>
              </w:rPr>
            </w:pPr>
          </w:p>
        </w:tc>
        <w:tc>
          <w:tcPr>
            <w:tcW w:w="1226" w:type="dxa"/>
            <w:vMerge w:val="continue"/>
            <w:vAlign w:val="center"/>
          </w:tcPr>
          <w:p w14:paraId="069F9EA2">
            <w:pPr>
              <w:jc w:val="center"/>
              <w:rPr>
                <w:b/>
                <w:color w:val="000000" w:themeColor="text1"/>
                <w:sz w:val="18"/>
                <w:szCs w:val="18"/>
                <w14:textFill>
                  <w14:solidFill>
                    <w14:schemeClr w14:val="tx1"/>
                  </w14:solidFill>
                </w14:textFill>
              </w:rPr>
            </w:pPr>
          </w:p>
        </w:tc>
        <w:tc>
          <w:tcPr>
            <w:tcW w:w="3516" w:type="dxa"/>
            <w:vAlign w:val="center"/>
          </w:tcPr>
          <w:p w14:paraId="3495680C">
            <w:pPr>
              <w:rPr>
                <w:i/>
                <w:color w:val="FF0000"/>
                <w:sz w:val="18"/>
                <w:szCs w:val="18"/>
              </w:rPr>
            </w:pPr>
            <w:r>
              <w:rPr>
                <w:rFonts w:hint="eastAsia"/>
                <w:sz w:val="18"/>
                <w:szCs w:val="18"/>
              </w:rPr>
              <w:t>出版物编辑与制作</w:t>
            </w:r>
          </w:p>
        </w:tc>
        <w:tc>
          <w:tcPr>
            <w:tcW w:w="1081" w:type="dxa"/>
            <w:vAlign w:val="center"/>
          </w:tcPr>
          <w:p w14:paraId="62C55ADD">
            <w:pPr>
              <w:jc w:val="center"/>
              <w:rPr>
                <w:rFonts w:hint="default" w:eastAsia="宋体"/>
                <w:i/>
                <w:color w:val="FF0000"/>
                <w:sz w:val="18"/>
                <w:szCs w:val="18"/>
                <w:highlight w:val="none"/>
                <w:lang w:val="en-US" w:eastAsia="zh-CN"/>
              </w:rPr>
            </w:pPr>
            <w:r>
              <w:rPr>
                <w:rFonts w:hint="eastAsia"/>
                <w:sz w:val="18"/>
                <w:szCs w:val="18"/>
                <w:highlight w:val="none"/>
              </w:rPr>
              <w:t>ZS02070</w:t>
            </w:r>
            <w:r>
              <w:rPr>
                <w:rFonts w:hint="eastAsia"/>
                <w:sz w:val="18"/>
                <w:szCs w:val="18"/>
                <w:highlight w:val="none"/>
                <w:lang w:val="en-US" w:eastAsia="zh-CN"/>
              </w:rPr>
              <w:t>14</w:t>
            </w:r>
          </w:p>
        </w:tc>
        <w:tc>
          <w:tcPr>
            <w:tcW w:w="709" w:type="dxa"/>
            <w:vAlign w:val="center"/>
          </w:tcPr>
          <w:p w14:paraId="483BCD91">
            <w:pPr>
              <w:jc w:val="center"/>
              <w:rPr>
                <w:i/>
                <w:color w:val="FF0000"/>
                <w:sz w:val="18"/>
                <w:szCs w:val="18"/>
              </w:rPr>
            </w:pPr>
            <w:r>
              <w:rPr>
                <w:rFonts w:hint="eastAsia"/>
                <w:sz w:val="18"/>
                <w:szCs w:val="18"/>
              </w:rPr>
              <w:t>3</w:t>
            </w:r>
          </w:p>
        </w:tc>
        <w:tc>
          <w:tcPr>
            <w:tcW w:w="709" w:type="dxa"/>
            <w:vAlign w:val="center"/>
          </w:tcPr>
          <w:p w14:paraId="394A0220">
            <w:pPr>
              <w:jc w:val="center"/>
              <w:rPr>
                <w:i/>
                <w:color w:val="FF0000"/>
                <w:sz w:val="18"/>
                <w:szCs w:val="18"/>
              </w:rPr>
            </w:pPr>
            <w:r>
              <w:rPr>
                <w:rFonts w:hint="eastAsia"/>
                <w:sz w:val="18"/>
                <w:szCs w:val="18"/>
              </w:rPr>
              <w:t>2</w:t>
            </w:r>
          </w:p>
        </w:tc>
        <w:tc>
          <w:tcPr>
            <w:tcW w:w="1045" w:type="dxa"/>
            <w:vAlign w:val="center"/>
          </w:tcPr>
          <w:p w14:paraId="67406648">
            <w:pPr>
              <w:jc w:val="center"/>
              <w:rPr>
                <w:i/>
                <w:color w:val="FF0000"/>
                <w:sz w:val="18"/>
                <w:szCs w:val="18"/>
              </w:rPr>
            </w:pPr>
            <w:r>
              <w:rPr>
                <w:rFonts w:hint="eastAsia"/>
                <w:sz w:val="18"/>
                <w:szCs w:val="18"/>
              </w:rPr>
              <w:t>考查</w:t>
            </w:r>
          </w:p>
        </w:tc>
      </w:tr>
      <w:tr w14:paraId="433429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75F8DEC">
            <w:pPr>
              <w:jc w:val="center"/>
              <w:rPr>
                <w:b/>
                <w:color w:val="000000" w:themeColor="text1"/>
                <w:sz w:val="18"/>
                <w:szCs w:val="18"/>
                <w14:textFill>
                  <w14:solidFill>
                    <w14:schemeClr w14:val="tx1"/>
                  </w14:solidFill>
                </w14:textFill>
              </w:rPr>
            </w:pPr>
          </w:p>
        </w:tc>
        <w:tc>
          <w:tcPr>
            <w:tcW w:w="1226" w:type="dxa"/>
            <w:vMerge w:val="continue"/>
            <w:vAlign w:val="center"/>
          </w:tcPr>
          <w:p w14:paraId="17D44B69">
            <w:pPr>
              <w:jc w:val="center"/>
              <w:rPr>
                <w:b/>
                <w:color w:val="000000" w:themeColor="text1"/>
                <w:sz w:val="18"/>
                <w:szCs w:val="18"/>
                <w14:textFill>
                  <w14:solidFill>
                    <w14:schemeClr w14:val="tx1"/>
                  </w14:solidFill>
                </w14:textFill>
              </w:rPr>
            </w:pPr>
          </w:p>
        </w:tc>
        <w:tc>
          <w:tcPr>
            <w:tcW w:w="3516" w:type="dxa"/>
            <w:vAlign w:val="center"/>
          </w:tcPr>
          <w:p w14:paraId="465DC938">
            <w:pPr>
              <w:rPr>
                <w:i/>
                <w:color w:val="FF0000"/>
                <w:sz w:val="18"/>
                <w:szCs w:val="18"/>
              </w:rPr>
            </w:pPr>
            <w:r>
              <w:rPr>
                <w:rFonts w:hint="eastAsia"/>
                <w:sz w:val="18"/>
                <w:szCs w:val="18"/>
              </w:rPr>
              <w:t>数字出版及技术</w:t>
            </w:r>
          </w:p>
        </w:tc>
        <w:tc>
          <w:tcPr>
            <w:tcW w:w="1081" w:type="dxa"/>
            <w:vAlign w:val="center"/>
          </w:tcPr>
          <w:p w14:paraId="16FD4D87">
            <w:pPr>
              <w:jc w:val="center"/>
              <w:rPr>
                <w:i/>
                <w:color w:val="FF0000"/>
                <w:sz w:val="18"/>
                <w:szCs w:val="18"/>
                <w:highlight w:val="none"/>
              </w:rPr>
            </w:pPr>
            <w:r>
              <w:rPr>
                <w:rFonts w:hint="eastAsia"/>
                <w:sz w:val="18"/>
                <w:szCs w:val="18"/>
                <w:highlight w:val="none"/>
              </w:rPr>
              <w:t>ZS02070</w:t>
            </w:r>
            <w:r>
              <w:rPr>
                <w:rFonts w:hint="eastAsia"/>
                <w:sz w:val="18"/>
                <w:szCs w:val="18"/>
                <w:highlight w:val="none"/>
                <w:lang w:val="en-US" w:eastAsia="zh-CN"/>
              </w:rPr>
              <w:t>10</w:t>
            </w:r>
          </w:p>
        </w:tc>
        <w:tc>
          <w:tcPr>
            <w:tcW w:w="709" w:type="dxa"/>
            <w:vAlign w:val="center"/>
          </w:tcPr>
          <w:p w14:paraId="0E93E1E7">
            <w:pPr>
              <w:jc w:val="center"/>
              <w:rPr>
                <w:i/>
                <w:color w:val="FF0000"/>
                <w:sz w:val="18"/>
                <w:szCs w:val="18"/>
              </w:rPr>
            </w:pPr>
            <w:r>
              <w:rPr>
                <w:rFonts w:hint="eastAsia"/>
                <w:sz w:val="18"/>
                <w:szCs w:val="18"/>
              </w:rPr>
              <w:t>3</w:t>
            </w:r>
          </w:p>
        </w:tc>
        <w:tc>
          <w:tcPr>
            <w:tcW w:w="709" w:type="dxa"/>
            <w:vAlign w:val="center"/>
          </w:tcPr>
          <w:p w14:paraId="5A4E14B0">
            <w:pPr>
              <w:jc w:val="center"/>
              <w:rPr>
                <w:i/>
                <w:color w:val="FF0000"/>
                <w:sz w:val="18"/>
                <w:szCs w:val="18"/>
              </w:rPr>
            </w:pPr>
            <w:r>
              <w:rPr>
                <w:rFonts w:hint="eastAsia"/>
                <w:sz w:val="18"/>
                <w:szCs w:val="18"/>
              </w:rPr>
              <w:t>2</w:t>
            </w:r>
          </w:p>
        </w:tc>
        <w:tc>
          <w:tcPr>
            <w:tcW w:w="1045" w:type="dxa"/>
            <w:vAlign w:val="center"/>
          </w:tcPr>
          <w:p w14:paraId="007C7F81">
            <w:pPr>
              <w:jc w:val="center"/>
              <w:rPr>
                <w:i/>
                <w:color w:val="FF0000"/>
                <w:sz w:val="18"/>
                <w:szCs w:val="18"/>
              </w:rPr>
            </w:pPr>
            <w:r>
              <w:rPr>
                <w:rFonts w:hint="eastAsia"/>
                <w:sz w:val="18"/>
                <w:szCs w:val="18"/>
              </w:rPr>
              <w:t>考查</w:t>
            </w:r>
          </w:p>
        </w:tc>
      </w:tr>
      <w:tr w14:paraId="57D600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021BDD1">
            <w:pPr>
              <w:jc w:val="center"/>
              <w:rPr>
                <w:b/>
                <w:color w:val="000000" w:themeColor="text1"/>
                <w:sz w:val="18"/>
                <w:szCs w:val="18"/>
                <w14:textFill>
                  <w14:solidFill>
                    <w14:schemeClr w14:val="tx1"/>
                  </w14:solidFill>
                </w14:textFill>
              </w:rPr>
            </w:pPr>
          </w:p>
        </w:tc>
        <w:tc>
          <w:tcPr>
            <w:tcW w:w="1226" w:type="dxa"/>
            <w:vMerge w:val="continue"/>
            <w:vAlign w:val="center"/>
          </w:tcPr>
          <w:p w14:paraId="197BCD93">
            <w:pPr>
              <w:jc w:val="center"/>
              <w:rPr>
                <w:b/>
                <w:color w:val="000000" w:themeColor="text1"/>
                <w:sz w:val="18"/>
                <w:szCs w:val="18"/>
                <w14:textFill>
                  <w14:solidFill>
                    <w14:schemeClr w14:val="tx1"/>
                  </w14:solidFill>
                </w14:textFill>
              </w:rPr>
            </w:pPr>
          </w:p>
        </w:tc>
        <w:tc>
          <w:tcPr>
            <w:tcW w:w="3516" w:type="dxa"/>
            <w:vAlign w:val="center"/>
          </w:tcPr>
          <w:p w14:paraId="3D8A414A">
            <w:pPr>
              <w:rPr>
                <w:i/>
                <w:color w:val="FF0000"/>
                <w:sz w:val="18"/>
                <w:szCs w:val="18"/>
              </w:rPr>
            </w:pPr>
            <w:r>
              <w:rPr>
                <w:rFonts w:hint="eastAsia"/>
                <w:sz w:val="18"/>
                <w:szCs w:val="18"/>
              </w:rPr>
              <w:t>出版企业经营与管理</w:t>
            </w:r>
          </w:p>
        </w:tc>
        <w:tc>
          <w:tcPr>
            <w:tcW w:w="1081" w:type="dxa"/>
            <w:shd w:val="clear" w:color="auto" w:fill="auto"/>
            <w:vAlign w:val="center"/>
          </w:tcPr>
          <w:p w14:paraId="7BF79942">
            <w:pPr>
              <w:jc w:val="center"/>
              <w:rPr>
                <w:rFonts w:hint="default" w:ascii="Times New Roman" w:hAnsi="Times New Roman" w:eastAsia="宋体" w:cs="Times New Roman"/>
                <w:kern w:val="2"/>
                <w:sz w:val="18"/>
                <w:szCs w:val="18"/>
                <w:lang w:val="en-US" w:eastAsia="zh-CN" w:bidi="ar-SA"/>
              </w:rPr>
            </w:pPr>
            <w:r>
              <w:rPr>
                <w:rFonts w:hint="eastAsia"/>
                <w:sz w:val="18"/>
                <w:szCs w:val="18"/>
              </w:rPr>
              <w:t>ZS02070</w:t>
            </w:r>
            <w:r>
              <w:rPr>
                <w:rFonts w:hint="eastAsia"/>
                <w:sz w:val="18"/>
                <w:szCs w:val="18"/>
                <w:lang w:val="en-US" w:eastAsia="zh-CN"/>
              </w:rPr>
              <w:t>11</w:t>
            </w:r>
          </w:p>
        </w:tc>
        <w:tc>
          <w:tcPr>
            <w:tcW w:w="709" w:type="dxa"/>
            <w:vAlign w:val="center"/>
          </w:tcPr>
          <w:p w14:paraId="64BF6FF6">
            <w:pPr>
              <w:jc w:val="center"/>
              <w:rPr>
                <w:i/>
                <w:color w:val="FF0000"/>
                <w:sz w:val="18"/>
                <w:szCs w:val="18"/>
              </w:rPr>
            </w:pPr>
            <w:r>
              <w:rPr>
                <w:rFonts w:hint="eastAsia"/>
                <w:sz w:val="18"/>
                <w:szCs w:val="18"/>
              </w:rPr>
              <w:t>2</w:t>
            </w:r>
          </w:p>
        </w:tc>
        <w:tc>
          <w:tcPr>
            <w:tcW w:w="709" w:type="dxa"/>
            <w:vAlign w:val="center"/>
          </w:tcPr>
          <w:p w14:paraId="1F371B4B">
            <w:pPr>
              <w:jc w:val="center"/>
              <w:rPr>
                <w:i/>
                <w:color w:val="FF0000"/>
                <w:sz w:val="18"/>
                <w:szCs w:val="18"/>
              </w:rPr>
            </w:pPr>
            <w:r>
              <w:rPr>
                <w:rFonts w:hint="eastAsia"/>
                <w:sz w:val="18"/>
                <w:szCs w:val="18"/>
              </w:rPr>
              <w:t>3</w:t>
            </w:r>
          </w:p>
        </w:tc>
        <w:tc>
          <w:tcPr>
            <w:tcW w:w="1045" w:type="dxa"/>
            <w:vAlign w:val="center"/>
          </w:tcPr>
          <w:p w14:paraId="201EC771">
            <w:pPr>
              <w:jc w:val="center"/>
              <w:rPr>
                <w:i/>
                <w:color w:val="FF0000"/>
                <w:sz w:val="18"/>
                <w:szCs w:val="18"/>
              </w:rPr>
            </w:pPr>
            <w:r>
              <w:rPr>
                <w:rFonts w:hint="eastAsia"/>
                <w:sz w:val="18"/>
                <w:szCs w:val="18"/>
              </w:rPr>
              <w:t>考查</w:t>
            </w:r>
          </w:p>
        </w:tc>
      </w:tr>
      <w:tr w14:paraId="4D0645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D1D851C">
            <w:pPr>
              <w:jc w:val="center"/>
              <w:rPr>
                <w:b/>
                <w:color w:val="000000" w:themeColor="text1"/>
                <w:sz w:val="18"/>
                <w:szCs w:val="18"/>
                <w14:textFill>
                  <w14:solidFill>
                    <w14:schemeClr w14:val="tx1"/>
                  </w14:solidFill>
                </w14:textFill>
              </w:rPr>
            </w:pPr>
          </w:p>
        </w:tc>
        <w:tc>
          <w:tcPr>
            <w:tcW w:w="1226" w:type="dxa"/>
            <w:vMerge w:val="continue"/>
            <w:vAlign w:val="center"/>
          </w:tcPr>
          <w:p w14:paraId="562234F8">
            <w:pPr>
              <w:jc w:val="center"/>
              <w:rPr>
                <w:b/>
                <w:color w:val="000000" w:themeColor="text1"/>
                <w:sz w:val="18"/>
                <w:szCs w:val="18"/>
                <w14:textFill>
                  <w14:solidFill>
                    <w14:schemeClr w14:val="tx1"/>
                  </w14:solidFill>
                </w14:textFill>
              </w:rPr>
            </w:pPr>
          </w:p>
        </w:tc>
        <w:tc>
          <w:tcPr>
            <w:tcW w:w="3516" w:type="dxa"/>
            <w:vAlign w:val="center"/>
          </w:tcPr>
          <w:p w14:paraId="72B0C72D">
            <w:r>
              <w:rPr>
                <w:rFonts w:hint="eastAsia"/>
                <w:sz w:val="18"/>
                <w:szCs w:val="18"/>
              </w:rPr>
              <w:t>出版物营销</w:t>
            </w:r>
          </w:p>
        </w:tc>
        <w:tc>
          <w:tcPr>
            <w:tcW w:w="1081" w:type="dxa"/>
            <w:shd w:val="clear" w:color="auto" w:fill="auto"/>
            <w:vAlign w:val="center"/>
          </w:tcPr>
          <w:p w14:paraId="06C75C20">
            <w:pPr>
              <w:jc w:val="center"/>
              <w:rPr>
                <w:rFonts w:hint="default" w:ascii="Times New Roman" w:hAnsi="Times New Roman" w:eastAsia="宋体" w:cs="Times New Roman"/>
                <w:kern w:val="2"/>
                <w:sz w:val="18"/>
                <w:szCs w:val="18"/>
                <w:lang w:val="en-US" w:eastAsia="zh-CN" w:bidi="ar-SA"/>
              </w:rPr>
            </w:pPr>
            <w:r>
              <w:rPr>
                <w:rFonts w:hint="eastAsia"/>
                <w:sz w:val="18"/>
                <w:szCs w:val="18"/>
              </w:rPr>
              <w:t>ZS02070</w:t>
            </w:r>
            <w:r>
              <w:rPr>
                <w:rFonts w:hint="eastAsia"/>
                <w:sz w:val="18"/>
                <w:szCs w:val="18"/>
                <w:lang w:val="en-US" w:eastAsia="zh-CN"/>
              </w:rPr>
              <w:t>12</w:t>
            </w:r>
          </w:p>
        </w:tc>
        <w:tc>
          <w:tcPr>
            <w:tcW w:w="709" w:type="dxa"/>
            <w:vAlign w:val="center"/>
          </w:tcPr>
          <w:p w14:paraId="54D656E9">
            <w:pPr>
              <w:jc w:val="center"/>
              <w:rPr>
                <w:color w:val="FF0000"/>
              </w:rPr>
            </w:pPr>
            <w:r>
              <w:rPr>
                <w:rFonts w:hint="eastAsia"/>
                <w:sz w:val="18"/>
                <w:szCs w:val="18"/>
              </w:rPr>
              <w:t>3</w:t>
            </w:r>
          </w:p>
        </w:tc>
        <w:tc>
          <w:tcPr>
            <w:tcW w:w="709" w:type="dxa"/>
            <w:vAlign w:val="center"/>
          </w:tcPr>
          <w:p w14:paraId="4791F0DB">
            <w:pPr>
              <w:jc w:val="center"/>
              <w:rPr>
                <w:color w:val="FF0000"/>
              </w:rPr>
            </w:pPr>
            <w:r>
              <w:rPr>
                <w:rFonts w:hint="eastAsia"/>
                <w:sz w:val="18"/>
                <w:szCs w:val="18"/>
              </w:rPr>
              <w:t>3</w:t>
            </w:r>
          </w:p>
        </w:tc>
        <w:tc>
          <w:tcPr>
            <w:tcW w:w="1045" w:type="dxa"/>
            <w:vAlign w:val="center"/>
          </w:tcPr>
          <w:p w14:paraId="3540516C">
            <w:pPr>
              <w:jc w:val="center"/>
              <w:rPr>
                <w:color w:val="FF0000"/>
                <w:sz w:val="18"/>
                <w:szCs w:val="18"/>
              </w:rPr>
            </w:pPr>
            <w:r>
              <w:rPr>
                <w:rFonts w:hint="eastAsia"/>
                <w:sz w:val="18"/>
                <w:szCs w:val="18"/>
              </w:rPr>
              <w:t>考查</w:t>
            </w:r>
          </w:p>
        </w:tc>
      </w:tr>
      <w:tr w14:paraId="6664AB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262374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15C2727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0429072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BF546C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1B6B95F6">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TT0000101</w:t>
            </w:r>
          </w:p>
        </w:tc>
        <w:tc>
          <w:tcPr>
            <w:tcW w:w="709" w:type="dxa"/>
            <w:vAlign w:val="center"/>
          </w:tcPr>
          <w:p w14:paraId="2B092C3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60B12D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44C5226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54B34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53FFA8D">
            <w:pPr>
              <w:jc w:val="center"/>
              <w:rPr>
                <w:b/>
                <w:color w:val="000000" w:themeColor="text1"/>
                <w:sz w:val="18"/>
                <w:szCs w:val="18"/>
                <w14:textFill>
                  <w14:solidFill>
                    <w14:schemeClr w14:val="tx1"/>
                  </w14:solidFill>
                </w14:textFill>
              </w:rPr>
            </w:pPr>
          </w:p>
        </w:tc>
        <w:tc>
          <w:tcPr>
            <w:tcW w:w="1226" w:type="dxa"/>
            <w:vMerge w:val="continue"/>
            <w:vAlign w:val="center"/>
          </w:tcPr>
          <w:p w14:paraId="00F75F14">
            <w:pPr>
              <w:jc w:val="center"/>
              <w:rPr>
                <w:b/>
                <w:color w:val="000000" w:themeColor="text1"/>
                <w:sz w:val="18"/>
                <w:szCs w:val="18"/>
                <w14:textFill>
                  <w14:solidFill>
                    <w14:schemeClr w14:val="tx1"/>
                  </w14:solidFill>
                </w14:textFill>
              </w:rPr>
            </w:pPr>
          </w:p>
        </w:tc>
        <w:tc>
          <w:tcPr>
            <w:tcW w:w="3516" w:type="dxa"/>
            <w:vAlign w:val="center"/>
          </w:tcPr>
          <w:p w14:paraId="093B4FE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25D09550">
            <w:pPr>
              <w:jc w:val="center"/>
              <w:rPr>
                <w:color w:val="000000" w:themeColor="text1"/>
                <w:sz w:val="18"/>
                <w:szCs w:val="18"/>
                <w:highlight w:val="none"/>
                <w14:textFill>
                  <w14:solidFill>
                    <w14:schemeClr w14:val="tx1"/>
                  </w14:solidFill>
                </w14:textFill>
              </w:rPr>
            </w:pPr>
            <w:r>
              <w:rPr>
                <w:color w:val="000000" w:themeColor="text1"/>
                <w:sz w:val="18"/>
                <w:szCs w:val="18"/>
                <w:highlight w:val="none"/>
                <w14:textFill>
                  <w14:solidFill>
                    <w14:schemeClr w14:val="tx1"/>
                  </w14:solidFill>
                </w14:textFill>
              </w:rPr>
              <w:t>TS0000101</w:t>
            </w:r>
          </w:p>
        </w:tc>
        <w:tc>
          <w:tcPr>
            <w:tcW w:w="709" w:type="dxa"/>
            <w:vAlign w:val="center"/>
          </w:tcPr>
          <w:p w14:paraId="40DAD50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D2A104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10AEBAE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E7736E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DA422A">
            <w:pPr>
              <w:rPr>
                <w:b/>
                <w:color w:val="000000" w:themeColor="text1"/>
                <w:sz w:val="18"/>
                <w:szCs w:val="18"/>
                <w14:textFill>
                  <w14:solidFill>
                    <w14:schemeClr w14:val="tx1"/>
                  </w14:solidFill>
                </w14:textFill>
              </w:rPr>
            </w:pPr>
            <w:bookmarkStart w:id="10" w:name="OLE_LINK1"/>
          </w:p>
        </w:tc>
        <w:tc>
          <w:tcPr>
            <w:tcW w:w="1226" w:type="dxa"/>
            <w:vMerge w:val="restart"/>
            <w:vAlign w:val="center"/>
          </w:tcPr>
          <w:p w14:paraId="74A323D9">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专业选修课</w:t>
            </w:r>
          </w:p>
          <w:p w14:paraId="47B316A5">
            <w:pPr>
              <w:adjustRightInd w:val="0"/>
              <w:snapToGrid w:val="0"/>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共</w:t>
            </w:r>
            <w:r>
              <w:rPr>
                <w:rFonts w:hint="eastAsia"/>
                <w:b/>
                <w:color w:val="000000" w:themeColor="text1"/>
                <w:sz w:val="18"/>
                <w:szCs w:val="18"/>
                <w14:textFill>
                  <w14:solidFill>
                    <w14:schemeClr w14:val="tx1"/>
                  </w14:solidFill>
                </w14:textFill>
              </w:rPr>
              <w:t>2</w:t>
            </w:r>
            <w:r>
              <w:rPr>
                <w:rFonts w:hint="eastAsia"/>
                <w:b/>
                <w:color w:val="000000" w:themeColor="text1"/>
                <w:sz w:val="18"/>
                <w:szCs w:val="18"/>
                <w:lang w:val="en-US" w:eastAsia="zh-CN"/>
                <w14:textFill>
                  <w14:solidFill>
                    <w14:schemeClr w14:val="tx1"/>
                  </w14:solidFill>
                </w14:textFill>
              </w:rPr>
              <w:t>1</w:t>
            </w:r>
            <w:r>
              <w:rPr>
                <w:rFonts w:hint="eastAsia"/>
                <w:b/>
                <w:color w:val="000000" w:themeColor="text1"/>
                <w:sz w:val="18"/>
                <w:szCs w:val="18"/>
                <w14:textFill>
                  <w14:solidFill>
                    <w14:schemeClr w14:val="tx1"/>
                  </w14:solidFill>
                </w14:textFill>
              </w:rPr>
              <w:t>分</w:t>
            </w: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至少选修13学分</w:t>
            </w:r>
            <w:r>
              <w:rPr>
                <w:rFonts w:hint="eastAsia"/>
                <w:b/>
                <w:color w:val="000000" w:themeColor="text1"/>
                <w:sz w:val="18"/>
                <w:szCs w:val="18"/>
                <w14:textFill>
                  <w14:solidFill>
                    <w14:schemeClr w14:val="tx1"/>
                  </w14:solidFill>
                </w14:textFill>
              </w:rPr>
              <w:t>）</w:t>
            </w:r>
          </w:p>
        </w:tc>
        <w:tc>
          <w:tcPr>
            <w:tcW w:w="3516" w:type="dxa"/>
            <w:shd w:val="clear" w:color="auto" w:fill="auto"/>
            <w:vAlign w:val="center"/>
          </w:tcPr>
          <w:p w14:paraId="287DAABC">
            <w:pPr>
              <w:adjustRightInd w:val="0"/>
              <w:snapToGrid w:val="0"/>
              <w:rPr>
                <w:i/>
                <w:color w:val="FF0000"/>
                <w:sz w:val="18"/>
                <w:szCs w:val="18"/>
              </w:rPr>
            </w:pPr>
            <w:r>
              <w:rPr>
                <w:rFonts w:hint="eastAsia"/>
                <w:sz w:val="18"/>
                <w:szCs w:val="18"/>
              </w:rPr>
              <w:t>人文社会科学方法</w:t>
            </w:r>
          </w:p>
        </w:tc>
        <w:tc>
          <w:tcPr>
            <w:tcW w:w="1081" w:type="dxa"/>
            <w:shd w:val="clear" w:color="auto" w:fill="auto"/>
            <w:vAlign w:val="center"/>
          </w:tcPr>
          <w:p w14:paraId="73E84A57">
            <w:pPr>
              <w:jc w:val="center"/>
              <w:rPr>
                <w:rFonts w:hint="default" w:ascii="Times New Roman" w:hAnsi="Times New Roman" w:eastAsia="宋体" w:cs="Times New Roman"/>
                <w:kern w:val="2"/>
                <w:sz w:val="18"/>
                <w:szCs w:val="18"/>
                <w:lang w:val="en-US" w:eastAsia="zh-CN" w:bidi="ar-SA"/>
              </w:rPr>
            </w:pPr>
            <w:r>
              <w:rPr>
                <w:rFonts w:hint="eastAsia"/>
                <w:sz w:val="18"/>
                <w:szCs w:val="18"/>
              </w:rPr>
              <w:t>ZS02071</w:t>
            </w:r>
            <w:r>
              <w:rPr>
                <w:rFonts w:hint="eastAsia"/>
                <w:sz w:val="18"/>
                <w:szCs w:val="18"/>
                <w:lang w:val="en-US" w:eastAsia="zh-CN"/>
              </w:rPr>
              <w:t>24</w:t>
            </w:r>
          </w:p>
        </w:tc>
        <w:tc>
          <w:tcPr>
            <w:tcW w:w="709" w:type="dxa"/>
            <w:shd w:val="clear" w:color="auto" w:fill="auto"/>
            <w:vAlign w:val="center"/>
          </w:tcPr>
          <w:p w14:paraId="08C76802">
            <w:pPr>
              <w:jc w:val="center"/>
              <w:rPr>
                <w:color w:val="FF0000"/>
              </w:rPr>
            </w:pPr>
            <w:r>
              <w:rPr>
                <w:rFonts w:hint="eastAsia"/>
                <w:sz w:val="18"/>
                <w:szCs w:val="18"/>
              </w:rPr>
              <w:t>2</w:t>
            </w:r>
          </w:p>
        </w:tc>
        <w:tc>
          <w:tcPr>
            <w:tcW w:w="709" w:type="dxa"/>
            <w:shd w:val="clear" w:color="auto" w:fill="auto"/>
            <w:vAlign w:val="center"/>
          </w:tcPr>
          <w:p w14:paraId="2DC9EED9">
            <w:pPr>
              <w:jc w:val="center"/>
              <w:rPr>
                <w:rFonts w:hint="eastAsia" w:eastAsia="宋体"/>
                <w:color w:val="FF0000"/>
                <w:lang w:eastAsia="zh-CN"/>
              </w:rPr>
            </w:pPr>
            <w:r>
              <w:rPr>
                <w:rFonts w:hint="eastAsia"/>
                <w:sz w:val="18"/>
                <w:szCs w:val="18"/>
                <w:lang w:val="en-US" w:eastAsia="zh-CN"/>
              </w:rPr>
              <w:t>1</w:t>
            </w:r>
          </w:p>
        </w:tc>
        <w:tc>
          <w:tcPr>
            <w:tcW w:w="1045" w:type="dxa"/>
            <w:shd w:val="clear" w:color="auto" w:fill="auto"/>
            <w:vAlign w:val="center"/>
          </w:tcPr>
          <w:p w14:paraId="3B2912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2707C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13755E">
            <w:pPr>
              <w:rPr>
                <w:b/>
                <w:color w:val="000000" w:themeColor="text1"/>
                <w:sz w:val="18"/>
                <w:szCs w:val="18"/>
                <w14:textFill>
                  <w14:solidFill>
                    <w14:schemeClr w14:val="tx1"/>
                  </w14:solidFill>
                </w14:textFill>
              </w:rPr>
            </w:pPr>
          </w:p>
        </w:tc>
        <w:tc>
          <w:tcPr>
            <w:tcW w:w="1226" w:type="dxa"/>
            <w:vMerge w:val="continue"/>
            <w:vAlign w:val="center"/>
          </w:tcPr>
          <w:p w14:paraId="2AAF1825">
            <w:pPr>
              <w:adjustRightInd w:val="0"/>
              <w:snapToGrid w:val="0"/>
              <w:jc w:val="center"/>
              <w:rPr>
                <w:rFonts w:hint="eastAsia"/>
                <w:b/>
                <w:color w:val="000000" w:themeColor="text1"/>
                <w:sz w:val="18"/>
                <w:szCs w:val="18"/>
                <w14:textFill>
                  <w14:solidFill>
                    <w14:schemeClr w14:val="tx1"/>
                  </w14:solidFill>
                </w14:textFill>
              </w:rPr>
            </w:pPr>
          </w:p>
        </w:tc>
        <w:tc>
          <w:tcPr>
            <w:tcW w:w="3516" w:type="dxa"/>
            <w:vAlign w:val="center"/>
          </w:tcPr>
          <w:p w14:paraId="36A4501D">
            <w:pPr>
              <w:rPr>
                <w:rFonts w:hint="eastAsia" w:ascii="Times New Roman" w:hAnsi="Times New Roman" w:eastAsia="宋体" w:cs="Times New Roman"/>
                <w:i/>
                <w:color w:val="FF0000"/>
                <w:kern w:val="2"/>
                <w:sz w:val="18"/>
                <w:szCs w:val="18"/>
                <w:lang w:val="en-US" w:eastAsia="zh-CN" w:bidi="ar-SA"/>
              </w:rPr>
            </w:pPr>
            <w:r>
              <w:rPr>
                <w:rFonts w:hint="eastAsia"/>
                <w:sz w:val="18"/>
                <w:szCs w:val="18"/>
              </w:rPr>
              <w:t>音视频编辑与制作</w:t>
            </w:r>
          </w:p>
        </w:tc>
        <w:tc>
          <w:tcPr>
            <w:tcW w:w="1081" w:type="dxa"/>
            <w:shd w:val="clear" w:color="auto" w:fill="auto"/>
            <w:vAlign w:val="center"/>
          </w:tcPr>
          <w:p w14:paraId="5DED5577">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ZS02071</w:t>
            </w:r>
            <w:r>
              <w:rPr>
                <w:rFonts w:hint="eastAsia"/>
                <w:sz w:val="18"/>
                <w:szCs w:val="18"/>
                <w:lang w:val="en-US" w:eastAsia="zh-CN"/>
              </w:rPr>
              <w:t>18</w:t>
            </w:r>
          </w:p>
        </w:tc>
        <w:tc>
          <w:tcPr>
            <w:tcW w:w="709" w:type="dxa"/>
            <w:vAlign w:val="center"/>
          </w:tcPr>
          <w:p w14:paraId="4A5BFF1E">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vAlign w:val="center"/>
          </w:tcPr>
          <w:p w14:paraId="3F03C6C0">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2</w:t>
            </w:r>
          </w:p>
        </w:tc>
        <w:tc>
          <w:tcPr>
            <w:tcW w:w="1045" w:type="dxa"/>
            <w:vAlign w:val="center"/>
          </w:tcPr>
          <w:p w14:paraId="3A8CDC4E">
            <w:pPr>
              <w:adjustRightInd w:val="0"/>
              <w:snapToGrid w:val="0"/>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考查</w:t>
            </w:r>
          </w:p>
        </w:tc>
      </w:tr>
      <w:tr w14:paraId="762557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0F88FA">
            <w:pPr>
              <w:rPr>
                <w:b/>
                <w:color w:val="000000" w:themeColor="text1"/>
                <w:sz w:val="18"/>
                <w:szCs w:val="18"/>
                <w14:textFill>
                  <w14:solidFill>
                    <w14:schemeClr w14:val="tx1"/>
                  </w14:solidFill>
                </w14:textFill>
              </w:rPr>
            </w:pPr>
          </w:p>
        </w:tc>
        <w:tc>
          <w:tcPr>
            <w:tcW w:w="1226" w:type="dxa"/>
            <w:vMerge w:val="continue"/>
            <w:vAlign w:val="center"/>
          </w:tcPr>
          <w:p w14:paraId="6FFECD66">
            <w:pPr>
              <w:adjustRightInd w:val="0"/>
              <w:snapToGrid w:val="0"/>
              <w:jc w:val="center"/>
              <w:rPr>
                <w:b/>
                <w:color w:val="FF0000"/>
                <w:sz w:val="18"/>
                <w:szCs w:val="18"/>
              </w:rPr>
            </w:pPr>
          </w:p>
        </w:tc>
        <w:tc>
          <w:tcPr>
            <w:tcW w:w="3516" w:type="dxa"/>
            <w:vAlign w:val="center"/>
          </w:tcPr>
          <w:p w14:paraId="7A56429C">
            <w:pPr>
              <w:adjustRightInd w:val="0"/>
              <w:snapToGrid w:val="0"/>
              <w:rPr>
                <w:i/>
                <w:color w:val="FF0000"/>
                <w:sz w:val="18"/>
                <w:szCs w:val="18"/>
              </w:rPr>
            </w:pPr>
            <w:r>
              <w:rPr>
                <w:rFonts w:hint="eastAsia"/>
                <w:sz w:val="18"/>
                <w:szCs w:val="18"/>
              </w:rPr>
              <w:t>版权与版权贸易</w:t>
            </w:r>
            <w:bookmarkStart w:id="11" w:name="_GoBack"/>
            <w:bookmarkEnd w:id="11"/>
          </w:p>
        </w:tc>
        <w:tc>
          <w:tcPr>
            <w:tcW w:w="1081" w:type="dxa"/>
            <w:shd w:val="clear" w:color="auto" w:fill="auto"/>
            <w:vAlign w:val="center"/>
          </w:tcPr>
          <w:p w14:paraId="665797B0">
            <w:pPr>
              <w:jc w:val="center"/>
              <w:rPr>
                <w:rFonts w:hint="default" w:ascii="Times New Roman" w:hAnsi="Times New Roman" w:eastAsia="宋体" w:cs="Times New Roman"/>
                <w:kern w:val="2"/>
                <w:sz w:val="18"/>
                <w:szCs w:val="18"/>
                <w:lang w:val="en-US" w:eastAsia="zh-CN" w:bidi="ar-SA"/>
              </w:rPr>
            </w:pPr>
            <w:r>
              <w:rPr>
                <w:rFonts w:hint="eastAsia"/>
                <w:sz w:val="18"/>
                <w:szCs w:val="18"/>
              </w:rPr>
              <w:t>ZS02071</w:t>
            </w:r>
            <w:r>
              <w:rPr>
                <w:rFonts w:hint="eastAsia"/>
                <w:sz w:val="18"/>
                <w:szCs w:val="18"/>
                <w:lang w:val="en-US" w:eastAsia="zh-CN"/>
              </w:rPr>
              <w:t>19</w:t>
            </w:r>
          </w:p>
        </w:tc>
        <w:tc>
          <w:tcPr>
            <w:tcW w:w="709" w:type="dxa"/>
            <w:vAlign w:val="center"/>
          </w:tcPr>
          <w:p w14:paraId="2C649F7E">
            <w:pPr>
              <w:jc w:val="center"/>
              <w:rPr>
                <w:color w:val="FF0000"/>
              </w:rPr>
            </w:pPr>
            <w:r>
              <w:rPr>
                <w:rFonts w:hint="eastAsia"/>
                <w:sz w:val="18"/>
                <w:szCs w:val="18"/>
              </w:rPr>
              <w:t>2</w:t>
            </w:r>
          </w:p>
        </w:tc>
        <w:tc>
          <w:tcPr>
            <w:tcW w:w="709" w:type="dxa"/>
            <w:vAlign w:val="center"/>
          </w:tcPr>
          <w:p w14:paraId="2A04B04C">
            <w:pPr>
              <w:jc w:val="center"/>
              <w:rPr>
                <w:color w:val="FF0000"/>
              </w:rPr>
            </w:pPr>
            <w:r>
              <w:rPr>
                <w:rFonts w:hint="eastAsia"/>
                <w:sz w:val="18"/>
                <w:szCs w:val="18"/>
              </w:rPr>
              <w:t>2</w:t>
            </w:r>
          </w:p>
        </w:tc>
        <w:tc>
          <w:tcPr>
            <w:tcW w:w="1045" w:type="dxa"/>
            <w:vAlign w:val="center"/>
          </w:tcPr>
          <w:p w14:paraId="66FFE60C">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31F2B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33AA8944">
            <w:pPr>
              <w:rPr>
                <w:b/>
                <w:color w:val="000000" w:themeColor="text1"/>
                <w:sz w:val="18"/>
                <w:szCs w:val="18"/>
                <w14:textFill>
                  <w14:solidFill>
                    <w14:schemeClr w14:val="tx1"/>
                  </w14:solidFill>
                </w14:textFill>
              </w:rPr>
            </w:pPr>
          </w:p>
        </w:tc>
        <w:tc>
          <w:tcPr>
            <w:tcW w:w="1226" w:type="dxa"/>
            <w:vMerge w:val="continue"/>
            <w:vAlign w:val="center"/>
          </w:tcPr>
          <w:p w14:paraId="1D75F896">
            <w:pPr>
              <w:adjustRightInd w:val="0"/>
              <w:snapToGrid w:val="0"/>
              <w:jc w:val="center"/>
              <w:rPr>
                <w:b/>
                <w:color w:val="000000" w:themeColor="text1"/>
                <w:sz w:val="18"/>
                <w:szCs w:val="18"/>
                <w14:textFill>
                  <w14:solidFill>
                    <w14:schemeClr w14:val="tx1"/>
                  </w14:solidFill>
                </w14:textFill>
              </w:rPr>
            </w:pPr>
          </w:p>
        </w:tc>
        <w:tc>
          <w:tcPr>
            <w:tcW w:w="3516" w:type="dxa"/>
            <w:vAlign w:val="center"/>
          </w:tcPr>
          <w:p w14:paraId="1192A072">
            <w:pPr>
              <w:rPr>
                <w:i/>
                <w:color w:val="FF0000"/>
                <w:sz w:val="18"/>
                <w:szCs w:val="18"/>
              </w:rPr>
            </w:pPr>
            <w:r>
              <w:rPr>
                <w:rFonts w:hint="eastAsia"/>
                <w:sz w:val="18"/>
                <w:szCs w:val="18"/>
              </w:rPr>
              <w:t>中国编辑出版史</w:t>
            </w:r>
          </w:p>
        </w:tc>
        <w:tc>
          <w:tcPr>
            <w:tcW w:w="1081" w:type="dxa"/>
            <w:shd w:val="clear" w:color="auto" w:fill="auto"/>
            <w:vAlign w:val="center"/>
          </w:tcPr>
          <w:p w14:paraId="40C7382F">
            <w:pPr>
              <w:jc w:val="center"/>
              <w:rPr>
                <w:rFonts w:hint="default" w:ascii="Times New Roman" w:hAnsi="Times New Roman" w:eastAsia="宋体" w:cs="Times New Roman"/>
                <w:kern w:val="2"/>
                <w:sz w:val="18"/>
                <w:szCs w:val="18"/>
                <w:lang w:val="en-US" w:eastAsia="zh-CN" w:bidi="ar-SA"/>
              </w:rPr>
            </w:pPr>
            <w:r>
              <w:rPr>
                <w:rFonts w:hint="eastAsia"/>
                <w:sz w:val="18"/>
                <w:szCs w:val="18"/>
              </w:rPr>
              <w:t>ZS02071</w:t>
            </w:r>
            <w:r>
              <w:rPr>
                <w:rFonts w:hint="eastAsia"/>
                <w:sz w:val="18"/>
                <w:szCs w:val="18"/>
                <w:lang w:val="en-US" w:eastAsia="zh-CN"/>
              </w:rPr>
              <w:t>21</w:t>
            </w:r>
          </w:p>
        </w:tc>
        <w:tc>
          <w:tcPr>
            <w:tcW w:w="709" w:type="dxa"/>
            <w:vAlign w:val="center"/>
          </w:tcPr>
          <w:p w14:paraId="2058C411">
            <w:pPr>
              <w:jc w:val="center"/>
              <w:rPr>
                <w:color w:val="FF0000"/>
                <w:sz w:val="18"/>
                <w:szCs w:val="18"/>
              </w:rPr>
            </w:pPr>
            <w:r>
              <w:rPr>
                <w:rFonts w:hint="eastAsia"/>
                <w:sz w:val="18"/>
                <w:szCs w:val="18"/>
              </w:rPr>
              <w:t>2</w:t>
            </w:r>
          </w:p>
        </w:tc>
        <w:tc>
          <w:tcPr>
            <w:tcW w:w="709" w:type="dxa"/>
            <w:vAlign w:val="center"/>
          </w:tcPr>
          <w:p w14:paraId="3E85A4FF">
            <w:pPr>
              <w:jc w:val="center"/>
              <w:rPr>
                <w:i/>
                <w:color w:val="FF0000"/>
                <w:sz w:val="18"/>
                <w:szCs w:val="18"/>
              </w:rPr>
            </w:pPr>
            <w:r>
              <w:rPr>
                <w:rFonts w:hint="eastAsia"/>
                <w:sz w:val="18"/>
                <w:szCs w:val="18"/>
              </w:rPr>
              <w:t>2</w:t>
            </w:r>
          </w:p>
        </w:tc>
        <w:tc>
          <w:tcPr>
            <w:tcW w:w="1045" w:type="dxa"/>
            <w:vAlign w:val="center"/>
          </w:tcPr>
          <w:p w14:paraId="4F24DDC9">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67230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4B0695">
            <w:pPr>
              <w:rPr>
                <w:b/>
                <w:color w:val="000000" w:themeColor="text1"/>
                <w:sz w:val="18"/>
                <w:szCs w:val="18"/>
                <w14:textFill>
                  <w14:solidFill>
                    <w14:schemeClr w14:val="tx1"/>
                  </w14:solidFill>
                </w14:textFill>
              </w:rPr>
            </w:pPr>
          </w:p>
        </w:tc>
        <w:tc>
          <w:tcPr>
            <w:tcW w:w="1226" w:type="dxa"/>
            <w:vMerge w:val="continue"/>
            <w:vAlign w:val="center"/>
          </w:tcPr>
          <w:p w14:paraId="02CC3057">
            <w:pPr>
              <w:adjustRightInd w:val="0"/>
              <w:snapToGrid w:val="0"/>
              <w:jc w:val="center"/>
              <w:rPr>
                <w:b/>
                <w:color w:val="FF0000"/>
                <w:sz w:val="18"/>
                <w:szCs w:val="18"/>
              </w:rPr>
            </w:pPr>
          </w:p>
        </w:tc>
        <w:tc>
          <w:tcPr>
            <w:tcW w:w="3516" w:type="dxa"/>
            <w:vAlign w:val="center"/>
          </w:tcPr>
          <w:p w14:paraId="65AABB0C">
            <w:pPr>
              <w:adjustRightInd w:val="0"/>
              <w:snapToGrid w:val="0"/>
              <w:rPr>
                <w:i/>
                <w:color w:val="FF0000"/>
                <w:sz w:val="18"/>
                <w:szCs w:val="18"/>
              </w:rPr>
            </w:pPr>
            <w:r>
              <w:rPr>
                <w:rFonts w:hint="eastAsia"/>
                <w:sz w:val="18"/>
                <w:szCs w:val="18"/>
              </w:rPr>
              <w:t>期刊社经营与管理</w:t>
            </w:r>
          </w:p>
        </w:tc>
        <w:tc>
          <w:tcPr>
            <w:tcW w:w="1081" w:type="dxa"/>
            <w:shd w:val="clear" w:color="auto" w:fill="auto"/>
            <w:vAlign w:val="center"/>
          </w:tcPr>
          <w:p w14:paraId="3240B915">
            <w:pPr>
              <w:jc w:val="center"/>
              <w:rPr>
                <w:rFonts w:hint="default" w:ascii="Times New Roman" w:hAnsi="Times New Roman" w:eastAsia="宋体" w:cs="Times New Roman"/>
                <w:kern w:val="2"/>
                <w:sz w:val="18"/>
                <w:szCs w:val="18"/>
                <w:lang w:val="en-US" w:eastAsia="zh-CN" w:bidi="ar-SA"/>
              </w:rPr>
            </w:pPr>
            <w:r>
              <w:rPr>
                <w:rFonts w:hint="eastAsia"/>
                <w:sz w:val="18"/>
                <w:szCs w:val="18"/>
              </w:rPr>
              <w:t>ZS02071</w:t>
            </w:r>
            <w:r>
              <w:rPr>
                <w:rFonts w:hint="eastAsia"/>
                <w:sz w:val="18"/>
                <w:szCs w:val="18"/>
                <w:lang w:val="en-US" w:eastAsia="zh-CN"/>
              </w:rPr>
              <w:t>10</w:t>
            </w:r>
          </w:p>
        </w:tc>
        <w:tc>
          <w:tcPr>
            <w:tcW w:w="709" w:type="dxa"/>
            <w:vAlign w:val="center"/>
          </w:tcPr>
          <w:p w14:paraId="3B7807C7">
            <w:pPr>
              <w:jc w:val="center"/>
              <w:rPr>
                <w:color w:val="FF0000"/>
              </w:rPr>
            </w:pPr>
            <w:r>
              <w:rPr>
                <w:rFonts w:hint="eastAsia"/>
                <w:sz w:val="18"/>
                <w:szCs w:val="18"/>
              </w:rPr>
              <w:t>2</w:t>
            </w:r>
          </w:p>
        </w:tc>
        <w:tc>
          <w:tcPr>
            <w:tcW w:w="709" w:type="dxa"/>
            <w:vAlign w:val="center"/>
          </w:tcPr>
          <w:p w14:paraId="283D18CC">
            <w:pPr>
              <w:jc w:val="center"/>
              <w:rPr>
                <w:color w:val="FF0000"/>
              </w:rPr>
            </w:pPr>
            <w:r>
              <w:rPr>
                <w:rFonts w:hint="eastAsia"/>
                <w:sz w:val="18"/>
                <w:szCs w:val="18"/>
              </w:rPr>
              <w:t>2</w:t>
            </w:r>
          </w:p>
        </w:tc>
        <w:tc>
          <w:tcPr>
            <w:tcW w:w="1045" w:type="dxa"/>
            <w:vAlign w:val="center"/>
          </w:tcPr>
          <w:p w14:paraId="58423325">
            <w:pPr>
              <w:jc w:val="center"/>
              <w:rPr>
                <w:color w:val="000000" w:themeColor="text1"/>
                <w:sz w:val="18"/>
                <w:szCs w:val="18"/>
                <w14:textFill>
                  <w14:solidFill>
                    <w14:schemeClr w14:val="tx1"/>
                  </w14:solidFill>
                </w14:textFill>
              </w:rPr>
            </w:pPr>
            <w:r>
              <w:rPr>
                <w:rFonts w:hint="eastAsia"/>
                <w:sz w:val="18"/>
                <w:szCs w:val="18"/>
              </w:rPr>
              <w:t>考查</w:t>
            </w:r>
          </w:p>
        </w:tc>
      </w:tr>
      <w:bookmarkEnd w:id="10"/>
      <w:tr w14:paraId="547F8D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FD9723">
            <w:pPr>
              <w:rPr>
                <w:b/>
                <w:color w:val="000000" w:themeColor="text1"/>
                <w:sz w:val="18"/>
                <w:szCs w:val="18"/>
                <w14:textFill>
                  <w14:solidFill>
                    <w14:schemeClr w14:val="tx1"/>
                  </w14:solidFill>
                </w14:textFill>
              </w:rPr>
            </w:pPr>
          </w:p>
        </w:tc>
        <w:tc>
          <w:tcPr>
            <w:tcW w:w="1226" w:type="dxa"/>
            <w:vMerge w:val="continue"/>
          </w:tcPr>
          <w:p w14:paraId="219BF98D">
            <w:pPr>
              <w:jc w:val="center"/>
              <w:rPr>
                <w:b/>
                <w:color w:val="000000" w:themeColor="text1"/>
                <w:sz w:val="18"/>
                <w:szCs w:val="18"/>
                <w14:textFill>
                  <w14:solidFill>
                    <w14:schemeClr w14:val="tx1"/>
                  </w14:solidFill>
                </w14:textFill>
              </w:rPr>
            </w:pPr>
          </w:p>
        </w:tc>
        <w:tc>
          <w:tcPr>
            <w:tcW w:w="3516" w:type="dxa"/>
            <w:vAlign w:val="center"/>
          </w:tcPr>
          <w:p w14:paraId="77C155E9">
            <w:pPr>
              <w:adjustRightInd w:val="0"/>
              <w:snapToGrid w:val="0"/>
              <w:rPr>
                <w:sz w:val="18"/>
                <w:szCs w:val="18"/>
              </w:rPr>
            </w:pPr>
            <w:r>
              <w:rPr>
                <w:rFonts w:hint="eastAsia"/>
                <w:sz w:val="18"/>
                <w:szCs w:val="18"/>
              </w:rPr>
              <w:t>民营书业研究</w:t>
            </w:r>
          </w:p>
        </w:tc>
        <w:tc>
          <w:tcPr>
            <w:tcW w:w="1081" w:type="dxa"/>
            <w:vAlign w:val="center"/>
          </w:tcPr>
          <w:p w14:paraId="4F09B49E">
            <w:pPr>
              <w:jc w:val="center"/>
              <w:rPr>
                <w:rFonts w:hint="default" w:ascii="Times New Roman" w:hAnsi="Times New Roman" w:eastAsia="宋体" w:cs="Times New Roman"/>
                <w:kern w:val="2"/>
                <w:sz w:val="18"/>
                <w:szCs w:val="18"/>
                <w:lang w:val="en-US" w:eastAsia="zh-CN" w:bidi="ar-SA"/>
              </w:rPr>
            </w:pPr>
            <w:r>
              <w:rPr>
                <w:rFonts w:hint="eastAsia"/>
                <w:sz w:val="18"/>
                <w:szCs w:val="18"/>
              </w:rPr>
              <w:t>ZS02071</w:t>
            </w:r>
            <w:r>
              <w:rPr>
                <w:rFonts w:hint="eastAsia"/>
                <w:sz w:val="18"/>
                <w:szCs w:val="18"/>
                <w:lang w:val="en-US" w:eastAsia="zh-CN"/>
              </w:rPr>
              <w:t>11</w:t>
            </w:r>
          </w:p>
        </w:tc>
        <w:tc>
          <w:tcPr>
            <w:tcW w:w="709" w:type="dxa"/>
            <w:vAlign w:val="center"/>
          </w:tcPr>
          <w:p w14:paraId="4262FDAC">
            <w:pPr>
              <w:jc w:val="center"/>
              <w:rPr>
                <w:sz w:val="18"/>
                <w:szCs w:val="18"/>
              </w:rPr>
            </w:pPr>
            <w:r>
              <w:rPr>
                <w:rFonts w:hint="eastAsia"/>
                <w:sz w:val="18"/>
                <w:szCs w:val="18"/>
              </w:rPr>
              <w:t>2</w:t>
            </w:r>
          </w:p>
        </w:tc>
        <w:tc>
          <w:tcPr>
            <w:tcW w:w="709" w:type="dxa"/>
            <w:vAlign w:val="center"/>
          </w:tcPr>
          <w:p w14:paraId="6AAA7504">
            <w:pPr>
              <w:jc w:val="center"/>
              <w:rPr>
                <w:sz w:val="18"/>
                <w:szCs w:val="18"/>
              </w:rPr>
            </w:pPr>
            <w:r>
              <w:rPr>
                <w:rFonts w:hint="eastAsia"/>
                <w:sz w:val="18"/>
                <w:szCs w:val="18"/>
              </w:rPr>
              <w:t>2</w:t>
            </w:r>
          </w:p>
        </w:tc>
        <w:tc>
          <w:tcPr>
            <w:tcW w:w="1045" w:type="dxa"/>
            <w:vAlign w:val="center"/>
          </w:tcPr>
          <w:p w14:paraId="285809E0">
            <w:pPr>
              <w:jc w:val="center"/>
              <w:rPr>
                <w:color w:val="000000" w:themeColor="text1"/>
                <w:sz w:val="18"/>
                <w:szCs w:val="18"/>
                <w14:textFill>
                  <w14:solidFill>
                    <w14:schemeClr w14:val="tx1"/>
                  </w14:solidFill>
                </w14:textFill>
              </w:rPr>
            </w:pPr>
            <w:r>
              <w:rPr>
                <w:rFonts w:hint="eastAsia"/>
                <w:sz w:val="18"/>
                <w:szCs w:val="18"/>
              </w:rPr>
              <w:t>考查</w:t>
            </w:r>
          </w:p>
        </w:tc>
      </w:tr>
      <w:tr w14:paraId="316B1D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0F789B">
            <w:pPr>
              <w:rPr>
                <w:b/>
                <w:color w:val="000000" w:themeColor="text1"/>
                <w:sz w:val="18"/>
                <w:szCs w:val="18"/>
                <w14:textFill>
                  <w14:solidFill>
                    <w14:schemeClr w14:val="tx1"/>
                  </w14:solidFill>
                </w14:textFill>
              </w:rPr>
            </w:pPr>
          </w:p>
        </w:tc>
        <w:tc>
          <w:tcPr>
            <w:tcW w:w="1226" w:type="dxa"/>
            <w:vMerge w:val="continue"/>
          </w:tcPr>
          <w:p w14:paraId="24928FA4">
            <w:pPr>
              <w:jc w:val="center"/>
              <w:rPr>
                <w:b/>
                <w:color w:val="000000" w:themeColor="text1"/>
                <w:sz w:val="18"/>
                <w:szCs w:val="18"/>
                <w14:textFill>
                  <w14:solidFill>
                    <w14:schemeClr w14:val="tx1"/>
                  </w14:solidFill>
                </w14:textFill>
              </w:rPr>
            </w:pPr>
          </w:p>
        </w:tc>
        <w:tc>
          <w:tcPr>
            <w:tcW w:w="3516" w:type="dxa"/>
            <w:vAlign w:val="center"/>
          </w:tcPr>
          <w:p w14:paraId="259D40B0">
            <w:pPr>
              <w:adjustRightInd w:val="0"/>
              <w:snapToGrid w:val="0"/>
              <w:rPr>
                <w:sz w:val="18"/>
                <w:szCs w:val="18"/>
              </w:rPr>
            </w:pPr>
            <w:r>
              <w:rPr>
                <w:rFonts w:hint="eastAsia"/>
                <w:sz w:val="18"/>
                <w:szCs w:val="18"/>
              </w:rPr>
              <w:t>版权前沿讲座</w:t>
            </w:r>
          </w:p>
        </w:tc>
        <w:tc>
          <w:tcPr>
            <w:tcW w:w="1081" w:type="dxa"/>
            <w:vAlign w:val="center"/>
          </w:tcPr>
          <w:p w14:paraId="1CC76151">
            <w:pPr>
              <w:jc w:val="center"/>
              <w:rPr>
                <w:i/>
                <w:color w:val="FF0000"/>
                <w:sz w:val="18"/>
                <w:szCs w:val="18"/>
                <w:highlight w:val="yellow"/>
              </w:rPr>
            </w:pPr>
            <w:r>
              <w:rPr>
                <w:rFonts w:hint="eastAsia"/>
                <w:sz w:val="18"/>
                <w:szCs w:val="18"/>
              </w:rPr>
              <w:t>ZS02071</w:t>
            </w:r>
            <w:r>
              <w:rPr>
                <w:rFonts w:hint="eastAsia"/>
                <w:sz w:val="18"/>
                <w:szCs w:val="18"/>
                <w:lang w:val="en-US" w:eastAsia="zh-CN"/>
              </w:rPr>
              <w:t>22</w:t>
            </w:r>
          </w:p>
        </w:tc>
        <w:tc>
          <w:tcPr>
            <w:tcW w:w="709" w:type="dxa"/>
            <w:vAlign w:val="center"/>
          </w:tcPr>
          <w:p w14:paraId="27ED1331">
            <w:pPr>
              <w:jc w:val="center"/>
              <w:rPr>
                <w:sz w:val="18"/>
                <w:szCs w:val="18"/>
              </w:rPr>
            </w:pPr>
            <w:r>
              <w:rPr>
                <w:rFonts w:hint="eastAsia"/>
                <w:sz w:val="18"/>
                <w:szCs w:val="18"/>
              </w:rPr>
              <w:t>1</w:t>
            </w:r>
          </w:p>
        </w:tc>
        <w:tc>
          <w:tcPr>
            <w:tcW w:w="709" w:type="dxa"/>
            <w:vAlign w:val="center"/>
          </w:tcPr>
          <w:p w14:paraId="4D0607D1">
            <w:pPr>
              <w:jc w:val="center"/>
              <w:rPr>
                <w:sz w:val="18"/>
                <w:szCs w:val="18"/>
              </w:rPr>
            </w:pPr>
            <w:r>
              <w:rPr>
                <w:rFonts w:hint="eastAsia"/>
                <w:sz w:val="18"/>
                <w:szCs w:val="18"/>
              </w:rPr>
              <w:t>3</w:t>
            </w:r>
          </w:p>
        </w:tc>
        <w:tc>
          <w:tcPr>
            <w:tcW w:w="1045" w:type="dxa"/>
            <w:vAlign w:val="center"/>
          </w:tcPr>
          <w:p w14:paraId="7B66CA4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72A1E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04A2329">
            <w:pPr>
              <w:rPr>
                <w:b/>
                <w:color w:val="000000" w:themeColor="text1"/>
                <w:sz w:val="18"/>
                <w:szCs w:val="18"/>
                <w14:textFill>
                  <w14:solidFill>
                    <w14:schemeClr w14:val="tx1"/>
                  </w14:solidFill>
                </w14:textFill>
              </w:rPr>
            </w:pPr>
          </w:p>
        </w:tc>
        <w:tc>
          <w:tcPr>
            <w:tcW w:w="1226" w:type="dxa"/>
            <w:vMerge w:val="continue"/>
          </w:tcPr>
          <w:p w14:paraId="6733BF79">
            <w:pPr>
              <w:jc w:val="center"/>
              <w:rPr>
                <w:b/>
                <w:color w:val="000000" w:themeColor="text1"/>
                <w:sz w:val="18"/>
                <w:szCs w:val="18"/>
                <w14:textFill>
                  <w14:solidFill>
                    <w14:schemeClr w14:val="tx1"/>
                  </w14:solidFill>
                </w14:textFill>
              </w:rPr>
            </w:pPr>
          </w:p>
        </w:tc>
        <w:tc>
          <w:tcPr>
            <w:tcW w:w="3516" w:type="dxa"/>
            <w:vAlign w:val="center"/>
          </w:tcPr>
          <w:p w14:paraId="47456E3B">
            <w:pPr>
              <w:adjustRightInd w:val="0"/>
              <w:snapToGrid w:val="0"/>
              <w:rPr>
                <w:i/>
                <w:color w:val="FF0000"/>
                <w:sz w:val="18"/>
                <w:szCs w:val="18"/>
              </w:rPr>
            </w:pPr>
            <w:r>
              <w:rPr>
                <w:rFonts w:hint="eastAsia"/>
                <w:sz w:val="18"/>
                <w:szCs w:val="18"/>
              </w:rPr>
              <w:t>“一带一路”沿线国家出版概况</w:t>
            </w:r>
          </w:p>
        </w:tc>
        <w:tc>
          <w:tcPr>
            <w:tcW w:w="1081" w:type="dxa"/>
            <w:vAlign w:val="center"/>
          </w:tcPr>
          <w:p w14:paraId="4DA2AF24">
            <w:pPr>
              <w:jc w:val="center"/>
              <w:rPr>
                <w:i/>
                <w:color w:val="FF0000"/>
                <w:sz w:val="18"/>
                <w:szCs w:val="18"/>
                <w:highlight w:val="yellow"/>
              </w:rPr>
            </w:pPr>
            <w:r>
              <w:rPr>
                <w:rFonts w:hint="eastAsia"/>
                <w:sz w:val="18"/>
                <w:szCs w:val="18"/>
              </w:rPr>
              <w:t>ZS02071</w:t>
            </w:r>
            <w:r>
              <w:rPr>
                <w:rFonts w:hint="eastAsia"/>
                <w:sz w:val="18"/>
                <w:szCs w:val="18"/>
                <w:lang w:val="en-US" w:eastAsia="zh-CN"/>
              </w:rPr>
              <w:t>16</w:t>
            </w:r>
          </w:p>
        </w:tc>
        <w:tc>
          <w:tcPr>
            <w:tcW w:w="709" w:type="dxa"/>
            <w:vAlign w:val="center"/>
          </w:tcPr>
          <w:p w14:paraId="7525CC85">
            <w:pPr>
              <w:jc w:val="center"/>
              <w:rPr>
                <w:i/>
                <w:color w:val="FF0000"/>
                <w:sz w:val="18"/>
                <w:szCs w:val="18"/>
              </w:rPr>
            </w:pPr>
            <w:r>
              <w:rPr>
                <w:rFonts w:hint="eastAsia"/>
                <w:sz w:val="18"/>
                <w:szCs w:val="18"/>
              </w:rPr>
              <w:t>2</w:t>
            </w:r>
          </w:p>
        </w:tc>
        <w:tc>
          <w:tcPr>
            <w:tcW w:w="709" w:type="dxa"/>
            <w:vAlign w:val="center"/>
          </w:tcPr>
          <w:p w14:paraId="4623FF5B">
            <w:pPr>
              <w:jc w:val="center"/>
              <w:rPr>
                <w:i/>
                <w:color w:val="FF0000"/>
                <w:sz w:val="18"/>
                <w:szCs w:val="18"/>
              </w:rPr>
            </w:pPr>
            <w:r>
              <w:rPr>
                <w:rFonts w:hint="eastAsia"/>
                <w:sz w:val="18"/>
                <w:szCs w:val="18"/>
              </w:rPr>
              <w:t>3</w:t>
            </w:r>
          </w:p>
        </w:tc>
        <w:tc>
          <w:tcPr>
            <w:tcW w:w="1045" w:type="dxa"/>
            <w:vAlign w:val="center"/>
          </w:tcPr>
          <w:p w14:paraId="6E08156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3A6E5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B9336C">
            <w:pPr>
              <w:rPr>
                <w:b/>
                <w:color w:val="000000" w:themeColor="text1"/>
                <w:sz w:val="18"/>
                <w:szCs w:val="18"/>
                <w14:textFill>
                  <w14:solidFill>
                    <w14:schemeClr w14:val="tx1"/>
                  </w14:solidFill>
                </w14:textFill>
              </w:rPr>
            </w:pPr>
          </w:p>
        </w:tc>
        <w:tc>
          <w:tcPr>
            <w:tcW w:w="1226" w:type="dxa"/>
            <w:vMerge w:val="continue"/>
          </w:tcPr>
          <w:p w14:paraId="5BF6636A">
            <w:pPr>
              <w:jc w:val="center"/>
              <w:rPr>
                <w:b/>
                <w:color w:val="000000" w:themeColor="text1"/>
                <w:sz w:val="18"/>
                <w:szCs w:val="18"/>
                <w14:textFill>
                  <w14:solidFill>
                    <w14:schemeClr w14:val="tx1"/>
                  </w14:solidFill>
                </w14:textFill>
              </w:rPr>
            </w:pPr>
          </w:p>
        </w:tc>
        <w:tc>
          <w:tcPr>
            <w:tcW w:w="3516" w:type="dxa"/>
            <w:vAlign w:val="center"/>
          </w:tcPr>
          <w:p w14:paraId="1650C7A8">
            <w:pPr>
              <w:adjustRightInd w:val="0"/>
              <w:snapToGrid w:val="0"/>
              <w:rPr>
                <w:i/>
                <w:color w:val="FF0000"/>
                <w:sz w:val="18"/>
                <w:szCs w:val="18"/>
              </w:rPr>
            </w:pPr>
            <w:r>
              <w:rPr>
                <w:rFonts w:hint="eastAsia"/>
                <w:sz w:val="18"/>
                <w:szCs w:val="18"/>
              </w:rPr>
              <w:t>数字出版与商业模式</w:t>
            </w:r>
          </w:p>
        </w:tc>
        <w:tc>
          <w:tcPr>
            <w:tcW w:w="1081" w:type="dxa"/>
            <w:vAlign w:val="center"/>
          </w:tcPr>
          <w:p w14:paraId="3408376C">
            <w:pPr>
              <w:jc w:val="center"/>
              <w:rPr>
                <w:i/>
                <w:color w:val="FF0000"/>
                <w:sz w:val="18"/>
                <w:szCs w:val="18"/>
                <w:highlight w:val="yellow"/>
              </w:rPr>
            </w:pPr>
            <w:r>
              <w:rPr>
                <w:rFonts w:hint="eastAsia"/>
                <w:sz w:val="18"/>
                <w:szCs w:val="18"/>
              </w:rPr>
              <w:t>ZS020711</w:t>
            </w:r>
            <w:r>
              <w:rPr>
                <w:rFonts w:hint="eastAsia"/>
                <w:sz w:val="18"/>
                <w:szCs w:val="18"/>
                <w:lang w:val="en-US" w:eastAsia="zh-CN"/>
              </w:rPr>
              <w:t>3</w:t>
            </w:r>
          </w:p>
        </w:tc>
        <w:tc>
          <w:tcPr>
            <w:tcW w:w="709" w:type="dxa"/>
            <w:vAlign w:val="center"/>
          </w:tcPr>
          <w:p w14:paraId="3A42F756">
            <w:pPr>
              <w:jc w:val="center"/>
              <w:rPr>
                <w:i/>
                <w:color w:val="FF0000"/>
                <w:sz w:val="18"/>
                <w:szCs w:val="18"/>
              </w:rPr>
            </w:pPr>
            <w:r>
              <w:rPr>
                <w:rFonts w:hint="eastAsia"/>
                <w:sz w:val="18"/>
                <w:szCs w:val="18"/>
              </w:rPr>
              <w:t>2</w:t>
            </w:r>
          </w:p>
        </w:tc>
        <w:tc>
          <w:tcPr>
            <w:tcW w:w="709" w:type="dxa"/>
            <w:vAlign w:val="center"/>
          </w:tcPr>
          <w:p w14:paraId="3617748F">
            <w:pPr>
              <w:jc w:val="center"/>
              <w:rPr>
                <w:i/>
                <w:color w:val="FF0000"/>
                <w:sz w:val="18"/>
                <w:szCs w:val="18"/>
              </w:rPr>
            </w:pPr>
            <w:r>
              <w:rPr>
                <w:rFonts w:hint="eastAsia"/>
                <w:sz w:val="18"/>
                <w:szCs w:val="18"/>
              </w:rPr>
              <w:t>3</w:t>
            </w:r>
          </w:p>
        </w:tc>
        <w:tc>
          <w:tcPr>
            <w:tcW w:w="1045" w:type="dxa"/>
            <w:vAlign w:val="center"/>
          </w:tcPr>
          <w:p w14:paraId="3CDF756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0C2331D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18066B">
            <w:pPr>
              <w:rPr>
                <w:b/>
                <w:color w:val="000000" w:themeColor="text1"/>
                <w:sz w:val="18"/>
                <w:szCs w:val="18"/>
                <w14:textFill>
                  <w14:solidFill>
                    <w14:schemeClr w14:val="tx1"/>
                  </w14:solidFill>
                </w14:textFill>
              </w:rPr>
            </w:pPr>
          </w:p>
        </w:tc>
        <w:tc>
          <w:tcPr>
            <w:tcW w:w="1226" w:type="dxa"/>
            <w:vMerge w:val="continue"/>
          </w:tcPr>
          <w:p w14:paraId="67BB240A">
            <w:pPr>
              <w:jc w:val="center"/>
              <w:rPr>
                <w:b/>
                <w:color w:val="000000" w:themeColor="text1"/>
                <w:sz w:val="18"/>
                <w:szCs w:val="18"/>
                <w14:textFill>
                  <w14:solidFill>
                    <w14:schemeClr w14:val="tx1"/>
                  </w14:solidFill>
                </w14:textFill>
              </w:rPr>
            </w:pPr>
          </w:p>
        </w:tc>
        <w:tc>
          <w:tcPr>
            <w:tcW w:w="3516" w:type="dxa"/>
            <w:vAlign w:val="center"/>
          </w:tcPr>
          <w:p w14:paraId="1162866D">
            <w:pPr>
              <w:adjustRightInd w:val="0"/>
              <w:snapToGrid w:val="0"/>
              <w:rPr>
                <w:i/>
                <w:color w:val="FF0000"/>
                <w:sz w:val="18"/>
                <w:szCs w:val="18"/>
              </w:rPr>
            </w:pPr>
            <w:r>
              <w:rPr>
                <w:rFonts w:hint="eastAsia"/>
                <w:sz w:val="18"/>
                <w:szCs w:val="18"/>
              </w:rPr>
              <w:t>大数据与传播</w:t>
            </w:r>
          </w:p>
        </w:tc>
        <w:tc>
          <w:tcPr>
            <w:tcW w:w="1081" w:type="dxa"/>
            <w:vAlign w:val="center"/>
          </w:tcPr>
          <w:p w14:paraId="0BCBC191">
            <w:pPr>
              <w:jc w:val="center"/>
              <w:rPr>
                <w:i/>
                <w:color w:val="FF0000"/>
                <w:sz w:val="18"/>
                <w:szCs w:val="18"/>
                <w:highlight w:val="yellow"/>
              </w:rPr>
            </w:pPr>
            <w:r>
              <w:rPr>
                <w:rFonts w:hint="eastAsia" w:ascii="Times New Roman" w:hAnsi="Times New Roman" w:eastAsia="宋体" w:cs="Times New Roman"/>
                <w:sz w:val="18"/>
                <w:szCs w:val="18"/>
                <w:lang w:val="en-US" w:eastAsia="zh-CN"/>
                <w14:ligatures w14:val="none"/>
              </w:rPr>
              <w:t>XS0205005</w:t>
            </w:r>
          </w:p>
        </w:tc>
        <w:tc>
          <w:tcPr>
            <w:tcW w:w="709" w:type="dxa"/>
            <w:vAlign w:val="center"/>
          </w:tcPr>
          <w:p w14:paraId="22CD9378">
            <w:pPr>
              <w:jc w:val="center"/>
              <w:rPr>
                <w:i/>
                <w:color w:val="FF0000"/>
                <w:sz w:val="18"/>
                <w:szCs w:val="18"/>
              </w:rPr>
            </w:pPr>
            <w:r>
              <w:rPr>
                <w:rFonts w:hint="eastAsia"/>
                <w:sz w:val="18"/>
                <w:szCs w:val="18"/>
              </w:rPr>
              <w:t>2</w:t>
            </w:r>
          </w:p>
        </w:tc>
        <w:tc>
          <w:tcPr>
            <w:tcW w:w="709" w:type="dxa"/>
            <w:vAlign w:val="center"/>
          </w:tcPr>
          <w:p w14:paraId="439F3A7C">
            <w:pPr>
              <w:jc w:val="center"/>
              <w:rPr>
                <w:i/>
                <w:color w:val="FF0000"/>
                <w:sz w:val="18"/>
                <w:szCs w:val="18"/>
              </w:rPr>
            </w:pPr>
            <w:r>
              <w:rPr>
                <w:rFonts w:hint="eastAsia"/>
                <w:sz w:val="18"/>
                <w:szCs w:val="18"/>
              </w:rPr>
              <w:t>3</w:t>
            </w:r>
          </w:p>
        </w:tc>
        <w:tc>
          <w:tcPr>
            <w:tcW w:w="1045" w:type="dxa"/>
            <w:vAlign w:val="center"/>
          </w:tcPr>
          <w:p w14:paraId="4E93835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8A6024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A1977D">
            <w:pPr>
              <w:rPr>
                <w:b/>
                <w:color w:val="000000" w:themeColor="text1"/>
                <w:sz w:val="18"/>
                <w:szCs w:val="18"/>
                <w14:textFill>
                  <w14:solidFill>
                    <w14:schemeClr w14:val="tx1"/>
                  </w14:solidFill>
                </w14:textFill>
              </w:rPr>
            </w:pPr>
          </w:p>
        </w:tc>
        <w:tc>
          <w:tcPr>
            <w:tcW w:w="1226" w:type="dxa"/>
            <w:vMerge w:val="continue"/>
          </w:tcPr>
          <w:p w14:paraId="323D894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7DC82DB9">
            <w:pPr>
              <w:rPr>
                <w:i/>
                <w:color w:val="FF0000"/>
                <w:sz w:val="18"/>
                <w:szCs w:val="18"/>
              </w:rPr>
            </w:pPr>
            <w:r>
              <w:rPr>
                <w:rFonts w:hint="eastAsia"/>
                <w:sz w:val="18"/>
                <w:szCs w:val="18"/>
              </w:rPr>
              <w:t>智能交互出版与实践</w:t>
            </w:r>
          </w:p>
        </w:tc>
        <w:tc>
          <w:tcPr>
            <w:tcW w:w="1081" w:type="dxa"/>
            <w:shd w:val="clear" w:color="auto" w:fill="auto"/>
            <w:vAlign w:val="center"/>
          </w:tcPr>
          <w:p w14:paraId="038F169C">
            <w:pPr>
              <w:jc w:val="center"/>
              <w:rPr>
                <w:i/>
                <w:color w:val="FF0000"/>
                <w:sz w:val="18"/>
                <w:szCs w:val="18"/>
                <w:highlight w:val="yellow"/>
              </w:rPr>
            </w:pPr>
            <w:r>
              <w:rPr>
                <w:rFonts w:hint="eastAsia"/>
                <w:sz w:val="18"/>
                <w:szCs w:val="18"/>
              </w:rPr>
              <w:t>ZS02071</w:t>
            </w:r>
            <w:r>
              <w:rPr>
                <w:rFonts w:hint="eastAsia"/>
                <w:sz w:val="18"/>
                <w:szCs w:val="18"/>
                <w:lang w:val="en-US" w:eastAsia="zh-CN"/>
              </w:rPr>
              <w:t>17</w:t>
            </w:r>
          </w:p>
        </w:tc>
        <w:tc>
          <w:tcPr>
            <w:tcW w:w="709" w:type="dxa"/>
            <w:shd w:val="clear" w:color="auto" w:fill="auto"/>
            <w:vAlign w:val="center"/>
          </w:tcPr>
          <w:p w14:paraId="236310A7">
            <w:pPr>
              <w:jc w:val="center"/>
              <w:rPr>
                <w:i/>
                <w:color w:val="FF0000"/>
                <w:sz w:val="18"/>
                <w:szCs w:val="18"/>
              </w:rPr>
            </w:pPr>
            <w:r>
              <w:rPr>
                <w:rFonts w:hint="eastAsia"/>
                <w:sz w:val="18"/>
                <w:szCs w:val="18"/>
              </w:rPr>
              <w:t>2</w:t>
            </w:r>
          </w:p>
        </w:tc>
        <w:tc>
          <w:tcPr>
            <w:tcW w:w="709" w:type="dxa"/>
            <w:shd w:val="clear" w:color="auto" w:fill="auto"/>
            <w:vAlign w:val="center"/>
          </w:tcPr>
          <w:p w14:paraId="2A829011">
            <w:pPr>
              <w:jc w:val="center"/>
              <w:rPr>
                <w:i/>
                <w:color w:val="FF0000"/>
                <w:sz w:val="18"/>
                <w:szCs w:val="18"/>
              </w:rPr>
            </w:pPr>
            <w:r>
              <w:rPr>
                <w:rFonts w:hint="eastAsia"/>
                <w:sz w:val="18"/>
                <w:szCs w:val="18"/>
                <w:lang w:val="en-US" w:eastAsia="zh-CN"/>
              </w:rPr>
              <w:t>3</w:t>
            </w:r>
          </w:p>
        </w:tc>
        <w:tc>
          <w:tcPr>
            <w:tcW w:w="1045" w:type="dxa"/>
            <w:shd w:val="clear" w:color="auto" w:fill="auto"/>
            <w:vAlign w:val="center"/>
          </w:tcPr>
          <w:p w14:paraId="6DDD94E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197B62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C9FD95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3190791D">
            <w:pPr>
              <w:jc w:val="center"/>
              <w:rPr>
                <w:b/>
                <w:color w:val="000000" w:themeColor="text1"/>
                <w:sz w:val="18"/>
                <w:szCs w:val="18"/>
                <w14:textFill>
                  <w14:solidFill>
                    <w14:schemeClr w14:val="tx1"/>
                  </w14:solidFill>
                </w14:textFill>
              </w:rPr>
            </w:pPr>
          </w:p>
        </w:tc>
        <w:tc>
          <w:tcPr>
            <w:tcW w:w="1226" w:type="dxa"/>
            <w:vMerge w:val="restart"/>
            <w:vAlign w:val="center"/>
          </w:tcPr>
          <w:p w14:paraId="77956CB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p w14:paraId="3BDA792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F694743">
            <w:pPr>
              <w:rPr>
                <w:rFonts w:ascii="Times New Roman" w:hAnsi="Times New Roman" w:eastAsia="宋体" w:cs="Times New Roman"/>
                <w:i/>
                <w:color w:val="FF0000"/>
                <w:kern w:val="2"/>
                <w:sz w:val="18"/>
                <w:szCs w:val="18"/>
                <w:lang w:val="en-US" w:eastAsia="zh-CN" w:bidi="ar-SA"/>
              </w:rPr>
            </w:pPr>
            <w:r>
              <w:rPr>
                <w:color w:val="000000" w:themeColor="text1"/>
                <w:sz w:val="18"/>
                <w:szCs w:val="18"/>
                <w14:textFill>
                  <w14:solidFill>
                    <w14:schemeClr w14:val="tx1"/>
                  </w14:solidFill>
                </w14:textFill>
              </w:rPr>
              <w:t>入学教育</w:t>
            </w:r>
          </w:p>
        </w:tc>
        <w:tc>
          <w:tcPr>
            <w:tcW w:w="1081" w:type="dxa"/>
            <w:shd w:val="clear" w:color="auto" w:fill="auto"/>
            <w:vAlign w:val="center"/>
          </w:tcPr>
          <w:p w14:paraId="6360D92E">
            <w:pPr>
              <w:jc w:val="center"/>
              <w:rPr>
                <w:rFonts w:hint="default" w:ascii="Times New Roman" w:hAnsi="Times New Roman" w:eastAsia="宋体" w:cs="Times New Roman"/>
                <w:kern w:val="2"/>
                <w:sz w:val="18"/>
                <w:szCs w:val="18"/>
                <w:lang w:val="en-US" w:eastAsia="zh-CN" w:bidi="ar-SA"/>
              </w:rPr>
            </w:pPr>
          </w:p>
        </w:tc>
        <w:tc>
          <w:tcPr>
            <w:tcW w:w="709" w:type="dxa"/>
            <w:shd w:val="clear" w:color="auto" w:fill="auto"/>
            <w:vAlign w:val="center"/>
          </w:tcPr>
          <w:p w14:paraId="270FAC21">
            <w:pPr>
              <w:jc w:val="center"/>
              <w:rPr>
                <w:rFonts w:ascii="Times New Roman" w:hAnsi="Times New Roman" w:eastAsia="宋体" w:cs="Times New Roman"/>
                <w:color w:val="FF0000"/>
                <w:kern w:val="2"/>
                <w:sz w:val="21"/>
                <w:szCs w:val="24"/>
                <w:lang w:val="en-US" w:eastAsia="zh-CN" w:bidi="ar-SA"/>
              </w:rPr>
            </w:pPr>
          </w:p>
        </w:tc>
        <w:tc>
          <w:tcPr>
            <w:tcW w:w="709" w:type="dxa"/>
            <w:shd w:val="clear" w:color="auto" w:fill="auto"/>
            <w:vAlign w:val="center"/>
          </w:tcPr>
          <w:p w14:paraId="63A1EFE4">
            <w:pPr>
              <w:jc w:val="center"/>
              <w:rPr>
                <w:rFonts w:hint="eastAsia" w:ascii="Times New Roman" w:hAnsi="Times New Roman" w:eastAsia="宋体" w:cs="Times New Roman"/>
                <w:color w:val="FF0000"/>
                <w:kern w:val="2"/>
                <w:sz w:val="21"/>
                <w:szCs w:val="24"/>
                <w:lang w:val="en-US" w:eastAsia="zh-CN" w:bidi="ar-SA"/>
              </w:rPr>
            </w:pPr>
            <w:r>
              <w:rPr>
                <w:color w:val="000000" w:themeColor="text1"/>
                <w:sz w:val="18"/>
                <w:szCs w:val="18"/>
                <w14:textFill>
                  <w14:solidFill>
                    <w14:schemeClr w14:val="tx1"/>
                  </w14:solidFill>
                </w14:textFill>
              </w:rPr>
              <w:t>1</w:t>
            </w:r>
          </w:p>
        </w:tc>
        <w:tc>
          <w:tcPr>
            <w:tcW w:w="1045" w:type="dxa"/>
            <w:shd w:val="clear" w:color="auto" w:fill="auto"/>
            <w:vAlign w:val="center"/>
          </w:tcPr>
          <w:p w14:paraId="3F4FA891">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考查</w:t>
            </w:r>
          </w:p>
        </w:tc>
      </w:tr>
      <w:tr w14:paraId="0120D8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continue"/>
            <w:vAlign w:val="center"/>
          </w:tcPr>
          <w:p w14:paraId="7C28EC8C">
            <w:pPr>
              <w:jc w:val="center"/>
              <w:rPr>
                <w:b/>
                <w:color w:val="000000" w:themeColor="text1"/>
                <w:sz w:val="18"/>
                <w:szCs w:val="18"/>
                <w14:textFill>
                  <w14:solidFill>
                    <w14:schemeClr w14:val="tx1"/>
                  </w14:solidFill>
                </w14:textFill>
              </w:rPr>
            </w:pPr>
          </w:p>
        </w:tc>
        <w:tc>
          <w:tcPr>
            <w:tcW w:w="1226" w:type="dxa"/>
            <w:vMerge w:val="continue"/>
            <w:vAlign w:val="center"/>
          </w:tcPr>
          <w:p w14:paraId="63CDFF1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9D492AD">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实习</w:t>
            </w:r>
            <w:r>
              <w:rPr>
                <w:color w:val="000000" w:themeColor="text1"/>
                <w:sz w:val="18"/>
                <w:szCs w:val="18"/>
                <w14:textFill>
                  <w14:solidFill>
                    <w14:schemeClr w14:val="tx1"/>
                  </w14:solidFill>
                </w14:textFill>
              </w:rPr>
              <w:t>实践活动</w:t>
            </w:r>
          </w:p>
        </w:tc>
        <w:tc>
          <w:tcPr>
            <w:tcW w:w="1081" w:type="dxa"/>
            <w:shd w:val="clear" w:color="auto" w:fill="auto"/>
            <w:vAlign w:val="center"/>
          </w:tcPr>
          <w:p w14:paraId="60C891FA">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sz w:val="18"/>
                <w:szCs w:val="18"/>
              </w:rPr>
              <w:t>ZS020711</w:t>
            </w:r>
            <w:r>
              <w:rPr>
                <w:rFonts w:hint="eastAsia"/>
                <w:sz w:val="18"/>
                <w:szCs w:val="18"/>
                <w:lang w:val="en-US" w:eastAsia="zh-CN"/>
              </w:rPr>
              <w:t>4</w:t>
            </w:r>
          </w:p>
        </w:tc>
        <w:tc>
          <w:tcPr>
            <w:tcW w:w="709" w:type="dxa"/>
            <w:shd w:val="clear" w:color="auto" w:fill="auto"/>
            <w:vAlign w:val="center"/>
          </w:tcPr>
          <w:p w14:paraId="64076B46">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sz w:val="18"/>
                <w:szCs w:val="18"/>
              </w:rPr>
              <w:t>4</w:t>
            </w:r>
          </w:p>
        </w:tc>
        <w:tc>
          <w:tcPr>
            <w:tcW w:w="709" w:type="dxa"/>
            <w:shd w:val="clear" w:color="auto" w:fill="auto"/>
            <w:vAlign w:val="center"/>
          </w:tcPr>
          <w:p w14:paraId="334FEA06">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sz w:val="18"/>
                <w:szCs w:val="18"/>
              </w:rPr>
              <w:t>4-6</w:t>
            </w:r>
          </w:p>
        </w:tc>
        <w:tc>
          <w:tcPr>
            <w:tcW w:w="1045" w:type="dxa"/>
            <w:shd w:val="clear" w:color="auto" w:fill="auto"/>
            <w:vAlign w:val="center"/>
          </w:tcPr>
          <w:p w14:paraId="5F4E3FF8">
            <w:pPr>
              <w:jc w:val="center"/>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考查</w:t>
            </w:r>
          </w:p>
        </w:tc>
      </w:tr>
      <w:tr w14:paraId="5D9CBC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continue"/>
            <w:vAlign w:val="center"/>
          </w:tcPr>
          <w:p w14:paraId="243BFB12">
            <w:pPr>
              <w:jc w:val="center"/>
              <w:rPr>
                <w:b/>
                <w:color w:val="000000" w:themeColor="text1"/>
                <w:sz w:val="18"/>
                <w:szCs w:val="18"/>
                <w14:textFill>
                  <w14:solidFill>
                    <w14:schemeClr w14:val="tx1"/>
                  </w14:solidFill>
                </w14:textFill>
              </w:rPr>
            </w:pPr>
          </w:p>
        </w:tc>
        <w:tc>
          <w:tcPr>
            <w:tcW w:w="1226" w:type="dxa"/>
            <w:vMerge w:val="continue"/>
            <w:vAlign w:val="center"/>
          </w:tcPr>
          <w:p w14:paraId="58A9E987">
            <w:pPr>
              <w:jc w:val="center"/>
              <w:rPr>
                <w:b/>
                <w:color w:val="000000" w:themeColor="text1"/>
                <w:sz w:val="18"/>
                <w:szCs w:val="18"/>
                <w14:textFill>
                  <w14:solidFill>
                    <w14:schemeClr w14:val="tx1"/>
                  </w14:solidFill>
                </w14:textFill>
              </w:rPr>
            </w:pPr>
          </w:p>
        </w:tc>
        <w:tc>
          <w:tcPr>
            <w:tcW w:w="3516" w:type="dxa"/>
            <w:vAlign w:val="center"/>
          </w:tcPr>
          <w:p w14:paraId="0F897036">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学术活动</w:t>
            </w:r>
          </w:p>
        </w:tc>
        <w:tc>
          <w:tcPr>
            <w:tcW w:w="1081" w:type="dxa"/>
            <w:vAlign w:val="center"/>
          </w:tcPr>
          <w:p w14:paraId="7337348F">
            <w:pPr>
              <w:jc w:val="center"/>
              <w:rPr>
                <w:color w:val="000000" w:themeColor="text1"/>
                <w:sz w:val="18"/>
                <w:szCs w:val="18"/>
                <w14:textFill>
                  <w14:solidFill>
                    <w14:schemeClr w14:val="tx1"/>
                  </w14:solidFill>
                </w14:textFill>
              </w:rPr>
            </w:pPr>
          </w:p>
        </w:tc>
        <w:tc>
          <w:tcPr>
            <w:tcW w:w="709" w:type="dxa"/>
            <w:vAlign w:val="center"/>
          </w:tcPr>
          <w:p w14:paraId="4C444D2B">
            <w:pPr>
              <w:jc w:val="center"/>
              <w:rPr>
                <w:color w:val="000000" w:themeColor="text1"/>
                <w:sz w:val="18"/>
                <w:szCs w:val="18"/>
                <w14:textFill>
                  <w14:solidFill>
                    <w14:schemeClr w14:val="tx1"/>
                  </w14:solidFill>
                </w14:textFill>
              </w:rPr>
            </w:pPr>
            <w:r>
              <w:rPr>
                <w:rFonts w:hint="eastAsia"/>
                <w:color w:val="auto"/>
                <w:sz w:val="18"/>
                <w:szCs w:val="18"/>
                <w:highlight w:val="none"/>
                <w:lang w:val="en-US" w:eastAsia="zh-CN"/>
              </w:rPr>
              <w:t>1</w:t>
            </w:r>
          </w:p>
        </w:tc>
        <w:tc>
          <w:tcPr>
            <w:tcW w:w="709" w:type="dxa"/>
            <w:vAlign w:val="center"/>
          </w:tcPr>
          <w:p w14:paraId="71DB6C2B">
            <w:pPr>
              <w:jc w:val="center"/>
              <w:rPr>
                <w:color w:val="000000" w:themeColor="text1"/>
                <w:sz w:val="18"/>
                <w:szCs w:val="18"/>
                <w14:textFill>
                  <w14:solidFill>
                    <w14:schemeClr w14:val="tx1"/>
                  </w14:solidFill>
                </w14:textFill>
              </w:rPr>
            </w:pPr>
          </w:p>
        </w:tc>
        <w:tc>
          <w:tcPr>
            <w:tcW w:w="1045" w:type="dxa"/>
            <w:vAlign w:val="center"/>
          </w:tcPr>
          <w:p w14:paraId="1027F1DE">
            <w:pPr>
              <w:jc w:val="center"/>
              <w:rPr>
                <w:color w:val="000000" w:themeColor="text1"/>
                <w:sz w:val="18"/>
                <w:szCs w:val="18"/>
                <w14:textFill>
                  <w14:solidFill>
                    <w14:schemeClr w14:val="tx1"/>
                  </w14:solidFill>
                </w14:textFill>
              </w:rPr>
            </w:pPr>
          </w:p>
        </w:tc>
      </w:tr>
      <w:tr w14:paraId="70F8E2B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3" w:hRule="atLeast"/>
          <w:jc w:val="center"/>
        </w:trPr>
        <w:tc>
          <w:tcPr>
            <w:tcW w:w="571" w:type="dxa"/>
            <w:vMerge w:val="continue"/>
            <w:vAlign w:val="center"/>
          </w:tcPr>
          <w:p w14:paraId="1339A12D">
            <w:pPr>
              <w:jc w:val="center"/>
              <w:rPr>
                <w:b/>
                <w:color w:val="000000" w:themeColor="text1"/>
                <w:sz w:val="18"/>
                <w:szCs w:val="18"/>
                <w14:textFill>
                  <w14:solidFill>
                    <w14:schemeClr w14:val="tx1"/>
                  </w14:solidFill>
                </w14:textFill>
              </w:rPr>
            </w:pPr>
          </w:p>
        </w:tc>
        <w:tc>
          <w:tcPr>
            <w:tcW w:w="1226" w:type="dxa"/>
            <w:vMerge w:val="continue"/>
            <w:vAlign w:val="center"/>
          </w:tcPr>
          <w:p w14:paraId="3E5F366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2D4ADE6">
            <w:pPr>
              <w:adjustRightInd w:val="0"/>
              <w:snapToGrid w:val="0"/>
              <w:rPr>
                <w:rFonts w:hint="default" w:eastAsia="宋体"/>
                <w:color w:val="000000" w:themeColor="text1"/>
                <w:sz w:val="18"/>
                <w:szCs w:val="18"/>
                <w:lang w:val="en-US" w:eastAsia="zh-CN"/>
                <w14:textFill>
                  <w14:solidFill>
                    <w14:schemeClr w14:val="tx1"/>
                  </w14:solidFill>
                </w14:textFill>
              </w:rPr>
            </w:pPr>
            <w:r>
              <w:rPr>
                <w:color w:val="000000" w:themeColor="text1"/>
                <w:sz w:val="18"/>
                <w:szCs w:val="18"/>
                <w14:textFill>
                  <w14:solidFill>
                    <w14:schemeClr w14:val="tx1"/>
                  </w14:solidFill>
                </w14:textFill>
              </w:rPr>
              <w:t>竞赛活动</w:t>
            </w:r>
          </w:p>
        </w:tc>
        <w:tc>
          <w:tcPr>
            <w:tcW w:w="1081" w:type="dxa"/>
            <w:shd w:val="clear" w:color="auto" w:fill="auto"/>
            <w:vAlign w:val="center"/>
          </w:tcPr>
          <w:p w14:paraId="5DA7EFFB">
            <w:pPr>
              <w:jc w:val="center"/>
              <w:rPr>
                <w:color w:val="000000" w:themeColor="text1"/>
                <w:sz w:val="18"/>
                <w:szCs w:val="18"/>
                <w14:textFill>
                  <w14:solidFill>
                    <w14:schemeClr w14:val="tx1"/>
                  </w14:solidFill>
                </w14:textFill>
              </w:rPr>
            </w:pPr>
          </w:p>
        </w:tc>
        <w:tc>
          <w:tcPr>
            <w:tcW w:w="709" w:type="dxa"/>
            <w:shd w:val="clear" w:color="auto" w:fill="auto"/>
            <w:vAlign w:val="center"/>
          </w:tcPr>
          <w:p w14:paraId="2DD76613">
            <w:pPr>
              <w:jc w:val="center"/>
              <w:rPr>
                <w:rFonts w:hint="default" w:eastAsia="宋体"/>
                <w:color w:val="FF0000"/>
                <w:sz w:val="18"/>
                <w:szCs w:val="18"/>
                <w:lang w:val="en-US" w:eastAsia="zh-CN"/>
              </w:rPr>
            </w:pPr>
            <w:r>
              <w:rPr>
                <w:rFonts w:hint="eastAsia"/>
                <w:color w:val="auto"/>
                <w:sz w:val="18"/>
                <w:szCs w:val="18"/>
                <w:highlight w:val="none"/>
                <w:lang w:val="en-US" w:eastAsia="zh-CN"/>
              </w:rPr>
              <w:t>1</w:t>
            </w:r>
          </w:p>
        </w:tc>
        <w:tc>
          <w:tcPr>
            <w:tcW w:w="709" w:type="dxa"/>
            <w:vAlign w:val="center"/>
          </w:tcPr>
          <w:p w14:paraId="3FB6161C">
            <w:pPr>
              <w:jc w:val="center"/>
              <w:rPr>
                <w:color w:val="000000" w:themeColor="text1"/>
                <w:sz w:val="18"/>
                <w:szCs w:val="18"/>
                <w14:textFill>
                  <w14:solidFill>
                    <w14:schemeClr w14:val="tx1"/>
                  </w14:solidFill>
                </w14:textFill>
              </w:rPr>
            </w:pPr>
          </w:p>
        </w:tc>
        <w:tc>
          <w:tcPr>
            <w:tcW w:w="1045" w:type="dxa"/>
            <w:vAlign w:val="center"/>
          </w:tcPr>
          <w:p w14:paraId="0D3EA5C5">
            <w:pPr>
              <w:jc w:val="center"/>
              <w:rPr>
                <w:color w:val="000000" w:themeColor="text1"/>
                <w:sz w:val="18"/>
                <w:szCs w:val="18"/>
                <w14:textFill>
                  <w14:solidFill>
                    <w14:schemeClr w14:val="tx1"/>
                  </w14:solidFill>
                </w14:textFill>
              </w:rPr>
            </w:pPr>
          </w:p>
        </w:tc>
      </w:tr>
      <w:tr w14:paraId="69DD4A6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AFC53F">
            <w:pPr>
              <w:rPr>
                <w:b/>
                <w:color w:val="000000" w:themeColor="text1"/>
                <w:sz w:val="18"/>
                <w:szCs w:val="18"/>
                <w14:textFill>
                  <w14:solidFill>
                    <w14:schemeClr w14:val="tx1"/>
                  </w14:solidFill>
                </w14:textFill>
              </w:rPr>
            </w:pPr>
          </w:p>
        </w:tc>
        <w:tc>
          <w:tcPr>
            <w:tcW w:w="1226" w:type="dxa"/>
            <w:vMerge w:val="restart"/>
            <w:vAlign w:val="center"/>
          </w:tcPr>
          <w:p w14:paraId="7B4465B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shd w:val="clear" w:color="auto" w:fill="auto"/>
            <w:vAlign w:val="center"/>
          </w:tcPr>
          <w:p w14:paraId="2C4FAC98">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shd w:val="clear" w:color="auto" w:fill="auto"/>
            <w:vAlign w:val="center"/>
          </w:tcPr>
          <w:p w14:paraId="4676BF63">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62091F49">
            <w:pPr>
              <w:jc w:val="center"/>
              <w:rPr>
                <w:rFonts w:hint="eastAsia" w:ascii="Times New Roman" w:hAnsi="Times New Roman" w:eastAsia="宋体" w:cs="Times New Roman"/>
                <w:color w:val="FF0000"/>
                <w:kern w:val="2"/>
                <w:sz w:val="18"/>
                <w:szCs w:val="18"/>
                <w:lang w:val="en-US" w:eastAsia="zh-CN" w:bidi="ar-SA"/>
              </w:rPr>
            </w:pPr>
          </w:p>
        </w:tc>
        <w:tc>
          <w:tcPr>
            <w:tcW w:w="709" w:type="dxa"/>
            <w:shd w:val="clear" w:color="auto" w:fill="auto"/>
            <w:vAlign w:val="center"/>
          </w:tcPr>
          <w:p w14:paraId="0AD31775">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restart"/>
            <w:vAlign w:val="center"/>
          </w:tcPr>
          <w:p w14:paraId="25626D3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49DD2B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B74B3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365E75C">
            <w:pPr>
              <w:rPr>
                <w:b/>
                <w:color w:val="000000" w:themeColor="text1"/>
                <w:sz w:val="18"/>
                <w:szCs w:val="18"/>
                <w14:textFill>
                  <w14:solidFill>
                    <w14:schemeClr w14:val="tx1"/>
                  </w14:solidFill>
                </w14:textFill>
              </w:rPr>
            </w:pPr>
          </w:p>
        </w:tc>
        <w:tc>
          <w:tcPr>
            <w:tcW w:w="1226" w:type="dxa"/>
            <w:vMerge w:val="continue"/>
            <w:vAlign w:val="center"/>
          </w:tcPr>
          <w:p w14:paraId="5584009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022858AE">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论文</w:t>
            </w:r>
            <w:r>
              <w:rPr>
                <w:rFonts w:hint="eastAsia"/>
                <w:color w:val="000000" w:themeColor="text1"/>
                <w:sz w:val="18"/>
                <w:szCs w:val="18"/>
                <w14:textFill>
                  <w14:solidFill>
                    <w14:schemeClr w14:val="tx1"/>
                  </w14:solidFill>
                </w14:textFill>
              </w:rPr>
              <w:t>与申请学位实践成果</w:t>
            </w:r>
            <w:r>
              <w:rPr>
                <w:color w:val="000000" w:themeColor="text1"/>
                <w:sz w:val="18"/>
                <w:szCs w:val="18"/>
                <w14:textFill>
                  <w14:solidFill>
                    <w14:schemeClr w14:val="tx1"/>
                  </w14:solidFill>
                </w14:textFill>
              </w:rPr>
              <w:t>开题</w:t>
            </w:r>
          </w:p>
        </w:tc>
        <w:tc>
          <w:tcPr>
            <w:tcW w:w="1081" w:type="dxa"/>
            <w:shd w:val="clear" w:color="auto" w:fill="auto"/>
            <w:vAlign w:val="center"/>
          </w:tcPr>
          <w:p w14:paraId="3D5AECFC">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64FCD4F7">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24D29171">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continue"/>
          </w:tcPr>
          <w:p w14:paraId="17A1D8D6">
            <w:pPr>
              <w:jc w:val="center"/>
              <w:rPr>
                <w:color w:val="000000" w:themeColor="text1"/>
                <w:sz w:val="18"/>
                <w:szCs w:val="18"/>
                <w14:textFill>
                  <w14:solidFill>
                    <w14:schemeClr w14:val="tx1"/>
                  </w14:solidFill>
                </w14:textFill>
              </w:rPr>
            </w:pPr>
          </w:p>
        </w:tc>
      </w:tr>
      <w:tr w14:paraId="618BB0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665CC3">
            <w:pPr>
              <w:rPr>
                <w:b/>
                <w:color w:val="000000" w:themeColor="text1"/>
                <w:sz w:val="18"/>
                <w:szCs w:val="18"/>
                <w14:textFill>
                  <w14:solidFill>
                    <w14:schemeClr w14:val="tx1"/>
                  </w14:solidFill>
                </w14:textFill>
              </w:rPr>
            </w:pPr>
          </w:p>
        </w:tc>
        <w:tc>
          <w:tcPr>
            <w:tcW w:w="1226" w:type="dxa"/>
            <w:vMerge w:val="continue"/>
            <w:vAlign w:val="center"/>
          </w:tcPr>
          <w:p w14:paraId="73F1DAD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081CC28">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论</w:t>
            </w:r>
            <w:r>
              <w:rPr>
                <w:color w:val="000000" w:themeColor="text1"/>
                <w:sz w:val="18"/>
                <w:szCs w:val="18"/>
                <w14:textFill>
                  <w14:solidFill>
                    <w14:schemeClr w14:val="tx1"/>
                  </w14:solidFill>
                </w14:textFill>
              </w:rPr>
              <w:t>文</w:t>
            </w:r>
            <w:r>
              <w:rPr>
                <w:rFonts w:hint="eastAsia"/>
                <w:color w:val="000000" w:themeColor="text1"/>
                <w:sz w:val="18"/>
                <w:szCs w:val="18"/>
                <w14:textFill>
                  <w14:solidFill>
                    <w14:schemeClr w14:val="tx1"/>
                  </w14:solidFill>
                </w14:textFill>
              </w:rPr>
              <w:t>与申请学位实践成果</w:t>
            </w:r>
            <w:r>
              <w:rPr>
                <w:color w:val="000000" w:themeColor="text1"/>
                <w:sz w:val="18"/>
                <w:szCs w:val="18"/>
                <w14:textFill>
                  <w14:solidFill>
                    <w14:schemeClr w14:val="tx1"/>
                  </w14:solidFill>
                </w14:textFill>
              </w:rPr>
              <w:t>中期进展报告</w:t>
            </w:r>
          </w:p>
        </w:tc>
        <w:tc>
          <w:tcPr>
            <w:tcW w:w="1081" w:type="dxa"/>
            <w:shd w:val="clear" w:color="auto" w:fill="auto"/>
            <w:vAlign w:val="center"/>
          </w:tcPr>
          <w:p w14:paraId="0B1D9F15">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4BF54A71">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5AF14BB1">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5</w:t>
            </w:r>
          </w:p>
        </w:tc>
        <w:tc>
          <w:tcPr>
            <w:tcW w:w="1045" w:type="dxa"/>
            <w:vMerge w:val="continue"/>
          </w:tcPr>
          <w:p w14:paraId="1F406744">
            <w:pPr>
              <w:jc w:val="center"/>
              <w:rPr>
                <w:color w:val="000000" w:themeColor="text1"/>
                <w:sz w:val="18"/>
                <w:szCs w:val="18"/>
                <w14:textFill>
                  <w14:solidFill>
                    <w14:schemeClr w14:val="tx1"/>
                  </w14:solidFill>
                </w14:textFill>
              </w:rPr>
            </w:pPr>
          </w:p>
        </w:tc>
      </w:tr>
      <w:tr w14:paraId="536AAC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5740DB4">
            <w:pPr>
              <w:rPr>
                <w:b/>
                <w:color w:val="000000" w:themeColor="text1"/>
                <w:sz w:val="18"/>
                <w:szCs w:val="18"/>
                <w14:textFill>
                  <w14:solidFill>
                    <w14:schemeClr w14:val="tx1"/>
                  </w14:solidFill>
                </w14:textFill>
              </w:rPr>
            </w:pPr>
          </w:p>
        </w:tc>
        <w:tc>
          <w:tcPr>
            <w:tcW w:w="1226" w:type="dxa"/>
            <w:vMerge w:val="continue"/>
            <w:vAlign w:val="center"/>
          </w:tcPr>
          <w:p w14:paraId="1F56A9F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C407EAD">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论文</w:t>
            </w:r>
            <w:r>
              <w:rPr>
                <w:rFonts w:hint="eastAsia"/>
                <w:color w:val="000000" w:themeColor="text1"/>
                <w:sz w:val="18"/>
                <w:szCs w:val="18"/>
                <w14:textFill>
                  <w14:solidFill>
                    <w14:schemeClr w14:val="tx1"/>
                  </w14:solidFill>
                </w14:textFill>
              </w:rPr>
              <w:t>与申请学位实践成果</w:t>
            </w:r>
            <w:r>
              <w:rPr>
                <w:color w:val="000000" w:themeColor="text1"/>
                <w:sz w:val="18"/>
                <w:szCs w:val="18"/>
                <w14:textFill>
                  <w14:solidFill>
                    <w14:schemeClr w14:val="tx1"/>
                  </w14:solidFill>
                </w14:textFill>
              </w:rPr>
              <w:t>预答辩</w:t>
            </w:r>
          </w:p>
        </w:tc>
        <w:tc>
          <w:tcPr>
            <w:tcW w:w="1081" w:type="dxa"/>
            <w:shd w:val="clear" w:color="auto" w:fill="auto"/>
            <w:vAlign w:val="center"/>
          </w:tcPr>
          <w:p w14:paraId="7F4DC7A3">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187B834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7E702983">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5-6</w:t>
            </w:r>
          </w:p>
        </w:tc>
        <w:tc>
          <w:tcPr>
            <w:tcW w:w="1045" w:type="dxa"/>
            <w:vMerge w:val="continue"/>
          </w:tcPr>
          <w:p w14:paraId="77F260BA">
            <w:pPr>
              <w:jc w:val="center"/>
              <w:rPr>
                <w:color w:val="000000" w:themeColor="text1"/>
                <w:sz w:val="18"/>
                <w:szCs w:val="18"/>
                <w14:textFill>
                  <w14:solidFill>
                    <w14:schemeClr w14:val="tx1"/>
                  </w14:solidFill>
                </w14:textFill>
              </w:rPr>
            </w:pPr>
          </w:p>
        </w:tc>
      </w:tr>
      <w:tr w14:paraId="2CB2AF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99AEB0">
            <w:pPr>
              <w:rPr>
                <w:color w:val="000000" w:themeColor="text1"/>
                <w:sz w:val="18"/>
                <w:szCs w:val="18"/>
                <w14:textFill>
                  <w14:solidFill>
                    <w14:schemeClr w14:val="tx1"/>
                  </w14:solidFill>
                </w14:textFill>
              </w:rPr>
            </w:pPr>
          </w:p>
        </w:tc>
        <w:tc>
          <w:tcPr>
            <w:tcW w:w="1226" w:type="dxa"/>
            <w:vMerge w:val="continue"/>
          </w:tcPr>
          <w:p w14:paraId="15328625">
            <w:pPr>
              <w:jc w:val="center"/>
              <w:rPr>
                <w:color w:val="000000" w:themeColor="text1"/>
                <w:sz w:val="18"/>
                <w:szCs w:val="18"/>
                <w14:textFill>
                  <w14:solidFill>
                    <w14:schemeClr w14:val="tx1"/>
                  </w14:solidFill>
                </w14:textFill>
              </w:rPr>
            </w:pPr>
          </w:p>
        </w:tc>
        <w:tc>
          <w:tcPr>
            <w:tcW w:w="3516" w:type="dxa"/>
            <w:shd w:val="clear" w:color="auto" w:fill="auto"/>
            <w:vAlign w:val="center"/>
          </w:tcPr>
          <w:p w14:paraId="550AD616">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论文</w:t>
            </w:r>
            <w:r>
              <w:rPr>
                <w:rFonts w:hint="eastAsia"/>
                <w:color w:val="000000" w:themeColor="text1"/>
                <w:sz w:val="18"/>
                <w:szCs w:val="18"/>
                <w14:textFill>
                  <w14:solidFill>
                    <w14:schemeClr w14:val="tx1"/>
                  </w14:solidFill>
                </w14:textFill>
              </w:rPr>
              <w:t>与申请学位实践成果</w:t>
            </w:r>
            <w:r>
              <w:rPr>
                <w:color w:val="000000" w:themeColor="text1"/>
                <w:sz w:val="18"/>
                <w:szCs w:val="18"/>
                <w14:textFill>
                  <w14:solidFill>
                    <w14:schemeClr w14:val="tx1"/>
                  </w14:solidFill>
                </w14:textFill>
              </w:rPr>
              <w:t>评审</w:t>
            </w:r>
          </w:p>
        </w:tc>
        <w:tc>
          <w:tcPr>
            <w:tcW w:w="1081" w:type="dxa"/>
            <w:shd w:val="clear" w:color="auto" w:fill="auto"/>
            <w:vAlign w:val="center"/>
          </w:tcPr>
          <w:p w14:paraId="170115CD">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6685E04B">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4CBBB1F9">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ED651AC">
            <w:pPr>
              <w:jc w:val="center"/>
              <w:rPr>
                <w:color w:val="000000" w:themeColor="text1"/>
                <w:sz w:val="18"/>
                <w:szCs w:val="18"/>
                <w14:textFill>
                  <w14:solidFill>
                    <w14:schemeClr w14:val="tx1"/>
                  </w14:solidFill>
                </w14:textFill>
              </w:rPr>
            </w:pPr>
          </w:p>
        </w:tc>
      </w:tr>
      <w:tr w14:paraId="2AD3F2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50DE6D">
            <w:pPr>
              <w:rPr>
                <w:color w:val="000000" w:themeColor="text1"/>
                <w:sz w:val="18"/>
                <w:szCs w:val="18"/>
                <w14:textFill>
                  <w14:solidFill>
                    <w14:schemeClr w14:val="tx1"/>
                  </w14:solidFill>
                </w14:textFill>
              </w:rPr>
            </w:pPr>
          </w:p>
        </w:tc>
        <w:tc>
          <w:tcPr>
            <w:tcW w:w="1226" w:type="dxa"/>
            <w:vMerge w:val="continue"/>
          </w:tcPr>
          <w:p w14:paraId="22DB5513">
            <w:pPr>
              <w:jc w:val="center"/>
              <w:rPr>
                <w:color w:val="000000" w:themeColor="text1"/>
                <w:sz w:val="18"/>
                <w:szCs w:val="18"/>
                <w14:textFill>
                  <w14:solidFill>
                    <w14:schemeClr w14:val="tx1"/>
                  </w14:solidFill>
                </w14:textFill>
              </w:rPr>
            </w:pPr>
          </w:p>
        </w:tc>
        <w:tc>
          <w:tcPr>
            <w:tcW w:w="3516" w:type="dxa"/>
            <w:shd w:val="clear" w:color="auto" w:fill="auto"/>
            <w:vAlign w:val="center"/>
          </w:tcPr>
          <w:p w14:paraId="2277B212">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论文</w:t>
            </w:r>
            <w:r>
              <w:rPr>
                <w:rFonts w:hint="eastAsia"/>
                <w:color w:val="000000" w:themeColor="text1"/>
                <w:sz w:val="18"/>
                <w:szCs w:val="18"/>
                <w14:textFill>
                  <w14:solidFill>
                    <w14:schemeClr w14:val="tx1"/>
                  </w14:solidFill>
                </w14:textFill>
              </w:rPr>
              <w:t>与申请学位实践成果</w:t>
            </w:r>
            <w:r>
              <w:rPr>
                <w:color w:val="000000" w:themeColor="text1"/>
                <w:sz w:val="18"/>
                <w:szCs w:val="18"/>
                <w14:textFill>
                  <w14:solidFill>
                    <w14:schemeClr w14:val="tx1"/>
                  </w14:solidFill>
                </w14:textFill>
              </w:rPr>
              <w:t>答辩</w:t>
            </w:r>
          </w:p>
        </w:tc>
        <w:tc>
          <w:tcPr>
            <w:tcW w:w="1081" w:type="dxa"/>
            <w:shd w:val="clear" w:color="auto" w:fill="auto"/>
            <w:vAlign w:val="center"/>
          </w:tcPr>
          <w:p w14:paraId="18C4F341">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0497C00F">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1AC2CA94">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08498F7A">
            <w:pPr>
              <w:jc w:val="center"/>
              <w:rPr>
                <w:color w:val="000000" w:themeColor="text1"/>
                <w:sz w:val="18"/>
                <w:szCs w:val="18"/>
                <w14:textFill>
                  <w14:solidFill>
                    <w14:schemeClr w14:val="tx1"/>
                  </w14:solidFill>
                </w14:textFill>
              </w:rPr>
            </w:pPr>
          </w:p>
        </w:tc>
      </w:tr>
    </w:tbl>
    <w:p w14:paraId="5DB1B6A1">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2175BB79">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bookmarkEnd w:id="0"/>
    <w:bookmarkEnd w:id="1"/>
    <w:p w14:paraId="489E8CA5">
      <w:pPr>
        <w:spacing w:line="440" w:lineRule="exact"/>
        <w:ind w:firstLine="480" w:firstLineChars="200"/>
        <w:rPr>
          <w:rFonts w:eastAsiaTheme="minorEastAsia"/>
          <w:bCs/>
          <w:sz w:val="24"/>
        </w:rPr>
      </w:pPr>
      <w:r>
        <w:rPr>
          <w:rFonts w:eastAsiaTheme="minorEastAsia"/>
          <w:bCs/>
          <w:sz w:val="24"/>
        </w:rPr>
        <w:t xml:space="preserve">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7FA2"/>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1FEB"/>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2BA5"/>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499F"/>
    <w:rsid w:val="00124D6B"/>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B778B"/>
    <w:rsid w:val="001C2996"/>
    <w:rsid w:val="001C30DC"/>
    <w:rsid w:val="001C45C2"/>
    <w:rsid w:val="001C481C"/>
    <w:rsid w:val="001C5480"/>
    <w:rsid w:val="001C6211"/>
    <w:rsid w:val="001C7066"/>
    <w:rsid w:val="001C752D"/>
    <w:rsid w:val="001D1C64"/>
    <w:rsid w:val="001D1E43"/>
    <w:rsid w:val="001D2313"/>
    <w:rsid w:val="001D28BB"/>
    <w:rsid w:val="001D3452"/>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458C"/>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3AA0"/>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14F9"/>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63D6"/>
    <w:rsid w:val="002B72BE"/>
    <w:rsid w:val="002B7EFB"/>
    <w:rsid w:val="002C0D99"/>
    <w:rsid w:val="002C10F7"/>
    <w:rsid w:val="002C27CC"/>
    <w:rsid w:val="002C44BA"/>
    <w:rsid w:val="002C4D22"/>
    <w:rsid w:val="002C531D"/>
    <w:rsid w:val="002C5839"/>
    <w:rsid w:val="002C5D7C"/>
    <w:rsid w:val="002C67B2"/>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9A"/>
    <w:rsid w:val="002E51D1"/>
    <w:rsid w:val="002E5280"/>
    <w:rsid w:val="002E5BED"/>
    <w:rsid w:val="002E639B"/>
    <w:rsid w:val="002E704A"/>
    <w:rsid w:val="002E716E"/>
    <w:rsid w:val="002E7E9B"/>
    <w:rsid w:val="002E7F9D"/>
    <w:rsid w:val="002F12E0"/>
    <w:rsid w:val="002F2797"/>
    <w:rsid w:val="002F3877"/>
    <w:rsid w:val="002F3C9A"/>
    <w:rsid w:val="002F40D5"/>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56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57CA"/>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1E89"/>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0B4C"/>
    <w:rsid w:val="003F0BBD"/>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0DD"/>
    <w:rsid w:val="00451601"/>
    <w:rsid w:val="004517DC"/>
    <w:rsid w:val="0045466A"/>
    <w:rsid w:val="00454F3D"/>
    <w:rsid w:val="0045527A"/>
    <w:rsid w:val="0045580D"/>
    <w:rsid w:val="00455910"/>
    <w:rsid w:val="0045607C"/>
    <w:rsid w:val="0045658D"/>
    <w:rsid w:val="004568F2"/>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728"/>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85D"/>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4B7B"/>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577"/>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4D4"/>
    <w:rsid w:val="0055562B"/>
    <w:rsid w:val="005559E3"/>
    <w:rsid w:val="00557ACE"/>
    <w:rsid w:val="00557D2F"/>
    <w:rsid w:val="00560897"/>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1B1"/>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0990"/>
    <w:rsid w:val="005C1099"/>
    <w:rsid w:val="005C12CA"/>
    <w:rsid w:val="005C1E3A"/>
    <w:rsid w:val="005C2037"/>
    <w:rsid w:val="005C2DF0"/>
    <w:rsid w:val="005C2F1A"/>
    <w:rsid w:val="005C3B60"/>
    <w:rsid w:val="005C4432"/>
    <w:rsid w:val="005C4953"/>
    <w:rsid w:val="005C6CBD"/>
    <w:rsid w:val="005D14BA"/>
    <w:rsid w:val="005D17B7"/>
    <w:rsid w:val="005D2126"/>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0E"/>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13C"/>
    <w:rsid w:val="00645DF9"/>
    <w:rsid w:val="00646A84"/>
    <w:rsid w:val="00650B81"/>
    <w:rsid w:val="00652415"/>
    <w:rsid w:val="0065255B"/>
    <w:rsid w:val="00652EB7"/>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3BD"/>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20BB"/>
    <w:rsid w:val="006D30FE"/>
    <w:rsid w:val="006D3C95"/>
    <w:rsid w:val="006D51CC"/>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67EEE"/>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39E9"/>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572"/>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282"/>
    <w:rsid w:val="0083140F"/>
    <w:rsid w:val="00834A04"/>
    <w:rsid w:val="008376C2"/>
    <w:rsid w:val="008377F9"/>
    <w:rsid w:val="00840242"/>
    <w:rsid w:val="008407D9"/>
    <w:rsid w:val="00841C9C"/>
    <w:rsid w:val="00842714"/>
    <w:rsid w:val="00843F7B"/>
    <w:rsid w:val="0084438E"/>
    <w:rsid w:val="0084492D"/>
    <w:rsid w:val="00844D1E"/>
    <w:rsid w:val="00844EE4"/>
    <w:rsid w:val="008475ED"/>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87D8B"/>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0EC"/>
    <w:rsid w:val="00926233"/>
    <w:rsid w:val="00933D53"/>
    <w:rsid w:val="00935634"/>
    <w:rsid w:val="00937654"/>
    <w:rsid w:val="00937D4A"/>
    <w:rsid w:val="00942771"/>
    <w:rsid w:val="00942BE1"/>
    <w:rsid w:val="009435A3"/>
    <w:rsid w:val="00943C58"/>
    <w:rsid w:val="00946A25"/>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5E19"/>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41C"/>
    <w:rsid w:val="0099791C"/>
    <w:rsid w:val="009A2000"/>
    <w:rsid w:val="009A3455"/>
    <w:rsid w:val="009A3A70"/>
    <w:rsid w:val="009A489E"/>
    <w:rsid w:val="009A524E"/>
    <w:rsid w:val="009A62BA"/>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331F"/>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577"/>
    <w:rsid w:val="00A22E5F"/>
    <w:rsid w:val="00A230DB"/>
    <w:rsid w:val="00A2341F"/>
    <w:rsid w:val="00A23A00"/>
    <w:rsid w:val="00A23EE4"/>
    <w:rsid w:val="00A24FB3"/>
    <w:rsid w:val="00A25403"/>
    <w:rsid w:val="00A268F0"/>
    <w:rsid w:val="00A30A5F"/>
    <w:rsid w:val="00A320BE"/>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577D1"/>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2E05"/>
    <w:rsid w:val="00A736E7"/>
    <w:rsid w:val="00A74F32"/>
    <w:rsid w:val="00A76287"/>
    <w:rsid w:val="00A767BE"/>
    <w:rsid w:val="00A77B5A"/>
    <w:rsid w:val="00A77FA7"/>
    <w:rsid w:val="00A80F5F"/>
    <w:rsid w:val="00A82558"/>
    <w:rsid w:val="00A82898"/>
    <w:rsid w:val="00A828C6"/>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4AE"/>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5C7C"/>
    <w:rsid w:val="00AD699F"/>
    <w:rsid w:val="00AE13FA"/>
    <w:rsid w:val="00AE18BE"/>
    <w:rsid w:val="00AE24CE"/>
    <w:rsid w:val="00AE2CB4"/>
    <w:rsid w:val="00AE31DF"/>
    <w:rsid w:val="00AE4374"/>
    <w:rsid w:val="00AE4888"/>
    <w:rsid w:val="00AE55ED"/>
    <w:rsid w:val="00AE57CA"/>
    <w:rsid w:val="00AE61FF"/>
    <w:rsid w:val="00AE68F5"/>
    <w:rsid w:val="00AE78CA"/>
    <w:rsid w:val="00AE7B22"/>
    <w:rsid w:val="00AF00D9"/>
    <w:rsid w:val="00AF04E1"/>
    <w:rsid w:val="00AF0ED6"/>
    <w:rsid w:val="00AF1764"/>
    <w:rsid w:val="00AF1CC9"/>
    <w:rsid w:val="00AF206D"/>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462F"/>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3EFC"/>
    <w:rsid w:val="00B3467F"/>
    <w:rsid w:val="00B364FB"/>
    <w:rsid w:val="00B40173"/>
    <w:rsid w:val="00B40564"/>
    <w:rsid w:val="00B40843"/>
    <w:rsid w:val="00B41C97"/>
    <w:rsid w:val="00B435F3"/>
    <w:rsid w:val="00B43794"/>
    <w:rsid w:val="00B44677"/>
    <w:rsid w:val="00B44B31"/>
    <w:rsid w:val="00B4730A"/>
    <w:rsid w:val="00B4770E"/>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1A8"/>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3F9"/>
    <w:rsid w:val="00BF0D9D"/>
    <w:rsid w:val="00BF128E"/>
    <w:rsid w:val="00BF1792"/>
    <w:rsid w:val="00BF442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504"/>
    <w:rsid w:val="00C21AA7"/>
    <w:rsid w:val="00C21C6A"/>
    <w:rsid w:val="00C21F9D"/>
    <w:rsid w:val="00C235CE"/>
    <w:rsid w:val="00C23982"/>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35FE"/>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99"/>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135"/>
    <w:rsid w:val="00CE5494"/>
    <w:rsid w:val="00CE5BC2"/>
    <w:rsid w:val="00CE5FF0"/>
    <w:rsid w:val="00CE61F7"/>
    <w:rsid w:val="00CE62FD"/>
    <w:rsid w:val="00CE6BCA"/>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A00"/>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335F"/>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16D"/>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314"/>
    <w:rsid w:val="00D94A4F"/>
    <w:rsid w:val="00D94B23"/>
    <w:rsid w:val="00D9652D"/>
    <w:rsid w:val="00D967E9"/>
    <w:rsid w:val="00D968CE"/>
    <w:rsid w:val="00D973E0"/>
    <w:rsid w:val="00D9741A"/>
    <w:rsid w:val="00DA0C9A"/>
    <w:rsid w:val="00DA1246"/>
    <w:rsid w:val="00DA22C0"/>
    <w:rsid w:val="00DA28D1"/>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487D"/>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77FB2"/>
    <w:rsid w:val="00E802AD"/>
    <w:rsid w:val="00E80F7F"/>
    <w:rsid w:val="00E81793"/>
    <w:rsid w:val="00E8261D"/>
    <w:rsid w:val="00E82DF9"/>
    <w:rsid w:val="00E83926"/>
    <w:rsid w:val="00E85061"/>
    <w:rsid w:val="00E85887"/>
    <w:rsid w:val="00E87130"/>
    <w:rsid w:val="00E9078D"/>
    <w:rsid w:val="00E90E15"/>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A7BFB"/>
    <w:rsid w:val="00EB2125"/>
    <w:rsid w:val="00EB3E9A"/>
    <w:rsid w:val="00EB47EF"/>
    <w:rsid w:val="00EB4C13"/>
    <w:rsid w:val="00EB5370"/>
    <w:rsid w:val="00EB739C"/>
    <w:rsid w:val="00EB7709"/>
    <w:rsid w:val="00EC0C6F"/>
    <w:rsid w:val="00EC1A58"/>
    <w:rsid w:val="00EC1C32"/>
    <w:rsid w:val="00EC2709"/>
    <w:rsid w:val="00EC4E9E"/>
    <w:rsid w:val="00EC5F59"/>
    <w:rsid w:val="00EC73B2"/>
    <w:rsid w:val="00EC7A77"/>
    <w:rsid w:val="00EC7BC5"/>
    <w:rsid w:val="00ED1213"/>
    <w:rsid w:val="00ED1EA6"/>
    <w:rsid w:val="00ED1F97"/>
    <w:rsid w:val="00ED296A"/>
    <w:rsid w:val="00ED454B"/>
    <w:rsid w:val="00ED4791"/>
    <w:rsid w:val="00ED4E9C"/>
    <w:rsid w:val="00ED539B"/>
    <w:rsid w:val="00ED5BC7"/>
    <w:rsid w:val="00ED7AC9"/>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0937"/>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197A"/>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1509"/>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6EE"/>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9109DF"/>
    <w:rsid w:val="04254A91"/>
    <w:rsid w:val="0EF903F0"/>
    <w:rsid w:val="142D7FF2"/>
    <w:rsid w:val="14A519D9"/>
    <w:rsid w:val="18DA6CE0"/>
    <w:rsid w:val="1FE96C05"/>
    <w:rsid w:val="24C809DF"/>
    <w:rsid w:val="27080409"/>
    <w:rsid w:val="286B1DEC"/>
    <w:rsid w:val="2AA45630"/>
    <w:rsid w:val="2E621406"/>
    <w:rsid w:val="2FE343B8"/>
    <w:rsid w:val="322C3C72"/>
    <w:rsid w:val="34CD4FD9"/>
    <w:rsid w:val="34F211E2"/>
    <w:rsid w:val="35C43EC2"/>
    <w:rsid w:val="36085657"/>
    <w:rsid w:val="36722E20"/>
    <w:rsid w:val="3B640AB2"/>
    <w:rsid w:val="3F25027F"/>
    <w:rsid w:val="42603E3A"/>
    <w:rsid w:val="4E3F66C2"/>
    <w:rsid w:val="53795BE5"/>
    <w:rsid w:val="5385202A"/>
    <w:rsid w:val="54724FAC"/>
    <w:rsid w:val="550906F8"/>
    <w:rsid w:val="55503F75"/>
    <w:rsid w:val="5E846139"/>
    <w:rsid w:val="61742822"/>
    <w:rsid w:val="67D23394"/>
    <w:rsid w:val="716674F2"/>
    <w:rsid w:val="762F4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5024</Words>
  <Characters>5282</Characters>
  <Lines>39</Lines>
  <Paragraphs>11</Paragraphs>
  <TotalTime>34</TotalTime>
  <ScaleCrop>false</ScaleCrop>
  <LinksUpToDate>false</LinksUpToDate>
  <CharactersWithSpaces>5287</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未知</cp:lastModifiedBy>
  <cp:lastPrinted>2025-06-16T07:59:45Z</cp:lastPrinted>
  <dcterms:modified xsi:type="dcterms:W3CDTF">2025-06-16T07:59:53Z</dcterms:modified>
  <cp:revision>123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535657F3CC0C4D3CABBED84E1C1E78A9_13</vt:lpwstr>
  </property>
  <property fmtid="{D5CDD505-2E9C-101B-9397-08002B2CF9AE}" pid="4" name="KSOTemplateDocerSaveRecord">
    <vt:lpwstr>eyJoZGlkIjoiNjZmYjFlOTAyOWMxNzIwMGQ3MTE3ZGUxZjUwOTAwYjIiLCJ1c2VySWQiOiIzMzI1ODEwMzgifQ==</vt:lpwstr>
  </property>
</Properties>
</file>