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487BD9">
      <w:pPr>
        <w:ind w:firstLine="489"/>
      </w:pPr>
    </w:p>
    <w:p w14:paraId="197080BA">
      <w:pPr>
        <w:spacing w:line="360" w:lineRule="auto"/>
        <w:ind w:left="321" w:leftChars="153" w:right="227" w:firstLine="855"/>
        <w:jc w:val="center"/>
        <w:rPr>
          <w:rFonts w:ascii="黑体" w:hAnsi="黑体" w:eastAsia="黑体" w:cs="宋体"/>
          <w:b/>
          <w:bCs/>
          <w:sz w:val="36"/>
          <w:szCs w:val="36"/>
        </w:rPr>
      </w:pPr>
      <w:r>
        <w:rPr>
          <w:rFonts w:hint="eastAsia" w:ascii="黑体" w:hAnsi="黑体" w:eastAsia="黑体" w:cs="宋体"/>
          <w:b/>
          <w:bCs/>
          <w:iCs/>
          <w:sz w:val="36"/>
          <w:szCs w:val="36"/>
        </w:rPr>
        <w:t>传播学专业</w:t>
      </w:r>
      <w:r>
        <w:rPr>
          <w:rFonts w:hint="eastAsia" w:ascii="黑体" w:hAnsi="黑体" w:eastAsia="黑体" w:cs="宋体"/>
          <w:b/>
          <w:bCs/>
          <w:sz w:val="36"/>
          <w:szCs w:val="36"/>
        </w:rPr>
        <w:t>学术学位硕士研究生培养方案</w:t>
      </w:r>
    </w:p>
    <w:p w14:paraId="2B133831">
      <w:pPr>
        <w:spacing w:line="360" w:lineRule="auto"/>
        <w:ind w:left="321" w:leftChars="153" w:right="227" w:firstLine="665"/>
        <w:jc w:val="center"/>
        <w:rPr>
          <w:rFonts w:ascii="黑体" w:hAnsi="黑体" w:eastAsia="黑体" w:cs="宋体"/>
          <w:b/>
          <w:bCs/>
          <w:sz w:val="28"/>
          <w:szCs w:val="28"/>
        </w:rPr>
      </w:pPr>
      <w:r>
        <w:rPr>
          <w:rFonts w:hint="eastAsia" w:ascii="黑体" w:hAnsi="黑体" w:eastAsia="黑体" w:cs="宋体"/>
          <w:b/>
          <w:bCs/>
          <w:sz w:val="28"/>
          <w:szCs w:val="28"/>
        </w:rPr>
        <w:t>（新闻传播学院)</w:t>
      </w:r>
    </w:p>
    <w:p w14:paraId="137FD2EF">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ascii="宋体" w:hAnsi="宋体" w:cs="宋体"/>
          <w:b/>
          <w:sz w:val="28"/>
          <w:szCs w:val="28"/>
        </w:rPr>
      </w:pPr>
      <w:r>
        <w:rPr>
          <w:rFonts w:hint="eastAsia" w:ascii="黑体" w:hAnsi="黑体" w:eastAsia="黑体" w:cs="黑体"/>
          <w:b w:val="0"/>
          <w:bCs/>
          <w:sz w:val="28"/>
          <w:szCs w:val="28"/>
        </w:rPr>
        <w:t>一、专业名称、代码</w:t>
      </w:r>
    </w:p>
    <w:p w14:paraId="7E0B7CF3">
      <w:pPr>
        <w:pStyle w:val="2"/>
        <w:keepNext w:val="0"/>
        <w:keepLines w:val="0"/>
        <w:pageBreakBefore w:val="0"/>
        <w:widowControl w:val="0"/>
        <w:kinsoku/>
        <w:wordWrap/>
        <w:overflowPunct/>
        <w:topLinePunct w:val="0"/>
        <w:autoSpaceDE/>
        <w:autoSpaceDN/>
        <w:bidi w:val="0"/>
        <w:adjustRightInd/>
        <w:snapToGrid w:val="0"/>
        <w:spacing w:line="360" w:lineRule="auto"/>
        <w:ind w:left="0" w:firstLine="480"/>
        <w:textAlignment w:val="auto"/>
        <w:rPr>
          <w:rFonts w:asciiTheme="minorEastAsia" w:hAnsiTheme="minorEastAsia" w:eastAsiaTheme="minorEastAsia"/>
          <w:sz w:val="24"/>
          <w:szCs w:val="24"/>
        </w:rPr>
      </w:pPr>
      <w:r>
        <w:rPr>
          <w:rFonts w:hint="eastAsia" w:asciiTheme="minorEastAsia" w:hAnsiTheme="minorEastAsia" w:eastAsiaTheme="minorEastAsia"/>
          <w:sz w:val="24"/>
          <w:szCs w:val="24"/>
        </w:rPr>
        <w:t>专业名称：传播学</w:t>
      </w:r>
    </w:p>
    <w:p w14:paraId="55561178">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hint="eastAsia" w:ascii="Times New Roman" w:hAnsi="Times New Roman" w:cs="Times New Roman" w:eastAsiaTheme="minorEastAsia"/>
          <w:sz w:val="24"/>
          <w:szCs w:val="24"/>
          <w:lang w:val="en-US" w:eastAsia="zh-CN"/>
        </w:rPr>
      </w:pPr>
      <w:r>
        <w:rPr>
          <w:rFonts w:hint="eastAsia" w:asciiTheme="minorEastAsia" w:hAnsiTheme="minorEastAsia"/>
          <w:sz w:val="24"/>
          <w:szCs w:val="24"/>
        </w:rPr>
        <w:t>专业代码：</w:t>
      </w:r>
      <w:r>
        <w:rPr>
          <w:rFonts w:ascii="Times New Roman" w:hAnsi="Times New Roman" w:cs="Times New Roman"/>
          <w:sz w:val="24"/>
          <w:szCs w:val="24"/>
        </w:rPr>
        <w:t>05030</w:t>
      </w:r>
      <w:r>
        <w:rPr>
          <w:rFonts w:hint="eastAsia" w:ascii="Times New Roman" w:hAnsi="Times New Roman" w:cs="Times New Roman"/>
          <w:sz w:val="24"/>
          <w:szCs w:val="24"/>
          <w:lang w:val="en-US" w:eastAsia="zh-CN"/>
        </w:rPr>
        <w:t>2</w:t>
      </w:r>
    </w:p>
    <w:p w14:paraId="69919DB5">
      <w:pPr>
        <w:keepNext w:val="0"/>
        <w:keepLines w:val="0"/>
        <w:pageBreakBefore w:val="0"/>
        <w:widowControl w:val="0"/>
        <w:kinsoku/>
        <w:wordWrap/>
        <w:overflowPunct/>
        <w:topLinePunct w:val="0"/>
        <w:autoSpaceDE/>
        <w:autoSpaceDN/>
        <w:bidi w:val="0"/>
        <w:adjustRightInd/>
        <w:snapToGrid w:val="0"/>
        <w:spacing w:line="360" w:lineRule="auto"/>
        <w:ind w:left="0" w:firstLine="665"/>
        <w:textAlignment w:val="auto"/>
        <w:rPr>
          <w:rFonts w:ascii="宋体" w:hAnsi="宋体" w:cs="宋体"/>
          <w:b/>
          <w:sz w:val="28"/>
          <w:szCs w:val="28"/>
        </w:rPr>
      </w:pPr>
      <w:r>
        <w:rPr>
          <w:rFonts w:hint="eastAsia" w:ascii="黑体" w:hAnsi="黑体" w:eastAsia="黑体" w:cs="黑体"/>
          <w:b w:val="0"/>
          <w:bCs/>
          <w:sz w:val="28"/>
          <w:szCs w:val="28"/>
        </w:rPr>
        <w:t>二、专业简介</w:t>
      </w:r>
    </w:p>
    <w:p w14:paraId="223FA126">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cs="Arial" w:asciiTheme="minorEastAsia" w:hAnsiTheme="minorEastAsia"/>
          <w:color w:val="000000" w:themeColor="text1"/>
          <w:sz w:val="24"/>
          <w:szCs w:val="24"/>
          <w:shd w:val="clear" w:color="auto" w:fill="FFFFFF"/>
          <w14:textFill>
            <w14:solidFill>
              <w14:schemeClr w14:val="tx1"/>
            </w14:solidFill>
          </w14:textFill>
        </w:rPr>
      </w:pPr>
      <w:r>
        <w:rPr>
          <w:rFonts w:hint="eastAsia" w:cs="Arial" w:asciiTheme="minorEastAsia" w:hAnsiTheme="minorEastAsia"/>
          <w:color w:val="000000" w:themeColor="text1"/>
          <w:sz w:val="24"/>
          <w:szCs w:val="24"/>
          <w:shd w:val="clear" w:color="auto" w:fill="FFFFFF"/>
          <w:lang w:val="en-US" w:eastAsia="zh-CN"/>
          <w14:textFill>
            <w14:solidFill>
              <w14:schemeClr w14:val="tx1"/>
            </w14:solidFill>
          </w14:textFill>
        </w:rPr>
        <w:t>本专业</w:t>
      </w:r>
      <w:r>
        <w:rPr>
          <w:rFonts w:hint="eastAsia" w:asciiTheme="minorEastAsia" w:hAnsiTheme="minorEastAsia"/>
          <w:sz w:val="24"/>
          <w:szCs w:val="24"/>
        </w:rPr>
        <w:t>旨在培养具有扎实的理论基础、</w:t>
      </w:r>
      <w:r>
        <w:rPr>
          <w:rFonts w:asciiTheme="minorEastAsia" w:hAnsiTheme="minorEastAsia"/>
          <w:sz w:val="24"/>
          <w:szCs w:val="24"/>
        </w:rPr>
        <w:t>良好的政治思想素质和职业道德素养</w:t>
      </w:r>
      <w:r>
        <w:rPr>
          <w:rFonts w:hint="eastAsia" w:asciiTheme="minorEastAsia" w:hAnsiTheme="minorEastAsia"/>
          <w:sz w:val="24"/>
          <w:szCs w:val="24"/>
        </w:rPr>
        <w:t>、能够</w:t>
      </w:r>
      <w:r>
        <w:rPr>
          <w:rFonts w:asciiTheme="minorEastAsia" w:hAnsiTheme="minorEastAsia"/>
          <w:sz w:val="24"/>
          <w:szCs w:val="24"/>
        </w:rPr>
        <w:t>综合运用</w:t>
      </w:r>
      <w:r>
        <w:rPr>
          <w:rFonts w:hint="eastAsia" w:asciiTheme="minorEastAsia" w:hAnsiTheme="minorEastAsia"/>
          <w:sz w:val="24"/>
          <w:szCs w:val="24"/>
        </w:rPr>
        <w:t>多学科</w:t>
      </w:r>
      <w:r>
        <w:rPr>
          <w:rFonts w:asciiTheme="minorEastAsia" w:hAnsiTheme="minorEastAsia"/>
          <w:sz w:val="24"/>
          <w:szCs w:val="24"/>
        </w:rPr>
        <w:t>知识解决</w:t>
      </w:r>
      <w:r>
        <w:rPr>
          <w:rFonts w:hint="eastAsia" w:asciiTheme="minorEastAsia" w:hAnsiTheme="minorEastAsia"/>
          <w:sz w:val="24"/>
          <w:szCs w:val="24"/>
        </w:rPr>
        <w:t>新闻</w:t>
      </w:r>
      <w:r>
        <w:rPr>
          <w:rFonts w:asciiTheme="minorEastAsia" w:hAnsiTheme="minorEastAsia"/>
          <w:sz w:val="24"/>
          <w:szCs w:val="24"/>
        </w:rPr>
        <w:t>传播业实际问题</w:t>
      </w:r>
      <w:r>
        <w:rPr>
          <w:rFonts w:hint="eastAsia" w:asciiTheme="minorEastAsia" w:hAnsiTheme="minorEastAsia"/>
          <w:sz w:val="24"/>
          <w:szCs w:val="24"/>
        </w:rPr>
        <w:t>、创新研究能力和国际视野、</w:t>
      </w:r>
      <w:r>
        <w:rPr>
          <w:rFonts w:asciiTheme="minorEastAsia" w:hAnsiTheme="minorEastAsia"/>
          <w:sz w:val="24"/>
          <w:szCs w:val="24"/>
        </w:rPr>
        <w:t>适应现代</w:t>
      </w:r>
      <w:r>
        <w:rPr>
          <w:rFonts w:hint="eastAsia" w:asciiTheme="minorEastAsia" w:hAnsiTheme="minorEastAsia"/>
          <w:sz w:val="24"/>
          <w:szCs w:val="24"/>
        </w:rPr>
        <w:t>新闻传播</w:t>
      </w:r>
      <w:r>
        <w:rPr>
          <w:rFonts w:asciiTheme="minorEastAsia" w:hAnsiTheme="minorEastAsia"/>
          <w:sz w:val="24"/>
          <w:szCs w:val="24"/>
        </w:rPr>
        <w:t>业发展需要的高层次、复合型、应用型</w:t>
      </w:r>
      <w:r>
        <w:rPr>
          <w:rFonts w:hint="eastAsia" w:asciiTheme="minorEastAsia" w:hAnsiTheme="minorEastAsia"/>
          <w:sz w:val="24"/>
          <w:szCs w:val="24"/>
        </w:rPr>
        <w:t>传播学人才。传播学专业依托学科交叉优势，结合媒介技术变革与社会发展需求，聚焦传播理论创新、媒介生态、公共传播实践等领域，形成“立足本土、面向国际、服务社会”的学科特色。</w:t>
      </w:r>
    </w:p>
    <w:p w14:paraId="1B6162A4">
      <w:pPr>
        <w:keepNext w:val="0"/>
        <w:keepLines w:val="0"/>
        <w:pageBreakBefore w:val="0"/>
        <w:widowControl w:val="0"/>
        <w:kinsoku/>
        <w:wordWrap/>
        <w:overflowPunct/>
        <w:topLinePunct w:val="0"/>
        <w:autoSpaceDE/>
        <w:autoSpaceDN/>
        <w:bidi w:val="0"/>
        <w:adjustRightInd/>
        <w:snapToGrid w:val="0"/>
        <w:spacing w:line="360" w:lineRule="auto"/>
        <w:ind w:left="0" w:firstLine="559"/>
        <w:textAlignment w:val="auto"/>
        <w:rPr>
          <w:rFonts w:asciiTheme="minorEastAsia" w:hAnsiTheme="minorEastAsia"/>
          <w:sz w:val="24"/>
          <w:szCs w:val="24"/>
        </w:rPr>
      </w:pPr>
      <w:r>
        <w:rPr>
          <w:rFonts w:hint="eastAsia" w:asciiTheme="minorEastAsia" w:hAnsiTheme="minorEastAsia"/>
          <w:sz w:val="24"/>
          <w:szCs w:val="24"/>
        </w:rPr>
        <w:t>特色及优势：（1）生源覆盖河北、北京、山东、天津等十余个省市自治区的高校，其中跨专业考生比例稳定在50%左右，多元学科背景</w:t>
      </w:r>
      <w:r>
        <w:rPr>
          <w:rFonts w:hint="eastAsia" w:asciiTheme="minorEastAsia" w:hAnsiTheme="minorEastAsia"/>
          <w:sz w:val="24"/>
          <w:szCs w:val="24"/>
          <w:lang w:val="en-US" w:eastAsia="zh-CN"/>
        </w:rPr>
        <w:t>互鉴；</w:t>
      </w:r>
      <w:r>
        <w:rPr>
          <w:rFonts w:hint="eastAsia" w:asciiTheme="minorEastAsia" w:hAnsiTheme="minorEastAsia"/>
          <w:sz w:val="24"/>
          <w:szCs w:val="24"/>
        </w:rPr>
        <w:t>（2）作为国内少数具备完整办学层次的新闻与传播专业学科点，形成了厚基础、宽口径、理论与实践深度融合并紧密服务京津冀协同发展的办学特色；（3）坚持以教学、科研与实践协同发展为根本指导思想，通过产学研联合培养机制整合政府、媒体与行业资源，构建跨学科专业化人才培养体系。</w:t>
      </w:r>
    </w:p>
    <w:p w14:paraId="4309E0FC">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三、研究方向</w:t>
      </w:r>
    </w:p>
    <w:p w14:paraId="54654BF4">
      <w:pPr>
        <w:snapToGrid w:val="0"/>
        <w:spacing w:line="360" w:lineRule="auto"/>
        <w:ind w:firstLine="480" w:firstLineChars="200"/>
        <w:rPr>
          <w:rFonts w:hint="eastAsia" w:ascii="宋体" w:hAnsi="宋体" w:cs="宋体"/>
          <w:sz w:val="24"/>
          <w:lang w:eastAsia="zh-CN"/>
        </w:rPr>
      </w:pPr>
      <w:r>
        <w:rPr>
          <w:rFonts w:hint="eastAsia" w:ascii="宋体" w:hAnsi="宋体" w:cs="宋体"/>
          <w:sz w:val="24"/>
        </w:rPr>
        <w:t>为全面提升新闻传播学科建设水平，强化学术创新能力与实践育人导向，立足学科发展前沿与实践创新需求，着力培养符合新时代要求的新闻传播领域高端复合型人才，切实实现学术研究特色化与人才培养前沿性的有机统一，推进学术团队建设与研究生培养方向深度融合，本专业特开设如下</w:t>
      </w:r>
      <w:r>
        <w:rPr>
          <w:rFonts w:hint="eastAsia" w:ascii="宋体" w:hAnsi="宋体" w:cs="宋体"/>
          <w:sz w:val="24"/>
          <w:lang w:val="en-US" w:eastAsia="zh-CN"/>
        </w:rPr>
        <w:t>四</w:t>
      </w:r>
      <w:r>
        <w:rPr>
          <w:rFonts w:hint="eastAsia" w:ascii="宋体" w:hAnsi="宋体" w:cs="宋体"/>
          <w:sz w:val="24"/>
        </w:rPr>
        <w:t>个研究方向</w:t>
      </w:r>
      <w:r>
        <w:rPr>
          <w:rFonts w:hint="eastAsia" w:ascii="宋体" w:hAnsi="宋体" w:cs="宋体"/>
          <w:sz w:val="24"/>
          <w:lang w:eastAsia="zh-CN"/>
        </w:rPr>
        <w:t>：</w:t>
      </w:r>
    </w:p>
    <w:p w14:paraId="75314AD5">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1.媒介社会学</w:t>
      </w:r>
    </w:p>
    <w:p w14:paraId="1D157601">
      <w:pPr>
        <w:snapToGrid w:val="0"/>
        <w:spacing w:line="360" w:lineRule="auto"/>
        <w:ind w:firstLine="480" w:firstLineChars="200"/>
        <w:rPr>
          <w:rFonts w:hint="eastAsia" w:ascii="宋体" w:hAnsi="宋体" w:cs="宋体"/>
          <w:sz w:val="24"/>
        </w:rPr>
      </w:pPr>
      <w:r>
        <w:rPr>
          <w:rFonts w:hint="eastAsia" w:ascii="宋体" w:hAnsi="宋体" w:cs="宋体"/>
          <w:sz w:val="24"/>
          <w:lang w:val="en-US" w:eastAsia="zh-CN"/>
        </w:rPr>
        <w:t>媒介社会学方向聚焦媒介与社会的互动关系，探索媒介在社会结构、文化形态、群体行为等层面产生的影响。主要研究内容包括媒介如何参与社会权力建构、塑造社会公共领域，以及社交媒体时代下的群体认同与社会分层现象。同时，该方向还注重剖析媒介技术发展对社会关系的重构作用，如短视频平台对人际交往模式的改变，以及算法推荐机制对信息茧房的影响。该方向人才需具备扎实的社会学理论基础与传播学知识体系，能够运用田野调查、深度访谈等社会学研究方法，结合媒介文本分析，揭示媒介与社会现象之间的内在逻辑。需掌握社会网络分析工具，具备解读复杂社会传播现象的能力，并能够从社会学视角提出媒介问题的解决方案，同时拥有跨学科整合能力，以应对媒介技术发展带来的新社会议题。</w:t>
      </w:r>
    </w:p>
    <w:p w14:paraId="43ABF259">
      <w:pPr>
        <w:snapToGrid w:val="0"/>
        <w:spacing w:line="360" w:lineRule="auto"/>
        <w:ind w:firstLine="480" w:firstLineChars="200"/>
        <w:rPr>
          <w:rFonts w:hint="default" w:ascii="宋体" w:hAnsi="宋体" w:cs="宋体"/>
          <w:sz w:val="24"/>
          <w:lang w:val="en-US" w:eastAsia="zh-CN"/>
        </w:rPr>
      </w:pPr>
      <w:r>
        <w:rPr>
          <w:rFonts w:hint="eastAsia" w:ascii="宋体" w:hAnsi="宋体" w:cs="宋体"/>
          <w:sz w:val="24"/>
          <w:lang w:val="en-US" w:eastAsia="zh-CN"/>
        </w:rPr>
        <w:t>2.传播史论</w:t>
      </w:r>
    </w:p>
    <w:p w14:paraId="25EE5724">
      <w:pPr>
        <w:snapToGrid w:val="0"/>
        <w:spacing w:line="360" w:lineRule="auto"/>
        <w:ind w:firstLine="480" w:firstLineChars="200"/>
        <w:rPr>
          <w:rFonts w:hint="eastAsia" w:ascii="宋体" w:hAnsi="宋体" w:cs="宋体"/>
          <w:sz w:val="24"/>
        </w:rPr>
      </w:pPr>
      <w:r>
        <w:rPr>
          <w:rFonts w:hint="eastAsia" w:ascii="宋体" w:hAnsi="宋体" w:cs="宋体"/>
          <w:sz w:val="24"/>
          <w:lang w:val="en-US" w:eastAsia="zh-CN"/>
        </w:rPr>
        <w:t>传播史论方向以历史维度梳理传播思想、理论与实践的发展脉络，深入研究传播理论的起源、演变与创新。主要研究内容涵盖中外传播思想史、重大历史时期传播技术的革新对社会的推动作用，如印刷术发明对知识传播的影响，以及广播电视技术兴起对社会文化的重塑。同时，还会探究传播理论流派的形成与发展，通过对经典传播理论的批判性研究，挖掘理论价值并寻求新的理论突破。此方向人才需具备深厚的历史学与传播学知识储备，熟练掌握文献考据、历史比较等研究方法，能够对传播史论进行系统梳理与深入阐释。要求具备敏锐的学术洞察力，善于从历史资料中发现传播规律与理论线索，具备严谨的学术写作与表达能力，能够将研究成果以学术论文、专著等形式进行传播，为传播学理论体系的完善提供历史支撑与理论启发。</w:t>
      </w:r>
    </w:p>
    <w:p w14:paraId="63098F9F">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3.国际传播</w:t>
      </w:r>
    </w:p>
    <w:p w14:paraId="03C0A541">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国际传播方向以全球视野研究跨文化传播、国家形象塑造与国际舆论博弈。主要研究内容包括国际传播战略制定、国际传播渠道与平台拓展、不同文化背景下的传播规律与效果优化，以及国际热点事件中的舆论引导策略。注重分析国际传播中的文化差异、意识形态冲突与合作机遇，探索提升国家文化软实力与国际话语权的有效路径。响应国际传播能力建设需求，重点研究“一带一路”背景下中国叙事体系构建、燕赵文化国际传播策略、全球南方国家传播秩序等课题。通过文化传播、大众传播理论、新闻实践等课程，培养学生运用多语种进行对外报道的能力。此方向人才需具备深厚的国际传播理论功底，具备跨文化沟通与传播能力，能够准确把握国际传播受众需求与心理。要求掌握国际传播数据分析、舆情监测与危机公关技能，熟悉国际传播政策与法规，具备全球传播视野与战略思维，能够在国际传播实践中策划并执行有效的传播方案，助力国家形象传播与国际文化交流。</w:t>
      </w:r>
    </w:p>
    <w:p w14:paraId="0D6B8A8C">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4.大数据与智能传播</w:t>
      </w:r>
    </w:p>
    <w:p w14:paraId="5C91E529">
      <w:pPr>
        <w:snapToGrid w:val="0"/>
        <w:spacing w:line="360" w:lineRule="auto"/>
        <w:ind w:firstLine="480" w:firstLineChars="200"/>
        <w:rPr>
          <w:rFonts w:hint="eastAsia" w:ascii="宋体" w:hAnsi="宋体" w:cs="宋体"/>
          <w:sz w:val="24"/>
          <w:lang w:val="en-US" w:eastAsia="zh-CN"/>
        </w:rPr>
      </w:pPr>
      <w:r>
        <w:rPr>
          <w:rFonts w:hint="eastAsia" w:ascii="宋体" w:hAnsi="宋体" w:cs="宋体"/>
          <w:sz w:val="24"/>
          <w:lang w:val="en-US" w:eastAsia="zh-CN"/>
        </w:rPr>
        <w:t>大数据与智能传播方向围绕数据驱动的传播决策与智能化传播实践展开研究。主要内容包括大数据采集、清洗、分析与可视化技术，人工智能算法在内容生产、分发与推荐中的应用，以及智能传播系统的构建与优化。同时，探索如何利用大数据挖掘用户需求、预测传播趋势，借助智能技术实现个性化、精准化传播，并研究智能传播带来的伦理与法律问题。此方向人才需掌握Python、R语言等大数据分析工具，熟悉数据挖掘算法与人工智能、机器学习原理，具备智能传播产品设计与开发能力。要求拥有较强的数据敏感度与逻辑思维能力，能够从海量数据中提炼有价值的信息，并转化为有效的传播策略。同时，需深入了解智能传播伦理与法律规范，确保技术应用的合规性与安全性，适应智能传播时代的行业需求。</w:t>
      </w:r>
    </w:p>
    <w:p w14:paraId="740BDA7C">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iCs/>
          <w:sz w:val="28"/>
          <w:szCs w:val="28"/>
        </w:rPr>
      </w:pPr>
      <w:r>
        <w:rPr>
          <w:rFonts w:hint="eastAsia" w:ascii="黑体" w:hAnsi="黑体" w:eastAsia="黑体" w:cs="黑体"/>
          <w:b w:val="0"/>
          <w:bCs/>
          <w:iCs/>
          <w:sz w:val="28"/>
          <w:szCs w:val="28"/>
        </w:rPr>
        <w:t>四、学制及学习年限</w:t>
      </w:r>
    </w:p>
    <w:p w14:paraId="05C9B9FE">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 xml:space="preserve">本专业学制为3年，在校最长学习年限（含休学）不超过6年。 </w:t>
      </w:r>
    </w:p>
    <w:p w14:paraId="1687CA68">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五、培养目标</w:t>
      </w:r>
    </w:p>
    <w:p w14:paraId="6B05D2E7">
      <w:pPr>
        <w:snapToGrid w:val="0"/>
        <w:spacing w:line="360" w:lineRule="auto"/>
        <w:ind w:firstLine="559"/>
        <w:rPr>
          <w:rFonts w:hint="eastAsia" w:ascii="宋体" w:hAnsi="宋体" w:cs="宋体"/>
          <w:iCs/>
          <w:sz w:val="24"/>
        </w:rPr>
      </w:pPr>
      <w:r>
        <w:rPr>
          <w:rFonts w:hint="eastAsia" w:ascii="宋体" w:hAnsi="宋体" w:cs="宋体"/>
          <w:iCs/>
          <w:sz w:val="24"/>
        </w:rPr>
        <w:t>1.</w:t>
      </w:r>
      <w:bookmarkStart w:id="0" w:name="_Hlk196550526"/>
      <w:r>
        <w:rPr>
          <w:rFonts w:hint="eastAsia" w:ascii="宋体" w:hAnsi="宋体" w:cs="宋体"/>
          <w:iCs/>
          <w:sz w:val="24"/>
        </w:rPr>
        <w:t>践行社会主义核心价值观</w:t>
      </w:r>
      <w:bookmarkEnd w:id="0"/>
      <w:r>
        <w:rPr>
          <w:rFonts w:hint="eastAsia" w:ascii="宋体" w:hAnsi="宋体" w:cs="宋体"/>
          <w:iCs/>
          <w:sz w:val="24"/>
        </w:rPr>
        <w:t>，具有坚定的理想信念，高尚的道德情操，优良的学术作风，高度的社会责任感。</w:t>
      </w:r>
    </w:p>
    <w:p w14:paraId="5A76B125">
      <w:pPr>
        <w:snapToGrid w:val="0"/>
        <w:spacing w:line="360" w:lineRule="auto"/>
        <w:ind w:firstLine="559"/>
        <w:rPr>
          <w:rFonts w:hint="eastAsia" w:ascii="宋体" w:hAnsi="宋体" w:cs="宋体"/>
          <w:iCs/>
          <w:sz w:val="24"/>
        </w:rPr>
      </w:pPr>
      <w:r>
        <w:rPr>
          <w:rFonts w:hint="eastAsia" w:ascii="宋体" w:hAnsi="宋体" w:cs="宋体"/>
          <w:iCs/>
          <w:sz w:val="24"/>
        </w:rPr>
        <w:t>2.系统掌握传播学领域基础理论体系与学科专门知识，全面掌握科学研究方法及现代实验技能，精准把握学科前沿动态与核心研究领域，聚焦传播内容创制、计算传播、媒介化社会应用、跨文化传播等专业方向，通过夯实传播学学科理论根基、建构专业知识体系，重点培养能够独立承担科学研究工作、创造性解决专业技术难题的复合型高层次人才。</w:t>
      </w:r>
    </w:p>
    <w:p w14:paraId="3E1946DD">
      <w:pPr>
        <w:snapToGrid w:val="0"/>
        <w:spacing w:line="360" w:lineRule="auto"/>
        <w:ind w:firstLine="559"/>
        <w:rPr>
          <w:rFonts w:hint="eastAsia" w:ascii="宋体" w:hAnsi="宋体" w:cs="宋体"/>
          <w:iCs/>
          <w:sz w:val="24"/>
        </w:rPr>
      </w:pPr>
      <w:r>
        <w:rPr>
          <w:rFonts w:hint="eastAsia" w:ascii="宋体" w:hAnsi="宋体" w:cs="宋体"/>
          <w:iCs/>
          <w:sz w:val="24"/>
        </w:rPr>
        <w:t>3.至少掌握一门外国语，能熟练阅读本专业的外文资料，具有用外文撰写学术论文和进行国际学术交流的能力。</w:t>
      </w:r>
    </w:p>
    <w:p w14:paraId="38CB01DA">
      <w:pPr>
        <w:snapToGrid w:val="0"/>
        <w:spacing w:line="360" w:lineRule="auto"/>
        <w:ind w:firstLine="559"/>
        <w:rPr>
          <w:rFonts w:hint="eastAsia" w:ascii="宋体" w:hAnsi="宋体" w:cs="宋体"/>
          <w:iCs/>
          <w:sz w:val="24"/>
        </w:rPr>
      </w:pPr>
      <w:r>
        <w:rPr>
          <w:rFonts w:hint="eastAsia" w:ascii="宋体" w:hAnsi="宋体" w:cs="宋体"/>
          <w:iCs/>
          <w:sz w:val="24"/>
        </w:rPr>
        <w:t>4.具有良好的团队意识和团队合作精神。</w:t>
      </w:r>
    </w:p>
    <w:p w14:paraId="361AC051">
      <w:pPr>
        <w:snapToGrid w:val="0"/>
        <w:spacing w:line="360" w:lineRule="auto"/>
        <w:ind w:firstLine="559"/>
        <w:rPr>
          <w:rFonts w:hint="eastAsia" w:ascii="宋体" w:hAnsi="宋体" w:cs="宋体"/>
          <w:iCs/>
          <w:sz w:val="24"/>
        </w:rPr>
      </w:pPr>
      <w:r>
        <w:rPr>
          <w:rFonts w:hint="eastAsia" w:ascii="宋体" w:hAnsi="宋体" w:cs="宋体"/>
          <w:iCs/>
          <w:sz w:val="24"/>
        </w:rPr>
        <w:t>5.具有健康的身体和良好的心理素质。</w:t>
      </w:r>
    </w:p>
    <w:p w14:paraId="7FC4B83E">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ascii="Times New Roman" w:hAnsi="Times New Roman" w:eastAsia="黑体" w:cs="Times New Roman"/>
          <w:bCs/>
          <w:sz w:val="28"/>
          <w:szCs w:val="28"/>
        </w:rPr>
      </w:pPr>
      <w:r>
        <w:rPr>
          <w:rFonts w:hint="eastAsia" w:ascii="黑体" w:hAnsi="黑体" w:eastAsia="黑体" w:cs="黑体"/>
          <w:b w:val="0"/>
          <w:bCs/>
          <w:sz w:val="28"/>
          <w:szCs w:val="28"/>
        </w:rPr>
        <w:t>六、培养方式</w:t>
      </w:r>
    </w:p>
    <w:p w14:paraId="06C26F99">
      <w:pPr>
        <w:pStyle w:val="2"/>
        <w:snapToGrid w:val="0"/>
        <w:spacing w:line="360" w:lineRule="auto"/>
        <w:ind w:firstLine="480"/>
        <w:rPr>
          <w:rFonts w:hint="eastAsia" w:ascii="宋体" w:hAnsi="宋体" w:eastAsia="宋体"/>
          <w:sz w:val="24"/>
          <w:szCs w:val="24"/>
        </w:rPr>
      </w:pPr>
      <w:r>
        <w:rPr>
          <w:rFonts w:hint="eastAsia" w:ascii="宋体" w:hAnsi="宋体" w:eastAsia="宋体"/>
          <w:sz w:val="24"/>
          <w:szCs w:val="24"/>
        </w:rPr>
        <w:t>传播学专业学术学位硕士研究生培养立足学科前沿动态与实践创新需求，构建“学术研究-团队建设-人才定向培养”三位一体的协同机制。在培养过程中强化理论与实践双轮驱动，依托产学研联合培养机制整合校内外优质资源，推进学术研究特色化与人才培养前沿性的有机统一，最终形成覆盖媒介融合传播、区域发展战略传播、智能传播技术应用等特色研究方向的高端人才培养路径。</w:t>
      </w:r>
    </w:p>
    <w:p w14:paraId="56E1850B">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ascii="宋体" w:hAnsi="宋体" w:cs="宋体"/>
          <w:b/>
          <w:sz w:val="28"/>
          <w:szCs w:val="28"/>
        </w:rPr>
      </w:pPr>
      <w:r>
        <w:rPr>
          <w:rFonts w:hint="eastAsia" w:ascii="黑体" w:hAnsi="黑体" w:eastAsia="黑体" w:cs="黑体"/>
          <w:b w:val="0"/>
          <w:bCs/>
          <w:sz w:val="28"/>
          <w:szCs w:val="28"/>
        </w:rPr>
        <w:t>七、中期筛选</w:t>
      </w:r>
    </w:p>
    <w:p w14:paraId="6F8B1211">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Times New Roman" w:hAnsi="Times New Roman" w:eastAsia="宋体" w:cs="Times New Roman"/>
          <w:iCs/>
          <w:color w:val="000000" w:themeColor="text1"/>
          <w:sz w:val="24"/>
          <w14:textFill>
            <w14:solidFill>
              <w14:schemeClr w14:val="tx1"/>
            </w14:solidFill>
          </w14:textFill>
        </w:rPr>
      </w:pPr>
      <w:bookmarkStart w:id="1" w:name="_Toc59002625"/>
      <w:r>
        <w:rPr>
          <w:rFonts w:ascii="Times New Roman" w:hAnsi="Times New Roman" w:eastAsia="宋体" w:cs="Times New Roman"/>
          <w:iCs/>
          <w:color w:val="000000" w:themeColor="text1"/>
          <w:sz w:val="24"/>
          <w14:textFill>
            <w14:solidFill>
              <w14:schemeClr w14:val="tx1"/>
            </w14:solidFill>
          </w14:textFill>
        </w:rPr>
        <w:t>在完成培养方案规定的课程学习、考核成绩合格、获得规定的学分后，</w:t>
      </w:r>
      <w:bookmarkEnd w:id="1"/>
      <w:r>
        <w:rPr>
          <w:rFonts w:ascii="Times New Roman" w:hAnsi="Times New Roman" w:eastAsia="宋体" w:cs="Times New Roman"/>
          <w:iCs/>
          <w:color w:val="000000" w:themeColor="text1"/>
          <w:sz w:val="24"/>
          <w14:textFill>
            <w14:solidFill>
              <w14:schemeClr w14:val="tx1"/>
            </w14:solidFill>
          </w14:textFill>
        </w:rPr>
        <w:t>按照《河北大学研究</w:t>
      </w:r>
      <w:r>
        <w:rPr>
          <w:rFonts w:hint="eastAsia" w:ascii="宋体" w:hAnsi="宋体" w:eastAsia="宋体" w:cs="宋体"/>
          <w:iCs/>
          <w:color w:val="000000" w:themeColor="text1"/>
          <w:sz w:val="24"/>
          <w14:textFill>
            <w14:solidFill>
              <w14:schemeClr w14:val="tx1"/>
            </w14:solidFill>
          </w14:textFill>
        </w:rPr>
        <w:t>生中期筛选管理办法》（校政字〔2021〕15号）的相关</w:t>
      </w:r>
      <w:r>
        <w:rPr>
          <w:rFonts w:ascii="Times New Roman" w:hAnsi="Times New Roman" w:eastAsia="宋体" w:cs="Times New Roman"/>
          <w:iCs/>
          <w:color w:val="000000" w:themeColor="text1"/>
          <w:sz w:val="24"/>
          <w14:textFill>
            <w14:solidFill>
              <w14:schemeClr w14:val="tx1"/>
            </w14:solidFill>
          </w14:textFill>
        </w:rPr>
        <w:t>规定，组织开展中期筛选工作。</w:t>
      </w:r>
    </w:p>
    <w:p w14:paraId="791EBCC8">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ascii="宋体" w:hAnsi="宋体" w:cs="宋体"/>
          <w:b/>
          <w:sz w:val="28"/>
          <w:szCs w:val="28"/>
        </w:rPr>
      </w:pPr>
      <w:r>
        <w:rPr>
          <w:rFonts w:hint="eastAsia" w:ascii="黑体" w:hAnsi="黑体" w:eastAsia="黑体" w:cs="黑体"/>
          <w:b w:val="0"/>
          <w:bCs/>
          <w:sz w:val="28"/>
          <w:szCs w:val="28"/>
        </w:rPr>
        <w:t>八、学位（毕业）论文</w:t>
      </w:r>
    </w:p>
    <w:p w14:paraId="5145571E">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1.总体要求：按照《河北大学关于开展2025版研究生培养方案修订工作的指导意见》（校政字〔2025〕</w:t>
      </w:r>
      <w:r>
        <w:rPr>
          <w:rFonts w:hint="eastAsia" w:ascii="宋体" w:hAnsi="宋体" w:cs="宋体"/>
          <w:iCs/>
          <w:sz w:val="24"/>
          <w:lang w:val="en-US" w:eastAsia="zh-CN"/>
        </w:rPr>
        <w:t>9</w:t>
      </w:r>
      <w:r>
        <w:rPr>
          <w:rFonts w:hint="eastAsia" w:ascii="宋体" w:hAnsi="宋体" w:cs="宋体"/>
          <w:iCs/>
          <w:sz w:val="24"/>
        </w:rPr>
        <w:t>号）规定，硕士研究生论文开题与答辩时间间隔原则上不少于12个月。学位（毕业）论文应当表明作者具有独立从事学术研究工作的能力，鼓励硕士研究生参与科学研究，取得创新性成果</w:t>
      </w:r>
    </w:p>
    <w:p w14:paraId="6C2BF622">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原则上在入学后第3学期（最迟</w:t>
      </w:r>
      <w:r>
        <w:rPr>
          <w:rFonts w:hint="eastAsia" w:ascii="宋体" w:hAnsi="宋体" w:cs="宋体"/>
          <w:iCs/>
          <w:sz w:val="24"/>
          <w:lang w:val="en-US" w:eastAsia="zh-CN"/>
        </w:rPr>
        <w:t>在</w:t>
      </w:r>
      <w:r>
        <w:rPr>
          <w:rFonts w:hint="eastAsia" w:ascii="宋体" w:hAnsi="宋体" w:cs="宋体"/>
          <w:iCs/>
          <w:sz w:val="24"/>
        </w:rPr>
        <w:t>第4学期）完成开题。开题由3-5名具有高级专业技术职务人员参加，以学术报告的方式进行。</w:t>
      </w:r>
    </w:p>
    <w:p w14:paraId="6D8E6731">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0B19B1C6">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4.学位申请：达到学位授予条件的申请人，经导师同意后，应于答辩前三个月，向所属学位评定分委员会提出学位申请，提交学位申请材料。</w:t>
      </w:r>
    </w:p>
    <w:p w14:paraId="73C5ACDA">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iCs/>
          <w:sz w:val="24"/>
        </w:rPr>
      </w:pPr>
      <w:r>
        <w:rPr>
          <w:rFonts w:hint="eastAsia" w:ascii="宋体" w:hAnsi="宋体" w:cs="宋体"/>
          <w:iCs/>
          <w:sz w:val="24"/>
        </w:rPr>
        <w:t>5.预答辩：学位申请人须进行学位论文预答辩。预答辩通过者，方可进入学位论文评阅、学位论文答辩等环节。学位（毕业）论文预答辩在正式答辩前3个月进行。</w:t>
      </w:r>
    </w:p>
    <w:p w14:paraId="018522AE">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hint="eastAsia" w:ascii="宋体" w:hAnsi="宋体" w:eastAsia="宋体" w:cs="宋体"/>
          <w:iCs/>
          <w:sz w:val="24"/>
        </w:rPr>
      </w:pPr>
      <w:r>
        <w:rPr>
          <w:rFonts w:hint="eastAsia" w:ascii="宋体" w:hAnsi="宋体" w:cs="宋体"/>
          <w:iCs/>
          <w:sz w:val="24"/>
        </w:rPr>
        <w:t>6.论文评阅：学位（毕业）论文在获得导师组认可，经培养单位形式审查合格，并通过预答辩，方可提出进入评阅程序的申请。论文评阅在正式答辩前40天由研究生提出，由学</w:t>
      </w:r>
      <w:r>
        <w:rPr>
          <w:rFonts w:hint="eastAsia" w:ascii="宋体" w:hAnsi="宋体" w:eastAsia="宋体" w:cs="宋体"/>
          <w:iCs/>
          <w:sz w:val="24"/>
        </w:rPr>
        <w:t>院依据相关规定进行匿名评审。评阅结果及异议处理按照《河北大学研究生学位论文或者实践成果评审管理办法》（校政字〔2025〕8号）执行。</w:t>
      </w:r>
    </w:p>
    <w:p w14:paraId="1DEAEEE9">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hint="eastAsia" w:ascii="宋体" w:hAnsi="宋体" w:eastAsia="宋体" w:cs="宋体"/>
          <w:iCs/>
          <w:sz w:val="24"/>
        </w:rPr>
      </w:pPr>
      <w:r>
        <w:rPr>
          <w:rFonts w:hint="eastAsia" w:ascii="宋体" w:hAnsi="宋体" w:eastAsia="宋体" w:cs="宋体"/>
          <w:iCs/>
          <w:sz w:val="24"/>
        </w:rPr>
        <w:t>7.答辩：学位（毕业）论文答辩按照《河北大学博士、硕士学位授予工作实施细则》（校政字〔2025〕7号）执行。</w:t>
      </w:r>
    </w:p>
    <w:p w14:paraId="53C521ED">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九、毕业条件</w:t>
      </w:r>
    </w:p>
    <w:p w14:paraId="6B435453">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rPr>
      </w:pPr>
      <w:r>
        <w:rPr>
          <w:rFonts w:hint="eastAsia" w:ascii="宋体" w:hAnsi="宋体" w:cs="宋体"/>
          <w:bCs/>
          <w:sz w:val="24"/>
        </w:rPr>
        <w:t>1.课程学习。研究生在规定修业年限内完成培养方案规定的课程学习，考核成绩合格，获得规定的学分。</w:t>
      </w:r>
    </w:p>
    <w:p w14:paraId="1DB343BC">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sz w:val="24"/>
        </w:rPr>
      </w:pPr>
      <w:r>
        <w:rPr>
          <w:rFonts w:hint="eastAsia" w:ascii="宋体" w:hAnsi="宋体" w:cs="宋体"/>
          <w:bCs/>
          <w:sz w:val="24"/>
        </w:rPr>
        <w:t>2.学术活动。研究生</w:t>
      </w:r>
      <w:r>
        <w:rPr>
          <w:rFonts w:hint="eastAsia" w:ascii="宋体" w:hAnsi="宋体" w:cs="宋体"/>
          <w:color w:val="000000"/>
          <w:sz w:val="24"/>
        </w:rPr>
        <w:t>在读期间参加不少于</w:t>
      </w:r>
      <w:r>
        <w:rPr>
          <w:rFonts w:hint="eastAsia" w:ascii="宋体" w:hAnsi="宋体" w:cs="宋体"/>
          <w:sz w:val="24"/>
        </w:rPr>
        <w:t>10次学术活动，并撰写学术报告小结；以主讲人或宣讲人身份，参加在校内外举行的学术报告或学术讲座不少于1次。</w:t>
      </w:r>
    </w:p>
    <w:p w14:paraId="274C838D">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rPr>
      </w:pPr>
      <w:r>
        <w:rPr>
          <w:rFonts w:hint="eastAsia" w:ascii="宋体" w:hAnsi="宋体" w:cs="宋体"/>
          <w:sz w:val="24"/>
        </w:rPr>
        <w:t>3.提前毕业。符合《河北大学关于硕士研究生申请提前毕业的规定》（校研</w:t>
      </w:r>
      <w:r>
        <w:rPr>
          <w:rFonts w:hint="eastAsia" w:ascii="宋体" w:hAnsi="宋体" w:cs="宋体"/>
          <w:color w:val="000000"/>
          <w:sz w:val="24"/>
        </w:rPr>
        <w:t>字〔2015〕5号）相关要求的，</w:t>
      </w:r>
      <w:r>
        <w:rPr>
          <w:rFonts w:hint="eastAsia" w:ascii="宋体" w:hAnsi="宋体" w:cs="宋体"/>
          <w:bCs/>
          <w:sz w:val="24"/>
        </w:rPr>
        <w:t>可申请</w:t>
      </w:r>
      <w:r>
        <w:rPr>
          <w:rFonts w:hint="eastAsia" w:ascii="宋体" w:hAnsi="宋体" w:cs="宋体"/>
          <w:color w:val="000000"/>
          <w:sz w:val="24"/>
        </w:rPr>
        <w:t>提前毕业。</w:t>
      </w:r>
    </w:p>
    <w:p w14:paraId="3654C2FD">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rPr>
      </w:pPr>
      <w:r>
        <w:rPr>
          <w:rFonts w:hint="eastAsia" w:ascii="宋体" w:hAnsi="宋体" w:cs="宋体"/>
          <w:bCs/>
          <w:sz w:val="24"/>
        </w:rPr>
        <w:t>4.论文答辩。学位（毕业）论文经专家评审合格、通过学位（毕业）答辩，符合毕业资格审查后，准予毕业。</w:t>
      </w:r>
    </w:p>
    <w:p w14:paraId="2F50D710">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ascii="Times New Roman" w:hAnsi="Times New Roman" w:eastAsia="黑体" w:cs="Times New Roman"/>
          <w:bCs/>
          <w:sz w:val="28"/>
          <w:szCs w:val="28"/>
        </w:rPr>
      </w:pPr>
      <w:r>
        <w:rPr>
          <w:rFonts w:hint="eastAsia" w:ascii="Times New Roman" w:hAnsi="Times New Roman" w:eastAsia="黑体" w:cs="Times New Roman"/>
          <w:bCs/>
          <w:sz w:val="28"/>
          <w:szCs w:val="28"/>
        </w:rPr>
        <w:t>十</w:t>
      </w:r>
      <w:r>
        <w:rPr>
          <w:rFonts w:ascii="Times New Roman" w:hAnsi="Times New Roman" w:eastAsia="黑体" w:cs="Times New Roman"/>
          <w:bCs/>
          <w:sz w:val="28"/>
          <w:szCs w:val="28"/>
        </w:rPr>
        <w:t>、创新性成果</w:t>
      </w:r>
    </w:p>
    <w:p w14:paraId="49319A84">
      <w:pPr>
        <w:keepNext w:val="0"/>
        <w:keepLines w:val="0"/>
        <w:pageBreakBefore w:val="0"/>
        <w:kinsoku/>
        <w:wordWrap/>
        <w:overflowPunct/>
        <w:topLinePunct w:val="0"/>
        <w:autoSpaceDE/>
        <w:autoSpaceDN/>
        <w:bidi w:val="0"/>
        <w:adjustRightInd/>
        <w:snapToGrid w:val="0"/>
        <w:spacing w:line="360" w:lineRule="auto"/>
        <w:ind w:left="0" w:firstLine="480" w:firstLineChars="200"/>
        <w:textAlignment w:val="auto"/>
        <w:rPr>
          <w:rFonts w:hint="eastAsia" w:eastAsiaTheme="minorEastAsia"/>
          <w:color w:val="000000"/>
          <w:sz w:val="24"/>
          <w:lang w:val="en-US" w:eastAsia="zh-CN"/>
        </w:rPr>
      </w:pPr>
      <w:r>
        <w:rPr>
          <w:rFonts w:hint="eastAsia" w:eastAsiaTheme="minorEastAsia"/>
          <w:color w:val="000000"/>
          <w:sz w:val="24"/>
        </w:rPr>
        <w:t>鼓励研究生参加导师相关课题研究，</w:t>
      </w:r>
      <w:r>
        <w:rPr>
          <w:rFonts w:hint="eastAsia" w:eastAsiaTheme="minorEastAsia"/>
          <w:color w:val="000000"/>
          <w:sz w:val="24"/>
          <w:lang w:val="en-US" w:eastAsia="zh-CN"/>
        </w:rPr>
        <w:t>具体要求与标准见《新闻传播学院关于研究生申请学位取得创新性成果的规定》。</w:t>
      </w:r>
    </w:p>
    <w:p w14:paraId="52C8FE03">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十一、学位授予</w:t>
      </w:r>
    </w:p>
    <w:p w14:paraId="6541F417">
      <w:pPr>
        <w:keepNext w:val="0"/>
        <w:keepLines w:val="0"/>
        <w:pageBreakBefore w:val="0"/>
        <w:widowControl w:val="0"/>
        <w:kinsoku/>
        <w:wordWrap/>
        <w:overflowPunct/>
        <w:topLinePunct w:val="0"/>
        <w:autoSpaceDE/>
        <w:autoSpaceDN/>
        <w:bidi w:val="0"/>
        <w:adjustRightInd/>
        <w:snapToGrid w:val="0"/>
        <w:spacing w:line="360" w:lineRule="auto"/>
        <w:ind w:left="0" w:firstLine="480" w:firstLineChars="200"/>
        <w:textAlignment w:val="auto"/>
        <w:rPr>
          <w:rFonts w:ascii="宋体" w:hAnsi="宋体" w:cs="宋体"/>
          <w:bCs/>
          <w:sz w:val="24"/>
        </w:rPr>
      </w:pPr>
      <w:r>
        <w:rPr>
          <w:rFonts w:ascii="Times New Roman" w:hAnsi="Times New Roman" w:eastAsia="宋体" w:cs="Times New Roman"/>
          <w:iCs/>
          <w:color w:val="000000" w:themeColor="text1"/>
          <w:sz w:val="24"/>
          <w14:textFill>
            <w14:solidFill>
              <w14:schemeClr w14:val="tx1"/>
            </w14:solidFill>
          </w14:textFill>
          <w14:ligatures w14:val="none"/>
        </w:rPr>
        <w:t>研究生通过毕业资格审查，满足</w:t>
      </w:r>
      <w:r>
        <w:rPr>
          <w:rFonts w:hint="eastAsia" w:ascii="Times New Roman" w:hAnsi="Times New Roman" w:eastAsia="宋体" w:cs="Times New Roman"/>
          <w:iCs/>
          <w:color w:val="000000" w:themeColor="text1"/>
          <w:sz w:val="24"/>
          <w14:textFill>
            <w14:solidFill>
              <w14:schemeClr w14:val="tx1"/>
            </w14:solidFill>
          </w14:textFill>
          <w14:ligatures w14:val="none"/>
        </w:rPr>
        <w:t>本学院</w:t>
      </w:r>
      <w:r>
        <w:rPr>
          <w:rFonts w:ascii="Times New Roman" w:hAnsi="Times New Roman" w:eastAsia="宋体" w:cs="Times New Roman"/>
          <w:iCs/>
          <w:color w:val="000000" w:themeColor="text1"/>
          <w:sz w:val="24"/>
          <w14:textFill>
            <w14:solidFill>
              <w14:schemeClr w14:val="tx1"/>
            </w14:solidFill>
          </w14:textFill>
          <w14:ligatures w14:val="none"/>
        </w:rPr>
        <w:t>制定的创新性成果要求，符合《河北大学博士、硕士学位授予工作实施细则》（校政字</w:t>
      </w:r>
      <w:r>
        <w:rPr>
          <w:rFonts w:hint="eastAsia" w:ascii="宋体" w:hAnsi="宋体" w:eastAsia="宋体" w:cs="宋体"/>
          <w:iCs/>
          <w:color w:val="000000" w:themeColor="text1"/>
          <w:sz w:val="24"/>
          <w14:textFill>
            <w14:solidFill>
              <w14:schemeClr w14:val="tx1"/>
            </w14:solidFill>
          </w14:textFill>
          <w14:ligatures w14:val="none"/>
        </w:rPr>
        <w:t>〔2025〕7号</w:t>
      </w:r>
      <w:r>
        <w:rPr>
          <w:rFonts w:ascii="Times New Roman" w:hAnsi="Times New Roman" w:eastAsia="宋体" w:cs="Times New Roman"/>
          <w:iCs/>
          <w:color w:val="000000" w:themeColor="text1"/>
          <w:sz w:val="24"/>
          <w14:textFill>
            <w14:solidFill>
              <w14:schemeClr w14:val="tx1"/>
            </w14:solidFill>
          </w14:textFill>
          <w14:ligatures w14:val="none"/>
        </w:rPr>
        <w:t>）的有关规定，达到学校学位授予标准，经学校学位评定委员会审议，授予硕士学位。</w:t>
      </w:r>
    </w:p>
    <w:p w14:paraId="013062AB">
      <w:pPr>
        <w:keepNext w:val="0"/>
        <w:keepLines w:val="0"/>
        <w:pageBreakBefore w:val="0"/>
        <w:widowControl w:val="0"/>
        <w:kinsoku/>
        <w:wordWrap/>
        <w:overflowPunct/>
        <w:topLinePunct w:val="0"/>
        <w:autoSpaceDE/>
        <w:autoSpaceDN/>
        <w:bidi w:val="0"/>
        <w:adjustRightInd/>
        <w:snapToGrid w:val="0"/>
        <w:spacing w:line="360" w:lineRule="auto"/>
        <w:ind w:left="0" w:firstLine="560" w:firstLineChars="200"/>
        <w:textAlignment w:val="auto"/>
        <w:rPr>
          <w:rFonts w:hint="eastAsia" w:ascii="黑体" w:hAnsi="黑体" w:eastAsia="黑体" w:cs="黑体"/>
          <w:b w:val="0"/>
          <w:bCs/>
          <w:sz w:val="28"/>
          <w:szCs w:val="28"/>
        </w:rPr>
      </w:pPr>
      <w:r>
        <w:rPr>
          <w:rFonts w:hint="eastAsia" w:ascii="黑体" w:hAnsi="黑体" w:eastAsia="黑体" w:cs="黑体"/>
          <w:b w:val="0"/>
          <w:bCs/>
          <w:sz w:val="28"/>
          <w:szCs w:val="28"/>
        </w:rPr>
        <w:t>十二、学分及课程设置</w:t>
      </w:r>
    </w:p>
    <w:p w14:paraId="0209A58B">
      <w:pPr>
        <w:keepNext w:val="0"/>
        <w:keepLines w:val="0"/>
        <w:pageBreakBefore w:val="0"/>
        <w:widowControl w:val="0"/>
        <w:kinsoku/>
        <w:wordWrap/>
        <w:overflowPunct/>
        <w:topLinePunct w:val="0"/>
        <w:autoSpaceDE/>
        <w:autoSpaceDN/>
        <w:bidi w:val="0"/>
        <w:adjustRightInd/>
        <w:snapToGrid w:val="0"/>
        <w:spacing w:after="0" w:line="360" w:lineRule="auto"/>
        <w:ind w:left="0" w:firstLine="480" w:firstLineChars="200"/>
        <w:jc w:val="both"/>
        <w:textAlignment w:val="auto"/>
        <w:rPr>
          <w:rFonts w:hint="eastAsia" w:ascii="宋体" w:hAnsi="宋体" w:eastAsia="宋体" w:cs="宋体"/>
          <w:iCs/>
          <w:color w:val="000000" w:themeColor="text1"/>
          <w:sz w:val="24"/>
          <w14:textFill>
            <w14:solidFill>
              <w14:schemeClr w14:val="tx1"/>
            </w14:solidFill>
          </w14:textFill>
          <w14:ligatures w14:val="none"/>
        </w:rPr>
      </w:pPr>
      <w:r>
        <w:rPr>
          <w:rFonts w:hint="eastAsia" w:ascii="宋体" w:hAnsi="宋体" w:eastAsia="宋体" w:cs="宋体"/>
          <w:iCs/>
          <w:color w:val="000000" w:themeColor="text1"/>
          <w:sz w:val="24"/>
          <w14:textFill>
            <w14:solidFill>
              <w14:schemeClr w14:val="tx1"/>
            </w14:solidFill>
          </w14:textFill>
          <w14:ligatures w14:val="none"/>
        </w:rPr>
        <w:t>本专业最低毕业学分为</w:t>
      </w:r>
      <w:r>
        <w:rPr>
          <w:rFonts w:hint="eastAsia" w:ascii="宋体" w:hAnsi="宋体" w:eastAsia="宋体" w:cs="宋体"/>
          <w:iCs/>
          <w:color w:val="000000" w:themeColor="text1"/>
          <w:sz w:val="24"/>
          <w:lang w:val="en-US" w:eastAsia="zh-CN"/>
          <w14:textFill>
            <w14:solidFill>
              <w14:schemeClr w14:val="tx1"/>
            </w14:solidFill>
          </w14:textFill>
          <w14:ligatures w14:val="none"/>
        </w:rPr>
        <w:t>30学</w:t>
      </w:r>
      <w:r>
        <w:rPr>
          <w:rFonts w:hint="eastAsia" w:ascii="宋体" w:hAnsi="宋体" w:eastAsia="宋体" w:cs="宋体"/>
          <w:iCs/>
          <w:color w:val="000000" w:themeColor="text1"/>
          <w:sz w:val="24"/>
          <w14:textFill>
            <w14:solidFill>
              <w14:schemeClr w14:val="tx1"/>
            </w14:solidFill>
          </w14:textFill>
          <w14:ligatures w14:val="none"/>
        </w:rPr>
        <w:t>分，其中学位课</w:t>
      </w:r>
      <w:r>
        <w:rPr>
          <w:rFonts w:hint="eastAsia" w:ascii="宋体" w:hAnsi="宋体" w:eastAsia="宋体" w:cs="宋体"/>
          <w:iCs/>
          <w:color w:val="000000" w:themeColor="text1"/>
          <w:sz w:val="24"/>
          <w:lang w:val="en-US" w:eastAsia="zh-CN"/>
          <w14:textFill>
            <w14:solidFill>
              <w14:schemeClr w14:val="tx1"/>
            </w14:solidFill>
          </w14:textFill>
          <w14:ligatures w14:val="none"/>
        </w:rPr>
        <w:t>17</w:t>
      </w:r>
      <w:r>
        <w:rPr>
          <w:rFonts w:hint="eastAsia" w:ascii="宋体" w:hAnsi="宋体" w:eastAsia="宋体" w:cs="宋体"/>
          <w:iCs/>
          <w:color w:val="000000" w:themeColor="text1"/>
          <w:sz w:val="24"/>
          <w14:textFill>
            <w14:solidFill>
              <w14:schemeClr w14:val="tx1"/>
            </w14:solidFill>
          </w14:textFill>
          <w14:ligatures w14:val="none"/>
        </w:rPr>
        <w:t>学分，非学位课</w:t>
      </w:r>
      <w:r>
        <w:rPr>
          <w:rFonts w:hint="eastAsia" w:ascii="宋体" w:hAnsi="宋体" w:eastAsia="宋体" w:cs="宋体"/>
          <w:iCs/>
          <w:color w:val="000000" w:themeColor="text1"/>
          <w:sz w:val="24"/>
          <w:lang w:val="en-US" w:eastAsia="zh-CN"/>
          <w14:textFill>
            <w14:solidFill>
              <w14:schemeClr w14:val="tx1"/>
            </w14:solidFill>
          </w14:textFill>
          <w14:ligatures w14:val="none"/>
        </w:rPr>
        <w:t>12</w:t>
      </w:r>
      <w:r>
        <w:rPr>
          <w:rFonts w:hint="eastAsia" w:ascii="宋体" w:hAnsi="宋体" w:eastAsia="宋体" w:cs="宋体"/>
          <w:iCs/>
          <w:color w:val="000000" w:themeColor="text1"/>
          <w:sz w:val="24"/>
          <w14:textFill>
            <w14:solidFill>
              <w14:schemeClr w14:val="tx1"/>
            </w14:solidFill>
          </w14:textFill>
          <w14:ligatures w14:val="none"/>
        </w:rPr>
        <w:t>学分，必修环节</w:t>
      </w:r>
      <w:r>
        <w:rPr>
          <w:rFonts w:hint="eastAsia" w:ascii="宋体" w:hAnsi="宋体" w:eastAsia="宋体" w:cs="宋体"/>
          <w:iCs/>
          <w:color w:val="000000" w:themeColor="text1"/>
          <w:sz w:val="24"/>
          <w:lang w:val="en-US" w:eastAsia="zh-CN"/>
          <w14:textFill>
            <w14:solidFill>
              <w14:schemeClr w14:val="tx1"/>
            </w14:solidFill>
          </w14:textFill>
          <w14:ligatures w14:val="none"/>
        </w:rPr>
        <w:t>1学</w:t>
      </w:r>
      <w:r>
        <w:rPr>
          <w:rFonts w:hint="eastAsia" w:ascii="宋体" w:hAnsi="宋体" w:eastAsia="宋体" w:cs="宋体"/>
          <w:iCs/>
          <w:color w:val="000000" w:themeColor="text1"/>
          <w:sz w:val="24"/>
          <w14:textFill>
            <w14:solidFill>
              <w14:schemeClr w14:val="tx1"/>
            </w14:solidFill>
          </w14:textFill>
          <w14:ligatures w14:val="none"/>
        </w:rPr>
        <w:t>分。</w:t>
      </w:r>
    </w:p>
    <w:p w14:paraId="142C46E1">
      <w:pPr>
        <w:keepNext w:val="0"/>
        <w:keepLines w:val="0"/>
        <w:pageBreakBefore w:val="0"/>
        <w:widowControl w:val="0"/>
        <w:kinsoku/>
        <w:wordWrap/>
        <w:overflowPunct/>
        <w:topLinePunct w:val="0"/>
        <w:autoSpaceDE/>
        <w:autoSpaceDN/>
        <w:bidi w:val="0"/>
        <w:adjustRightInd/>
        <w:snapToGrid w:val="0"/>
        <w:spacing w:line="360" w:lineRule="auto"/>
        <w:ind w:left="0"/>
        <w:textAlignment w:val="auto"/>
        <w:rPr>
          <w:rFonts w:hint="eastAsia" w:ascii="宋体" w:hAnsi="宋体" w:eastAsia="宋体" w:cs="宋体"/>
          <w:color w:val="FF0000"/>
          <w:sz w:val="24"/>
        </w:rPr>
      </w:pPr>
      <w:r>
        <w:rPr>
          <w:rFonts w:hint="eastAsia" w:ascii="宋体" w:hAnsi="宋体" w:eastAsia="宋体" w:cs="宋体"/>
          <w:color w:val="000000"/>
          <w:sz w:val="24"/>
        </w:rPr>
        <w:t xml:space="preserve">    研究生课程考试不设补考环节，考试成绩低于60分的需重修。</w:t>
      </w:r>
    </w:p>
    <w:p w14:paraId="127F1FD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iCs/>
          <w:sz w:val="24"/>
        </w:rPr>
      </w:pPr>
      <w:r>
        <w:rPr>
          <w:rFonts w:hint="eastAsia" w:ascii="宋体" w:hAnsi="宋体" w:eastAsia="宋体" w:cs="宋体"/>
          <w:iCs/>
          <w:sz w:val="24"/>
        </w:rPr>
        <w:t>课程考核方式包括考试和考查，可以采用口试、笔试或写读书报告、论文的形式。无论采取何种考核方式，均应能真实反映学生对所学课程掌握的程度及运用知识的能力，成绩均按百分制成绩评定。</w:t>
      </w:r>
    </w:p>
    <w:p w14:paraId="7480044A">
      <w:pPr>
        <w:spacing w:after="156" w:afterLines="50" w:line="360" w:lineRule="auto"/>
        <w:ind w:firstLine="482" w:firstLineChars="200"/>
        <w:jc w:val="center"/>
        <w:rPr>
          <w:rFonts w:hint="eastAsia" w:ascii="宋体" w:hAnsi="宋体" w:cs="宋体"/>
          <w:b/>
          <w:bCs/>
          <w:sz w:val="24"/>
        </w:rPr>
      </w:pPr>
    </w:p>
    <w:p w14:paraId="1F1252A4">
      <w:pPr>
        <w:spacing w:after="156" w:afterLines="50" w:line="360" w:lineRule="auto"/>
        <w:ind w:firstLine="482" w:firstLineChars="200"/>
        <w:jc w:val="center"/>
        <w:rPr>
          <w:rFonts w:hint="eastAsia" w:ascii="宋体" w:hAnsi="宋体" w:cs="宋体"/>
          <w:b/>
          <w:bCs/>
          <w:sz w:val="24"/>
        </w:rPr>
      </w:pPr>
    </w:p>
    <w:p w14:paraId="4B38A8BC">
      <w:pPr>
        <w:spacing w:after="156" w:afterLines="50" w:line="360" w:lineRule="auto"/>
        <w:ind w:firstLine="482" w:firstLineChars="200"/>
        <w:jc w:val="center"/>
        <w:rPr>
          <w:rFonts w:hint="eastAsia" w:ascii="宋体" w:hAnsi="宋体" w:cs="宋体"/>
          <w:b/>
          <w:bCs/>
          <w:sz w:val="24"/>
        </w:rPr>
      </w:pPr>
    </w:p>
    <w:p w14:paraId="15F1F691">
      <w:pPr>
        <w:spacing w:after="156" w:afterLines="50" w:line="360" w:lineRule="auto"/>
        <w:ind w:firstLine="482" w:firstLineChars="200"/>
        <w:jc w:val="center"/>
        <w:rPr>
          <w:rFonts w:hint="eastAsia" w:ascii="宋体" w:hAnsi="宋体" w:cs="宋体"/>
          <w:b/>
          <w:bCs/>
          <w:sz w:val="24"/>
        </w:rPr>
      </w:pPr>
    </w:p>
    <w:p w14:paraId="3E91B727">
      <w:pPr>
        <w:spacing w:after="156" w:afterLines="50" w:line="360" w:lineRule="auto"/>
        <w:ind w:firstLine="482" w:firstLineChars="200"/>
        <w:jc w:val="center"/>
        <w:rPr>
          <w:rFonts w:hint="eastAsia" w:ascii="宋体" w:hAnsi="宋体" w:cs="宋体"/>
          <w:b/>
          <w:bCs/>
          <w:sz w:val="24"/>
        </w:rPr>
      </w:pPr>
    </w:p>
    <w:p w14:paraId="22C3586D">
      <w:pPr>
        <w:spacing w:after="156" w:afterLines="50" w:line="360" w:lineRule="auto"/>
        <w:ind w:firstLine="482" w:firstLineChars="200"/>
        <w:jc w:val="center"/>
        <w:rPr>
          <w:rFonts w:hint="eastAsia" w:ascii="宋体" w:hAnsi="宋体" w:cs="宋体"/>
          <w:b/>
          <w:bCs/>
          <w:sz w:val="24"/>
        </w:rPr>
      </w:pPr>
    </w:p>
    <w:p w14:paraId="11B702AF">
      <w:pPr>
        <w:spacing w:after="156" w:afterLines="50" w:line="360" w:lineRule="auto"/>
        <w:ind w:firstLine="482" w:firstLineChars="200"/>
        <w:jc w:val="center"/>
        <w:rPr>
          <w:rFonts w:hint="eastAsia" w:ascii="宋体" w:hAnsi="宋体" w:cs="宋体"/>
          <w:b/>
          <w:bCs/>
          <w:sz w:val="24"/>
        </w:rPr>
      </w:pPr>
    </w:p>
    <w:p w14:paraId="48ADC641">
      <w:pPr>
        <w:spacing w:after="156" w:afterLines="50" w:line="360" w:lineRule="auto"/>
        <w:ind w:firstLine="482" w:firstLineChars="200"/>
        <w:jc w:val="center"/>
        <w:rPr>
          <w:rFonts w:hint="eastAsia" w:ascii="宋体" w:hAnsi="宋体" w:cs="宋体"/>
          <w:b/>
          <w:bCs/>
          <w:sz w:val="24"/>
        </w:rPr>
      </w:pPr>
    </w:p>
    <w:p w14:paraId="485102CA">
      <w:pPr>
        <w:spacing w:after="156" w:afterLines="50" w:line="360" w:lineRule="auto"/>
        <w:ind w:firstLine="482" w:firstLineChars="200"/>
        <w:jc w:val="center"/>
        <w:rPr>
          <w:rFonts w:hint="eastAsia" w:ascii="宋体" w:hAnsi="宋体" w:cs="宋体"/>
          <w:b/>
          <w:bCs/>
          <w:sz w:val="24"/>
        </w:rPr>
      </w:pPr>
    </w:p>
    <w:p w14:paraId="7E73AFC0">
      <w:pPr>
        <w:spacing w:after="156" w:afterLines="50" w:line="360" w:lineRule="auto"/>
        <w:ind w:firstLine="482" w:firstLineChars="200"/>
        <w:jc w:val="center"/>
        <w:rPr>
          <w:rFonts w:hint="eastAsia" w:ascii="宋体" w:hAnsi="宋体" w:cs="宋体"/>
          <w:b/>
          <w:bCs/>
          <w:sz w:val="24"/>
        </w:rPr>
      </w:pPr>
    </w:p>
    <w:p w14:paraId="34527CD6">
      <w:pPr>
        <w:spacing w:after="156" w:afterLines="50" w:line="360" w:lineRule="auto"/>
        <w:ind w:firstLine="482" w:firstLineChars="200"/>
        <w:jc w:val="center"/>
        <w:rPr>
          <w:rFonts w:ascii="宋体" w:hAnsi="宋体" w:cs="宋体"/>
          <w:b/>
          <w:bCs/>
          <w:sz w:val="24"/>
        </w:rPr>
      </w:pPr>
      <w:r>
        <w:rPr>
          <w:rFonts w:hint="eastAsia" w:ascii="宋体" w:hAnsi="宋体" w:cs="宋体"/>
          <w:b/>
          <w:bCs/>
          <w:sz w:val="24"/>
        </w:rPr>
        <w:t>传播学</w:t>
      </w:r>
      <w:r>
        <w:rPr>
          <w:rFonts w:hint="eastAsia" w:ascii="宋体" w:hAnsi="宋体" w:cs="宋体"/>
          <w:b/>
          <w:bCs/>
          <w:sz w:val="24"/>
          <w:lang w:val="en-US" w:eastAsia="zh-CN"/>
        </w:rPr>
        <w:t>专业</w:t>
      </w:r>
      <w:r>
        <w:rPr>
          <w:rFonts w:hint="eastAsia" w:ascii="宋体" w:hAnsi="宋体" w:cs="宋体"/>
          <w:b/>
          <w:bCs/>
          <w:sz w:val="24"/>
        </w:rPr>
        <w:t>学术硕士研究生</w:t>
      </w:r>
      <w:r>
        <w:rPr>
          <w:rFonts w:eastAsiaTheme="minorEastAsia"/>
          <w:b/>
          <w:bCs/>
          <w:sz w:val="24"/>
        </w:rPr>
        <w:t>课程及培养环节设置一览表</w:t>
      </w:r>
    </w:p>
    <w:tbl>
      <w:tblPr>
        <w:tblStyle w:val="8"/>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84FE0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7" w:hRule="atLeast"/>
          <w:jc w:val="center"/>
        </w:trPr>
        <w:tc>
          <w:tcPr>
            <w:tcW w:w="1797" w:type="dxa"/>
            <w:gridSpan w:val="2"/>
            <w:vAlign w:val="center"/>
          </w:tcPr>
          <w:p w14:paraId="3AD69EA6">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课程类别</w:t>
            </w:r>
          </w:p>
        </w:tc>
        <w:tc>
          <w:tcPr>
            <w:tcW w:w="3516" w:type="dxa"/>
            <w:vAlign w:val="center"/>
          </w:tcPr>
          <w:p w14:paraId="534AF6C4">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课程说明</w:t>
            </w:r>
          </w:p>
        </w:tc>
        <w:tc>
          <w:tcPr>
            <w:tcW w:w="1081" w:type="dxa"/>
            <w:vAlign w:val="center"/>
          </w:tcPr>
          <w:p w14:paraId="2FD269DF">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课程编号</w:t>
            </w:r>
          </w:p>
        </w:tc>
        <w:tc>
          <w:tcPr>
            <w:tcW w:w="709" w:type="dxa"/>
            <w:vAlign w:val="center"/>
          </w:tcPr>
          <w:p w14:paraId="7E0B5747">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学分</w:t>
            </w:r>
          </w:p>
        </w:tc>
        <w:tc>
          <w:tcPr>
            <w:tcW w:w="709" w:type="dxa"/>
            <w:vAlign w:val="center"/>
          </w:tcPr>
          <w:p w14:paraId="215AAB49">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学期</w:t>
            </w:r>
          </w:p>
        </w:tc>
        <w:tc>
          <w:tcPr>
            <w:tcW w:w="1045" w:type="dxa"/>
            <w:vAlign w:val="center"/>
          </w:tcPr>
          <w:p w14:paraId="2BFA0C75">
            <w:pPr>
              <w:spacing w:after="0" w:line="240" w:lineRule="auto"/>
              <w:jc w:val="center"/>
              <w:rPr>
                <w:rFonts w:ascii="Times New Roman" w:hAnsi="Times New Roman" w:eastAsia="宋体" w:cs="Times New Roman"/>
                <w:b/>
                <w:color w:val="000000"/>
                <w:sz w:val="21"/>
                <w:szCs w:val="21"/>
                <w14:ligatures w14:val="none"/>
              </w:rPr>
            </w:pPr>
            <w:r>
              <w:rPr>
                <w:rFonts w:ascii="Times New Roman" w:hAnsi="Times New Roman" w:eastAsia="宋体" w:cs="Times New Roman"/>
                <w:b/>
                <w:color w:val="000000"/>
                <w:sz w:val="21"/>
                <w:szCs w:val="21"/>
                <w14:ligatures w14:val="none"/>
              </w:rPr>
              <w:t>备注</w:t>
            </w:r>
          </w:p>
        </w:tc>
      </w:tr>
      <w:tr w14:paraId="31A226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5" w:hRule="atLeast"/>
          <w:jc w:val="center"/>
        </w:trPr>
        <w:tc>
          <w:tcPr>
            <w:tcW w:w="571" w:type="dxa"/>
            <w:vMerge w:val="restart"/>
            <w:vAlign w:val="center"/>
          </w:tcPr>
          <w:p w14:paraId="0ACDD6ED">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学位课</w:t>
            </w:r>
          </w:p>
        </w:tc>
        <w:tc>
          <w:tcPr>
            <w:tcW w:w="1226" w:type="dxa"/>
            <w:vMerge w:val="restart"/>
            <w:vAlign w:val="center"/>
          </w:tcPr>
          <w:p w14:paraId="7316A689">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公共必修课</w:t>
            </w:r>
          </w:p>
          <w:p w14:paraId="6B4D6AEA">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w:t>
            </w:r>
            <w:r>
              <w:rPr>
                <w:rFonts w:hint="eastAsia" w:ascii="Times New Roman" w:hAnsi="Times New Roman" w:eastAsia="宋体" w:cs="Times New Roman"/>
                <w:b/>
                <w:color w:val="000000"/>
                <w:sz w:val="18"/>
                <w:szCs w:val="18"/>
                <w14:ligatures w14:val="none"/>
              </w:rPr>
              <w:t>4</w:t>
            </w:r>
            <w:r>
              <w:rPr>
                <w:rFonts w:ascii="Times New Roman" w:hAnsi="Times New Roman" w:eastAsia="宋体" w:cs="Times New Roman"/>
                <w:b/>
                <w:color w:val="000000"/>
                <w:sz w:val="18"/>
                <w:szCs w:val="18"/>
                <w14:ligatures w14:val="none"/>
              </w:rPr>
              <w:t>学分）</w:t>
            </w:r>
          </w:p>
        </w:tc>
        <w:tc>
          <w:tcPr>
            <w:tcW w:w="3516" w:type="dxa"/>
            <w:vAlign w:val="center"/>
          </w:tcPr>
          <w:p w14:paraId="4C540430">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新时代中国特色社会主义理论与实践</w:t>
            </w:r>
          </w:p>
        </w:tc>
        <w:tc>
          <w:tcPr>
            <w:tcW w:w="1081" w:type="dxa"/>
            <w:vAlign w:val="center"/>
          </w:tcPr>
          <w:p w14:paraId="324B6C8D">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TS0000001</w:t>
            </w:r>
          </w:p>
        </w:tc>
        <w:tc>
          <w:tcPr>
            <w:tcW w:w="709" w:type="dxa"/>
            <w:vAlign w:val="center"/>
          </w:tcPr>
          <w:p w14:paraId="7A6216FA">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3E8A1618">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1</w:t>
            </w:r>
          </w:p>
        </w:tc>
        <w:tc>
          <w:tcPr>
            <w:tcW w:w="1045" w:type="dxa"/>
            <w:vAlign w:val="center"/>
          </w:tcPr>
          <w:p w14:paraId="618ED206">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7BF752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5" w:hRule="atLeast"/>
          <w:jc w:val="center"/>
        </w:trPr>
        <w:tc>
          <w:tcPr>
            <w:tcW w:w="571" w:type="dxa"/>
            <w:vMerge w:val="continue"/>
            <w:vAlign w:val="center"/>
          </w:tcPr>
          <w:p w14:paraId="3AAF79E7">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42D4A0BC">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0B5C9DF0">
            <w:pPr>
              <w:spacing w:after="0" w:line="240" w:lineRule="auto"/>
              <w:jc w:val="both"/>
              <w:rPr>
                <w:rFonts w:ascii="Times New Roman" w:hAnsi="Times New Roman" w:eastAsia="宋体" w:cs="Times New Roman"/>
                <w:sz w:val="18"/>
                <w:szCs w:val="18"/>
                <w14:ligatures w14:val="none"/>
              </w:rPr>
            </w:pPr>
            <w:r>
              <w:rPr>
                <w:rFonts w:ascii="Times New Roman" w:hAnsi="Times New Roman" w:eastAsia="宋体" w:cs="Times New Roman"/>
                <w:sz w:val="18"/>
                <w:szCs w:val="18"/>
                <w14:ligatures w14:val="none"/>
              </w:rPr>
              <w:t>通用学术英语</w:t>
            </w:r>
          </w:p>
        </w:tc>
        <w:tc>
          <w:tcPr>
            <w:tcW w:w="1081" w:type="dxa"/>
            <w:vAlign w:val="center"/>
          </w:tcPr>
          <w:p w14:paraId="707343F2">
            <w:pPr>
              <w:spacing w:after="0" w:line="240" w:lineRule="auto"/>
              <w:jc w:val="center"/>
              <w:rPr>
                <w:rFonts w:ascii="Times New Roman" w:hAnsi="Times New Roman" w:eastAsia="宋体" w:cs="Times New Roman"/>
                <w:sz w:val="18"/>
                <w:szCs w:val="18"/>
                <w14:ligatures w14:val="none"/>
              </w:rPr>
            </w:pPr>
            <w:r>
              <w:rPr>
                <w:rFonts w:ascii="Times New Roman" w:hAnsi="Times New Roman" w:eastAsia="宋体" w:cs="Times New Roman"/>
                <w:sz w:val="18"/>
                <w:szCs w:val="18"/>
                <w14:ligatures w14:val="none"/>
              </w:rPr>
              <w:t>TS0000002</w:t>
            </w:r>
          </w:p>
        </w:tc>
        <w:tc>
          <w:tcPr>
            <w:tcW w:w="709" w:type="dxa"/>
            <w:vAlign w:val="center"/>
          </w:tcPr>
          <w:p w14:paraId="02EE2953">
            <w:pPr>
              <w:spacing w:after="0" w:line="240" w:lineRule="auto"/>
              <w:jc w:val="center"/>
              <w:rPr>
                <w:rFonts w:ascii="Times New Roman" w:hAnsi="Times New Roman" w:eastAsia="宋体" w:cs="Times New Roman"/>
                <w:sz w:val="18"/>
                <w:szCs w:val="18"/>
                <w14:ligatures w14:val="none"/>
              </w:rPr>
            </w:pPr>
            <w:r>
              <w:rPr>
                <w:rFonts w:ascii="Times New Roman" w:hAnsi="Times New Roman" w:eastAsia="宋体" w:cs="Times New Roman"/>
                <w:sz w:val="18"/>
                <w:szCs w:val="18"/>
                <w14:ligatures w14:val="none"/>
              </w:rPr>
              <w:t>2</w:t>
            </w:r>
          </w:p>
        </w:tc>
        <w:tc>
          <w:tcPr>
            <w:tcW w:w="709" w:type="dxa"/>
            <w:vAlign w:val="center"/>
          </w:tcPr>
          <w:p w14:paraId="1073EB13">
            <w:pPr>
              <w:spacing w:after="0" w:line="240" w:lineRule="auto"/>
              <w:jc w:val="center"/>
              <w:rPr>
                <w:rFonts w:ascii="Times New Roman" w:hAnsi="Times New Roman" w:eastAsia="宋体" w:cs="Times New Roman"/>
                <w:sz w:val="18"/>
                <w:szCs w:val="18"/>
                <w14:ligatures w14:val="none"/>
              </w:rPr>
            </w:pPr>
            <w:r>
              <w:rPr>
                <w:rFonts w:ascii="Times New Roman" w:hAnsi="Times New Roman" w:eastAsia="宋体" w:cs="Times New Roman"/>
                <w:sz w:val="18"/>
                <w:szCs w:val="18"/>
                <w14:ligatures w14:val="none"/>
              </w:rPr>
              <w:t>1</w:t>
            </w:r>
          </w:p>
        </w:tc>
        <w:tc>
          <w:tcPr>
            <w:tcW w:w="1045" w:type="dxa"/>
            <w:vAlign w:val="center"/>
          </w:tcPr>
          <w:p w14:paraId="492EAAA9">
            <w:pPr>
              <w:spacing w:after="0" w:line="240" w:lineRule="auto"/>
              <w:jc w:val="center"/>
              <w:rPr>
                <w:rFonts w:ascii="Times New Roman" w:hAnsi="Times New Roman" w:eastAsia="宋体" w:cs="Times New Roman"/>
                <w:sz w:val="18"/>
                <w:szCs w:val="18"/>
                <w14:ligatures w14:val="none"/>
              </w:rPr>
            </w:pPr>
            <w:r>
              <w:rPr>
                <w:rFonts w:hint="eastAsia" w:ascii="Times New Roman" w:hAnsi="Times New Roman" w:eastAsia="宋体" w:cs="Times New Roman"/>
                <w:sz w:val="18"/>
                <w:szCs w:val="18"/>
                <w14:ligatures w14:val="none"/>
              </w:rPr>
              <w:t>考查</w:t>
            </w:r>
          </w:p>
        </w:tc>
      </w:tr>
      <w:tr w14:paraId="401782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571" w:type="dxa"/>
            <w:vMerge w:val="continue"/>
            <w:vAlign w:val="center"/>
          </w:tcPr>
          <w:p w14:paraId="2B4F1FA3">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vAlign w:val="center"/>
          </w:tcPr>
          <w:p w14:paraId="225EC7EC">
            <w:pPr>
              <w:spacing w:after="0" w:line="240" w:lineRule="auto"/>
              <w:jc w:val="center"/>
              <w:rPr>
                <w:rFonts w:ascii="Times New Roman" w:hAnsi="Times New Roman" w:eastAsia="宋体" w:cs="Times New Roman"/>
                <w:b/>
                <w:color w:val="000000"/>
                <w:sz w:val="18"/>
                <w:szCs w:val="18"/>
                <w:highlight w:val="none"/>
                <w14:ligatures w14:val="none"/>
              </w:rPr>
            </w:pPr>
            <w:r>
              <w:rPr>
                <w:rFonts w:ascii="Times New Roman" w:hAnsi="Times New Roman" w:eastAsia="宋体" w:cs="Times New Roman"/>
                <w:b/>
                <w:color w:val="000000"/>
                <w:sz w:val="18"/>
                <w:szCs w:val="18"/>
                <w:highlight w:val="none"/>
                <w14:ligatures w14:val="none"/>
              </w:rPr>
              <w:t>学科基础课</w:t>
            </w:r>
          </w:p>
          <w:p w14:paraId="4DFEE6E5">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highlight w:val="none"/>
                <w14:ligatures w14:val="none"/>
              </w:rPr>
              <w:t>（</w:t>
            </w:r>
            <w:r>
              <w:rPr>
                <w:rFonts w:hint="eastAsia" w:ascii="Times New Roman" w:hAnsi="Times New Roman" w:eastAsia="宋体" w:cs="Times New Roman"/>
                <w:b/>
                <w:color w:val="000000"/>
                <w:sz w:val="18"/>
                <w:szCs w:val="18"/>
                <w:highlight w:val="none"/>
                <w:lang w:val="en-US" w:eastAsia="zh-CN"/>
                <w14:ligatures w14:val="none"/>
              </w:rPr>
              <w:t>7</w:t>
            </w:r>
            <w:r>
              <w:rPr>
                <w:rFonts w:ascii="Times New Roman" w:hAnsi="Times New Roman" w:eastAsia="宋体" w:cs="Times New Roman"/>
                <w:b/>
                <w:color w:val="000000"/>
                <w:sz w:val="18"/>
                <w:szCs w:val="18"/>
                <w:highlight w:val="none"/>
                <w14:ligatures w14:val="none"/>
              </w:rPr>
              <w:t>学分）</w:t>
            </w:r>
          </w:p>
        </w:tc>
        <w:tc>
          <w:tcPr>
            <w:tcW w:w="3516" w:type="dxa"/>
            <w:vAlign w:val="center"/>
          </w:tcPr>
          <w:p w14:paraId="66156CA4">
            <w:pPr>
              <w:spacing w:after="0" w:line="240" w:lineRule="auto"/>
              <w:jc w:val="both"/>
              <w:rPr>
                <w:rFonts w:hint="eastAsia" w:ascii="Times New Roman" w:hAnsi="Times New Roman" w:eastAsia="宋体" w:cs="Times New Roman"/>
                <w:sz w:val="18"/>
                <w:szCs w:val="18"/>
                <w:lang w:eastAsia="zh-CN"/>
                <w14:ligatures w14:val="none"/>
              </w:rPr>
            </w:pPr>
            <w:r>
              <w:rPr>
                <w:rFonts w:hint="eastAsia" w:ascii="Times New Roman" w:hAnsi="Times New Roman" w:eastAsia="宋体" w:cs="Times New Roman"/>
                <w:color w:val="auto"/>
                <w:sz w:val="18"/>
                <w:szCs w:val="18"/>
                <w:lang w:val="en-US" w:eastAsia="zh-CN"/>
                <w14:ligatures w14:val="none"/>
              </w:rPr>
              <w:t>文献阅读、</w:t>
            </w:r>
            <w:r>
              <w:rPr>
                <w:rFonts w:ascii="Times New Roman" w:hAnsi="Times New Roman" w:eastAsia="宋体" w:cs="Times New Roman"/>
                <w:color w:val="auto"/>
                <w:sz w:val="18"/>
                <w:szCs w:val="18"/>
                <w14:ligatures w14:val="none"/>
              </w:rPr>
              <w:t>学术道德与论文写作</w:t>
            </w:r>
          </w:p>
        </w:tc>
        <w:tc>
          <w:tcPr>
            <w:tcW w:w="1081" w:type="dxa"/>
            <w:vAlign w:val="center"/>
          </w:tcPr>
          <w:p w14:paraId="6C2A50F2">
            <w:pPr>
              <w:spacing w:after="0" w:line="240" w:lineRule="auto"/>
              <w:jc w:val="center"/>
              <w:rPr>
                <w:rFonts w:hint="default" w:ascii="Times New Roman" w:hAnsi="Times New Roman" w:eastAsia="宋体" w:cs="Times New Roman"/>
                <w:i/>
                <w:color w:val="FF0000"/>
                <w:sz w:val="18"/>
                <w:szCs w:val="18"/>
                <w:lang w:val="en-US" w:eastAsia="zh-CN"/>
                <w14:ligatures w14:val="none"/>
              </w:rPr>
            </w:pPr>
            <w:r>
              <w:rPr>
                <w:rFonts w:hint="eastAsia" w:ascii="Times New Roman" w:hAnsi="Times New Roman" w:eastAsia="宋体" w:cs="Times New Roman"/>
                <w:sz w:val="18"/>
                <w:szCs w:val="18"/>
                <w:lang w:val="en-US" w:eastAsia="zh-CN"/>
                <w14:ligatures w14:val="none"/>
              </w:rPr>
              <w:t>XS0203001</w:t>
            </w:r>
          </w:p>
        </w:tc>
        <w:tc>
          <w:tcPr>
            <w:tcW w:w="709" w:type="dxa"/>
            <w:vAlign w:val="center"/>
          </w:tcPr>
          <w:p w14:paraId="4FFF065B">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3D27F0BB">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color w:val="000000"/>
                <w:sz w:val="18"/>
                <w:szCs w:val="18"/>
                <w14:ligatures w14:val="none"/>
              </w:rPr>
              <w:t>1</w:t>
            </w:r>
          </w:p>
        </w:tc>
        <w:tc>
          <w:tcPr>
            <w:tcW w:w="1045" w:type="dxa"/>
            <w:vAlign w:val="center"/>
          </w:tcPr>
          <w:p w14:paraId="7821E8FF">
            <w:pPr>
              <w:spacing w:after="0" w:line="240" w:lineRule="auto"/>
              <w:jc w:val="center"/>
              <w:rPr>
                <w:rFonts w:ascii="Times New Roman" w:hAnsi="Times New Roman" w:eastAsia="宋体" w:cs="Times New Roman"/>
                <w:i/>
                <w:color w:val="FF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80D2D1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7" w:hRule="atLeast"/>
          <w:jc w:val="center"/>
        </w:trPr>
        <w:tc>
          <w:tcPr>
            <w:tcW w:w="571" w:type="dxa"/>
            <w:vMerge w:val="continue"/>
            <w:vAlign w:val="center"/>
          </w:tcPr>
          <w:p w14:paraId="0406A433">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2BDC19EF">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4BAA48F0">
            <w:pPr>
              <w:spacing w:after="0" w:line="240" w:lineRule="auto"/>
              <w:jc w:val="both"/>
              <w:rPr>
                <w:rFonts w:hint="eastAsia" w:ascii="Times New Roman" w:hAnsi="Times New Roman" w:eastAsia="宋体" w:cs="Times New Roman"/>
                <w:sz w:val="18"/>
                <w:szCs w:val="18"/>
                <w:lang w:eastAsia="zh-CN"/>
                <w14:ligatures w14:val="none"/>
              </w:rPr>
            </w:pPr>
            <w:r>
              <w:rPr>
                <w:rFonts w:ascii="Times New Roman" w:hAnsi="Times New Roman" w:eastAsia="宋体" w:cs="Times New Roman"/>
                <w:color w:val="auto"/>
                <w:sz w:val="18"/>
                <w:szCs w:val="18"/>
                <w14:ligatures w14:val="none"/>
              </w:rPr>
              <w:t>新闻传播史</w:t>
            </w:r>
          </w:p>
        </w:tc>
        <w:tc>
          <w:tcPr>
            <w:tcW w:w="1081" w:type="dxa"/>
            <w:vAlign w:val="center"/>
          </w:tcPr>
          <w:p w14:paraId="0BF1C15D">
            <w:pPr>
              <w:spacing w:after="0" w:line="240" w:lineRule="auto"/>
              <w:jc w:val="center"/>
              <w:rPr>
                <w:rFonts w:hint="default" w:ascii="Times New Roman" w:hAnsi="Times New Roman" w:eastAsia="宋体" w:cs="Times New Roman"/>
                <w:color w:val="FF0000"/>
                <w:sz w:val="18"/>
                <w:szCs w:val="18"/>
                <w:lang w:val="en-US"/>
                <w14:ligatures w14:val="none"/>
              </w:rPr>
            </w:pPr>
            <w:r>
              <w:rPr>
                <w:rFonts w:hint="eastAsia" w:ascii="Times New Roman" w:hAnsi="Times New Roman" w:eastAsia="宋体" w:cs="Times New Roman"/>
                <w:sz w:val="18"/>
                <w:szCs w:val="18"/>
                <w:lang w:val="en-US" w:eastAsia="zh-CN"/>
                <w14:ligatures w14:val="none"/>
              </w:rPr>
              <w:t>XS0203002</w:t>
            </w:r>
          </w:p>
        </w:tc>
        <w:tc>
          <w:tcPr>
            <w:tcW w:w="709" w:type="dxa"/>
            <w:vAlign w:val="center"/>
          </w:tcPr>
          <w:p w14:paraId="3FE39318">
            <w:pPr>
              <w:spacing w:after="0" w:line="240" w:lineRule="auto"/>
              <w:jc w:val="center"/>
              <w:rPr>
                <w:rFonts w:hint="eastAsia" w:ascii="Times New Roman" w:hAnsi="Times New Roman" w:eastAsia="宋体" w:cs="Times New Roman"/>
                <w:color w:val="FF0000"/>
                <w:sz w:val="21"/>
                <w:lang w:val="en-US" w:eastAsia="zh-CN"/>
                <w14:ligatures w14:val="none"/>
              </w:rPr>
            </w:pPr>
            <w:r>
              <w:rPr>
                <w:rFonts w:hint="eastAsia" w:ascii="Times New Roman" w:hAnsi="Times New Roman" w:eastAsia="宋体" w:cs="Times New Roman"/>
                <w:color w:val="000000"/>
                <w:sz w:val="18"/>
                <w:szCs w:val="18"/>
                <w:lang w:val="en-US" w:eastAsia="zh-CN"/>
                <w14:ligatures w14:val="none"/>
              </w:rPr>
              <w:t>2</w:t>
            </w:r>
          </w:p>
        </w:tc>
        <w:tc>
          <w:tcPr>
            <w:tcW w:w="709" w:type="dxa"/>
            <w:vAlign w:val="center"/>
          </w:tcPr>
          <w:p w14:paraId="20185AE6">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sz w:val="18"/>
                <w:szCs w:val="18"/>
                <w14:ligatures w14:val="none"/>
              </w:rPr>
              <w:t>1</w:t>
            </w:r>
          </w:p>
        </w:tc>
        <w:tc>
          <w:tcPr>
            <w:tcW w:w="1045" w:type="dxa"/>
            <w:vAlign w:val="center"/>
          </w:tcPr>
          <w:p w14:paraId="2481CE95">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sz w:val="18"/>
                <w:szCs w:val="18"/>
                <w14:ligatures w14:val="none"/>
              </w:rPr>
              <w:t>考查</w:t>
            </w:r>
          </w:p>
        </w:tc>
      </w:tr>
      <w:tr w14:paraId="0C1EA5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05EA7A7">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003DB99E">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0D50391B">
            <w:pPr>
              <w:spacing w:after="0" w:line="240" w:lineRule="auto"/>
              <w:jc w:val="both"/>
              <w:rPr>
                <w:rFonts w:hint="eastAsia" w:ascii="Times New Roman" w:hAnsi="Times New Roman" w:eastAsia="宋体" w:cs="Times New Roman"/>
                <w:sz w:val="18"/>
                <w:szCs w:val="18"/>
                <w:lang w:eastAsia="zh-CN"/>
                <w14:ligatures w14:val="none"/>
              </w:rPr>
            </w:pPr>
            <w:r>
              <w:rPr>
                <w:rFonts w:ascii="Times New Roman" w:hAnsi="Times New Roman" w:eastAsia="宋体" w:cs="Times New Roman"/>
                <w:color w:val="auto"/>
                <w:sz w:val="18"/>
                <w:szCs w:val="18"/>
                <w14:ligatures w14:val="none"/>
              </w:rPr>
              <w:t>新闻传播</w:t>
            </w:r>
            <w:r>
              <w:rPr>
                <w:rFonts w:hint="eastAsia" w:ascii="Times New Roman" w:hAnsi="Times New Roman" w:eastAsia="宋体" w:cs="Times New Roman"/>
                <w:color w:val="auto"/>
                <w:sz w:val="18"/>
                <w:szCs w:val="18"/>
                <w:lang w:val="en-US" w:eastAsia="zh-CN"/>
                <w14:ligatures w14:val="none"/>
              </w:rPr>
              <w:t>学</w:t>
            </w:r>
            <w:r>
              <w:rPr>
                <w:rFonts w:ascii="Times New Roman" w:hAnsi="Times New Roman" w:eastAsia="宋体" w:cs="Times New Roman"/>
                <w:color w:val="auto"/>
                <w:sz w:val="18"/>
                <w:szCs w:val="18"/>
                <w14:ligatures w14:val="none"/>
              </w:rPr>
              <w:t>研究方法</w:t>
            </w:r>
          </w:p>
        </w:tc>
        <w:tc>
          <w:tcPr>
            <w:tcW w:w="1081" w:type="dxa"/>
            <w:vAlign w:val="center"/>
          </w:tcPr>
          <w:p w14:paraId="7B06036B">
            <w:pPr>
              <w:spacing w:after="0" w:line="240" w:lineRule="auto"/>
              <w:jc w:val="center"/>
              <w:rPr>
                <w:rFonts w:hint="default" w:ascii="Times New Roman" w:hAnsi="Times New Roman" w:eastAsia="宋体" w:cs="Times New Roman"/>
                <w:color w:val="FF0000"/>
                <w:sz w:val="18"/>
                <w:szCs w:val="18"/>
                <w:lang w:val="en-US"/>
                <w14:ligatures w14:val="none"/>
              </w:rPr>
            </w:pPr>
            <w:r>
              <w:rPr>
                <w:rFonts w:hint="eastAsia" w:ascii="Times New Roman" w:hAnsi="Times New Roman" w:eastAsia="宋体" w:cs="Times New Roman"/>
                <w:sz w:val="18"/>
                <w:szCs w:val="18"/>
                <w:lang w:val="en-US" w:eastAsia="zh-CN"/>
                <w14:ligatures w14:val="none"/>
              </w:rPr>
              <w:t>XS0203003</w:t>
            </w:r>
          </w:p>
        </w:tc>
        <w:tc>
          <w:tcPr>
            <w:tcW w:w="709" w:type="dxa"/>
            <w:vAlign w:val="center"/>
          </w:tcPr>
          <w:p w14:paraId="32AB632F">
            <w:pPr>
              <w:spacing w:after="0" w:line="240" w:lineRule="auto"/>
              <w:jc w:val="center"/>
              <w:rPr>
                <w:rFonts w:ascii="Times New Roman" w:hAnsi="Times New Roman" w:eastAsia="宋体" w:cs="Times New Roman"/>
                <w:color w:val="FF0000"/>
                <w:sz w:val="21"/>
                <w14:ligatures w14:val="none"/>
              </w:rPr>
            </w:pPr>
            <w:r>
              <w:rPr>
                <w:rFonts w:hint="eastAsia" w:ascii="Times New Roman" w:hAnsi="Times New Roman" w:eastAsia="宋体" w:cs="Times New Roman"/>
                <w:color w:val="000000"/>
                <w:sz w:val="18"/>
                <w:szCs w:val="18"/>
                <w14:ligatures w14:val="none"/>
              </w:rPr>
              <w:t>3</w:t>
            </w:r>
          </w:p>
        </w:tc>
        <w:tc>
          <w:tcPr>
            <w:tcW w:w="709" w:type="dxa"/>
            <w:vAlign w:val="center"/>
          </w:tcPr>
          <w:p w14:paraId="39095392">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color w:val="000000"/>
                <w:sz w:val="18"/>
                <w:szCs w:val="18"/>
                <w14:ligatures w14:val="none"/>
              </w:rPr>
              <w:t>1</w:t>
            </w:r>
          </w:p>
        </w:tc>
        <w:tc>
          <w:tcPr>
            <w:tcW w:w="1045" w:type="dxa"/>
            <w:vAlign w:val="center"/>
          </w:tcPr>
          <w:p w14:paraId="244F76BB">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0314E1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B10FFC5">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vAlign w:val="center"/>
          </w:tcPr>
          <w:p w14:paraId="7402C274">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专业必修课</w:t>
            </w:r>
          </w:p>
          <w:p w14:paraId="0903B655">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highlight w:val="none"/>
                <w14:ligatures w14:val="none"/>
              </w:rPr>
              <w:t>（</w:t>
            </w:r>
            <w:r>
              <w:rPr>
                <w:rFonts w:hint="eastAsia" w:ascii="Times New Roman" w:hAnsi="Times New Roman" w:eastAsia="宋体" w:cs="Times New Roman"/>
                <w:b/>
                <w:color w:val="000000"/>
                <w:sz w:val="18"/>
                <w:szCs w:val="18"/>
                <w:highlight w:val="none"/>
                <w14:ligatures w14:val="none"/>
              </w:rPr>
              <w:t>6</w:t>
            </w:r>
            <w:r>
              <w:rPr>
                <w:rFonts w:ascii="Times New Roman" w:hAnsi="Times New Roman" w:eastAsia="宋体" w:cs="Times New Roman"/>
                <w:b/>
                <w:color w:val="000000"/>
                <w:sz w:val="18"/>
                <w:szCs w:val="18"/>
                <w:highlight w:val="none"/>
                <w14:ligatures w14:val="none"/>
              </w:rPr>
              <w:t>学分）</w:t>
            </w:r>
          </w:p>
        </w:tc>
        <w:tc>
          <w:tcPr>
            <w:tcW w:w="3516" w:type="dxa"/>
            <w:vAlign w:val="top"/>
          </w:tcPr>
          <w:p w14:paraId="2DE3A058">
            <w:pPr>
              <w:spacing w:after="0" w:line="240" w:lineRule="auto"/>
              <w:jc w:val="both"/>
              <w:rPr>
                <w:rFonts w:hint="eastAsia" w:ascii="Times New Roman" w:hAnsi="Times New Roman" w:eastAsia="宋体" w:cs="Times New Roman"/>
                <w:sz w:val="21"/>
                <w:lang w:eastAsia="zh-CN"/>
                <w14:ligatures w14:val="none"/>
              </w:rPr>
            </w:pPr>
            <w:r>
              <w:rPr>
                <w:rFonts w:hint="eastAsia" w:ascii="宋体" w:hAnsi="宋体" w:eastAsia="宋体" w:cs="宋体"/>
                <w:color w:val="auto"/>
                <w:sz w:val="18"/>
                <w:szCs w:val="18"/>
                <w14:ligatures w14:val="none"/>
              </w:rPr>
              <w:t>新闻传播理论</w:t>
            </w:r>
          </w:p>
        </w:tc>
        <w:tc>
          <w:tcPr>
            <w:tcW w:w="1081" w:type="dxa"/>
            <w:vAlign w:val="center"/>
          </w:tcPr>
          <w:p w14:paraId="65ACAFE0">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sz w:val="18"/>
                <w:szCs w:val="18"/>
                <w:lang w:val="en-US" w:eastAsia="zh-CN"/>
                <w14:ligatures w14:val="none"/>
              </w:rPr>
              <w:t>XS0203004</w:t>
            </w:r>
          </w:p>
        </w:tc>
        <w:tc>
          <w:tcPr>
            <w:tcW w:w="709" w:type="dxa"/>
            <w:vAlign w:val="center"/>
          </w:tcPr>
          <w:p w14:paraId="4E31AB34">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sz w:val="18"/>
                <w:szCs w:val="18"/>
                <w14:ligatures w14:val="none"/>
              </w:rPr>
              <w:t>2</w:t>
            </w:r>
          </w:p>
        </w:tc>
        <w:tc>
          <w:tcPr>
            <w:tcW w:w="709" w:type="dxa"/>
            <w:vAlign w:val="center"/>
          </w:tcPr>
          <w:p w14:paraId="33D1245B">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sz w:val="18"/>
                <w:szCs w:val="18"/>
                <w14:ligatures w14:val="none"/>
              </w:rPr>
              <w:t>1</w:t>
            </w:r>
          </w:p>
        </w:tc>
        <w:tc>
          <w:tcPr>
            <w:tcW w:w="1045" w:type="dxa"/>
            <w:vAlign w:val="center"/>
          </w:tcPr>
          <w:p w14:paraId="2D1D3498">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sz w:val="18"/>
                <w:szCs w:val="18"/>
                <w14:ligatures w14:val="none"/>
              </w:rPr>
              <w:t>考查</w:t>
            </w:r>
          </w:p>
        </w:tc>
      </w:tr>
      <w:tr w14:paraId="668B55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2" w:hRule="atLeast"/>
          <w:jc w:val="center"/>
        </w:trPr>
        <w:tc>
          <w:tcPr>
            <w:tcW w:w="571" w:type="dxa"/>
            <w:vMerge w:val="continue"/>
            <w:vAlign w:val="center"/>
          </w:tcPr>
          <w:p w14:paraId="035FE4DC">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3CFDD315">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top"/>
          </w:tcPr>
          <w:p w14:paraId="60567627">
            <w:pPr>
              <w:spacing w:after="0" w:line="240" w:lineRule="auto"/>
              <w:jc w:val="both"/>
              <w:rPr>
                <w:rFonts w:ascii="Times New Roman" w:hAnsi="Times New Roman" w:eastAsia="宋体" w:cs="Times New Roman"/>
                <w:sz w:val="21"/>
                <w14:ligatures w14:val="none"/>
              </w:rPr>
            </w:pPr>
            <w:r>
              <w:rPr>
                <w:rFonts w:hint="eastAsia" w:ascii="宋体" w:hAnsi="宋体" w:eastAsia="宋体" w:cs="宋体"/>
                <w:color w:val="auto"/>
                <w:sz w:val="18"/>
                <w:szCs w:val="18"/>
                <w14:ligatures w14:val="none"/>
              </w:rPr>
              <w:t>大数据与传播</w:t>
            </w:r>
          </w:p>
        </w:tc>
        <w:tc>
          <w:tcPr>
            <w:tcW w:w="1081" w:type="dxa"/>
            <w:vAlign w:val="center"/>
          </w:tcPr>
          <w:p w14:paraId="32698939">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sz w:val="18"/>
                <w:szCs w:val="18"/>
                <w:lang w:val="en-US" w:eastAsia="zh-CN"/>
                <w14:ligatures w14:val="none"/>
              </w:rPr>
              <w:t>XS0205005</w:t>
            </w:r>
          </w:p>
        </w:tc>
        <w:tc>
          <w:tcPr>
            <w:tcW w:w="709" w:type="dxa"/>
            <w:vAlign w:val="center"/>
          </w:tcPr>
          <w:p w14:paraId="46126361">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2AA2DC86">
            <w:pPr>
              <w:spacing w:after="0" w:line="240" w:lineRule="auto"/>
              <w:jc w:val="center"/>
              <w:rPr>
                <w:rFonts w:ascii="Times New Roman" w:hAnsi="Times New Roman" w:eastAsia="宋体" w:cs="Times New Roman"/>
                <w:color w:val="FF0000"/>
                <w:sz w:val="21"/>
                <w14:ligatures w14:val="none"/>
              </w:rPr>
            </w:pPr>
            <w:r>
              <w:rPr>
                <w:rFonts w:ascii="Times New Roman" w:hAnsi="Times New Roman" w:eastAsia="宋体" w:cs="Times New Roman"/>
                <w:color w:val="000000"/>
                <w:sz w:val="18"/>
                <w:szCs w:val="18"/>
                <w14:ligatures w14:val="none"/>
              </w:rPr>
              <w:t>1</w:t>
            </w:r>
          </w:p>
        </w:tc>
        <w:tc>
          <w:tcPr>
            <w:tcW w:w="1045" w:type="dxa"/>
            <w:vAlign w:val="center"/>
          </w:tcPr>
          <w:p w14:paraId="3C2DDB1A">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86B131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0172EE">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0714E6F8">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top"/>
          </w:tcPr>
          <w:p w14:paraId="14E94E71">
            <w:pPr>
              <w:spacing w:after="0" w:line="240" w:lineRule="auto"/>
              <w:jc w:val="both"/>
              <w:rPr>
                <w:rFonts w:ascii="Times New Roman" w:hAnsi="Times New Roman" w:eastAsia="宋体" w:cs="Times New Roman"/>
                <w:i/>
                <w:color w:val="FF0000"/>
                <w:sz w:val="18"/>
                <w:szCs w:val="18"/>
                <w14:ligatures w14:val="none"/>
              </w:rPr>
            </w:pPr>
            <w:r>
              <w:rPr>
                <w:rFonts w:hint="eastAsia" w:ascii="宋体" w:hAnsi="宋体" w:eastAsia="宋体" w:cs="宋体"/>
                <w:color w:val="auto"/>
                <w:sz w:val="18"/>
                <w:szCs w:val="18"/>
                <w14:ligatures w14:val="none"/>
              </w:rPr>
              <w:t>马克思主义新闻学</w:t>
            </w:r>
          </w:p>
        </w:tc>
        <w:tc>
          <w:tcPr>
            <w:tcW w:w="1081" w:type="dxa"/>
            <w:vAlign w:val="center"/>
          </w:tcPr>
          <w:p w14:paraId="7E67EE1E">
            <w:pPr>
              <w:spacing w:after="0" w:line="240" w:lineRule="auto"/>
              <w:jc w:val="center"/>
              <w:rPr>
                <w:rFonts w:ascii="Times New Roman" w:hAnsi="Times New Roman" w:eastAsia="宋体" w:cs="Times New Roman"/>
                <w:i/>
                <w:color w:val="FF0000"/>
                <w:sz w:val="18"/>
                <w:szCs w:val="18"/>
                <w14:ligatures w14:val="none"/>
              </w:rPr>
            </w:pPr>
            <w:r>
              <w:rPr>
                <w:rFonts w:hint="eastAsia" w:ascii="Times New Roman" w:hAnsi="Times New Roman" w:eastAsia="宋体" w:cs="Times New Roman"/>
                <w:sz w:val="18"/>
                <w:szCs w:val="18"/>
                <w:lang w:val="en-US" w:eastAsia="zh-CN"/>
                <w14:ligatures w14:val="none"/>
              </w:rPr>
              <w:t>XS0205006</w:t>
            </w:r>
          </w:p>
        </w:tc>
        <w:tc>
          <w:tcPr>
            <w:tcW w:w="709" w:type="dxa"/>
            <w:vAlign w:val="center"/>
          </w:tcPr>
          <w:p w14:paraId="709AE36D">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37B6CF64">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1</w:t>
            </w:r>
          </w:p>
        </w:tc>
        <w:tc>
          <w:tcPr>
            <w:tcW w:w="1045" w:type="dxa"/>
            <w:vAlign w:val="center"/>
          </w:tcPr>
          <w:p w14:paraId="3EDA15CF">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3F3108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4" w:hRule="atLeast"/>
          <w:jc w:val="center"/>
        </w:trPr>
        <w:tc>
          <w:tcPr>
            <w:tcW w:w="571" w:type="dxa"/>
            <w:vMerge w:val="restart"/>
            <w:vAlign w:val="center"/>
          </w:tcPr>
          <w:p w14:paraId="1F86B021">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非学位课</w:t>
            </w:r>
          </w:p>
          <w:p w14:paraId="44C72718">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vAlign w:val="center"/>
          </w:tcPr>
          <w:p w14:paraId="03112FAE">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公共通识课</w:t>
            </w:r>
          </w:p>
          <w:p w14:paraId="4B2B2A95">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（2学分）</w:t>
            </w:r>
          </w:p>
        </w:tc>
        <w:tc>
          <w:tcPr>
            <w:tcW w:w="3516" w:type="dxa"/>
            <w:vAlign w:val="center"/>
          </w:tcPr>
          <w:p w14:paraId="231821E4">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《习近平谈治国理政》研读</w:t>
            </w:r>
          </w:p>
        </w:tc>
        <w:tc>
          <w:tcPr>
            <w:tcW w:w="1081" w:type="dxa"/>
            <w:vAlign w:val="center"/>
          </w:tcPr>
          <w:p w14:paraId="012A6C86">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TT0000101</w:t>
            </w:r>
          </w:p>
        </w:tc>
        <w:tc>
          <w:tcPr>
            <w:tcW w:w="709" w:type="dxa"/>
            <w:vAlign w:val="center"/>
          </w:tcPr>
          <w:p w14:paraId="1A5B343F">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1</w:t>
            </w:r>
          </w:p>
        </w:tc>
        <w:tc>
          <w:tcPr>
            <w:tcW w:w="709" w:type="dxa"/>
            <w:vAlign w:val="center"/>
          </w:tcPr>
          <w:p w14:paraId="270F393E">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2</w:t>
            </w:r>
          </w:p>
        </w:tc>
        <w:tc>
          <w:tcPr>
            <w:tcW w:w="1045" w:type="dxa"/>
            <w:vAlign w:val="center"/>
          </w:tcPr>
          <w:p w14:paraId="08D75198">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考查</w:t>
            </w:r>
          </w:p>
        </w:tc>
      </w:tr>
      <w:tr w14:paraId="5A7A21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1" w:hRule="atLeast"/>
          <w:jc w:val="center"/>
        </w:trPr>
        <w:tc>
          <w:tcPr>
            <w:tcW w:w="571" w:type="dxa"/>
            <w:vMerge w:val="continue"/>
            <w:vAlign w:val="center"/>
          </w:tcPr>
          <w:p w14:paraId="7674D726">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tcBorders>
              <w:bottom w:val="single" w:color="000000" w:sz="4" w:space="0"/>
            </w:tcBorders>
            <w:vAlign w:val="center"/>
          </w:tcPr>
          <w:p w14:paraId="106DE30E">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05377BD3">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马克思主义与社会科学方法论</w:t>
            </w:r>
          </w:p>
        </w:tc>
        <w:tc>
          <w:tcPr>
            <w:tcW w:w="1081" w:type="dxa"/>
            <w:vAlign w:val="center"/>
          </w:tcPr>
          <w:p w14:paraId="4F4BF481">
            <w:pPr>
              <w:spacing w:after="0" w:line="240" w:lineRule="auto"/>
              <w:jc w:val="center"/>
              <w:rPr>
                <w:rFonts w:ascii="Times New Roman" w:hAnsi="Times New Roman" w:eastAsia="宋体" w:cs="Times New Roman"/>
                <w:color w:val="auto"/>
                <w:sz w:val="18"/>
                <w:szCs w:val="18"/>
                <w14:ligatures w14:val="none"/>
              </w:rPr>
            </w:pPr>
            <w:r>
              <w:rPr>
                <w:rFonts w:ascii="Times New Roman" w:hAnsi="Times New Roman" w:eastAsia="宋体" w:cs="Times New Roman"/>
                <w:color w:val="auto"/>
                <w:sz w:val="18"/>
                <w:szCs w:val="18"/>
                <w14:ligatures w14:val="none"/>
              </w:rPr>
              <w:t>TS0000101</w:t>
            </w:r>
          </w:p>
        </w:tc>
        <w:tc>
          <w:tcPr>
            <w:tcW w:w="709" w:type="dxa"/>
            <w:vAlign w:val="center"/>
          </w:tcPr>
          <w:p w14:paraId="6D1DBE8F">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1</w:t>
            </w:r>
          </w:p>
        </w:tc>
        <w:tc>
          <w:tcPr>
            <w:tcW w:w="709" w:type="dxa"/>
            <w:vAlign w:val="center"/>
          </w:tcPr>
          <w:p w14:paraId="26CADB36">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1045" w:type="dxa"/>
            <w:vAlign w:val="center"/>
          </w:tcPr>
          <w:p w14:paraId="480DB568">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考查</w:t>
            </w:r>
          </w:p>
        </w:tc>
      </w:tr>
      <w:tr w14:paraId="79C59C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7" w:hRule="atLeast"/>
          <w:jc w:val="center"/>
        </w:trPr>
        <w:tc>
          <w:tcPr>
            <w:tcW w:w="571" w:type="dxa"/>
            <w:vMerge w:val="continue"/>
            <w:vAlign w:val="center"/>
          </w:tcPr>
          <w:p w14:paraId="74D31A41">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tcBorders>
              <w:top w:val="single" w:color="000000" w:sz="4" w:space="0"/>
            </w:tcBorders>
            <w:vAlign w:val="center"/>
          </w:tcPr>
          <w:p w14:paraId="0D7B6B0A">
            <w:pPr>
              <w:spacing w:after="0" w:line="240" w:lineRule="auto"/>
              <w:jc w:val="center"/>
              <w:rPr>
                <w:rFonts w:hint="eastAsia" w:ascii="Times New Roman" w:hAnsi="Times New Roman" w:eastAsia="宋体" w:cs="Times New Roman"/>
                <w:b/>
                <w:color w:val="000000"/>
                <w:sz w:val="18"/>
                <w:szCs w:val="18"/>
                <w:lang w:val="en-US" w:eastAsia="zh-CN"/>
                <w14:ligatures w14:val="none"/>
              </w:rPr>
            </w:pPr>
            <w:r>
              <w:rPr>
                <w:rFonts w:hint="eastAsia" w:ascii="Times New Roman" w:hAnsi="Times New Roman" w:eastAsia="宋体" w:cs="Times New Roman"/>
                <w:b/>
                <w:color w:val="000000"/>
                <w:sz w:val="18"/>
                <w:szCs w:val="18"/>
                <w:lang w:val="en-US" w:eastAsia="zh-CN"/>
                <w14:ligatures w14:val="none"/>
              </w:rPr>
              <w:t>专业选修课</w:t>
            </w:r>
          </w:p>
          <w:p w14:paraId="4B7201E1">
            <w:pPr>
              <w:spacing w:after="0" w:line="240" w:lineRule="auto"/>
              <w:jc w:val="center"/>
              <w:rPr>
                <w:rFonts w:hint="default" w:ascii="Times New Roman" w:hAnsi="Times New Roman" w:eastAsia="宋体" w:cs="Times New Roman"/>
                <w:b/>
                <w:color w:val="000000"/>
                <w:sz w:val="18"/>
                <w:szCs w:val="18"/>
                <w:lang w:val="en-US" w:eastAsia="zh-CN"/>
                <w14:ligatures w14:val="none"/>
              </w:rPr>
            </w:pPr>
            <w:r>
              <w:rPr>
                <w:rFonts w:hint="eastAsia" w:ascii="Times New Roman" w:hAnsi="Times New Roman" w:eastAsia="宋体" w:cs="Times New Roman"/>
                <w:b/>
                <w:color w:val="000000"/>
                <w:sz w:val="18"/>
                <w:szCs w:val="18"/>
                <w:lang w:val="en-US" w:eastAsia="zh-CN"/>
                <w14:ligatures w14:val="none"/>
              </w:rPr>
              <w:t>（共16学分，至少选修10学分）</w:t>
            </w:r>
          </w:p>
        </w:tc>
        <w:tc>
          <w:tcPr>
            <w:tcW w:w="3516" w:type="dxa"/>
            <w:vAlign w:val="center"/>
          </w:tcPr>
          <w:p w14:paraId="15FCCD73">
            <w:pPr>
              <w:spacing w:after="0" w:line="240" w:lineRule="auto"/>
              <w:jc w:val="both"/>
              <w:rPr>
                <w:rFonts w:ascii="宋体" w:hAnsi="宋体" w:eastAsia="宋体" w:cs="宋体"/>
                <w:bCs/>
                <w:sz w:val="18"/>
                <w:szCs w:val="18"/>
                <w14:ligatures w14:val="none"/>
              </w:rPr>
            </w:pPr>
            <w:r>
              <w:rPr>
                <w:rFonts w:hint="eastAsia" w:ascii="宋体" w:hAnsi="宋体" w:eastAsia="宋体" w:cs="宋体"/>
                <w:bCs/>
                <w:color w:val="auto"/>
                <w:sz w:val="18"/>
                <w:szCs w:val="18"/>
                <w:lang w:val="en-US" w:eastAsia="zh-CN"/>
                <w14:ligatures w14:val="none"/>
              </w:rPr>
              <w:t>媒介社会学</w:t>
            </w:r>
          </w:p>
        </w:tc>
        <w:tc>
          <w:tcPr>
            <w:tcW w:w="1081" w:type="dxa"/>
            <w:vAlign w:val="center"/>
          </w:tcPr>
          <w:p w14:paraId="782C3FBB">
            <w:pPr>
              <w:spacing w:after="0" w:line="240" w:lineRule="auto"/>
              <w:jc w:val="center"/>
              <w:rPr>
                <w:rFonts w:ascii="Times New Roman" w:hAnsi="Times New Roman" w:eastAsia="宋体" w:cs="Times New Roman"/>
                <w:color w:val="auto"/>
                <w:sz w:val="18"/>
                <w:szCs w:val="18"/>
                <w14:ligatures w14:val="none"/>
              </w:rPr>
            </w:pPr>
            <w:r>
              <w:rPr>
                <w:rFonts w:hint="eastAsia" w:ascii="Times New Roman" w:hAnsi="Times New Roman" w:eastAsia="宋体" w:cs="Times New Roman"/>
                <w:color w:val="auto"/>
                <w:sz w:val="18"/>
                <w:szCs w:val="18"/>
                <w:lang w:val="en-US" w:eastAsia="zh-CN"/>
                <w14:ligatures w14:val="none"/>
              </w:rPr>
              <w:t>XS0205101</w:t>
            </w:r>
          </w:p>
        </w:tc>
        <w:tc>
          <w:tcPr>
            <w:tcW w:w="709" w:type="dxa"/>
            <w:vAlign w:val="center"/>
          </w:tcPr>
          <w:p w14:paraId="433EC8DF">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665E8E4D">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2</w:t>
            </w:r>
          </w:p>
        </w:tc>
        <w:tc>
          <w:tcPr>
            <w:tcW w:w="1045" w:type="dxa"/>
            <w:vAlign w:val="center"/>
          </w:tcPr>
          <w:p w14:paraId="268FFD6B">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83864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1" w:hRule="atLeast"/>
          <w:jc w:val="center"/>
        </w:trPr>
        <w:tc>
          <w:tcPr>
            <w:tcW w:w="571" w:type="dxa"/>
            <w:vMerge w:val="continue"/>
            <w:vAlign w:val="center"/>
          </w:tcPr>
          <w:p w14:paraId="50EE9762">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3DDC9562">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2B9CE6E6">
            <w:pPr>
              <w:spacing w:after="0" w:line="240" w:lineRule="auto"/>
              <w:jc w:val="both"/>
              <w:rPr>
                <w:rFonts w:hint="eastAsia" w:ascii="宋体" w:hAnsi="宋体" w:eastAsia="宋体" w:cs="宋体"/>
                <w:bCs/>
                <w:sz w:val="18"/>
                <w:szCs w:val="18"/>
                <w14:ligatures w14:val="none"/>
              </w:rPr>
            </w:pPr>
            <w:r>
              <w:rPr>
                <w:rFonts w:hint="eastAsia" w:ascii="Times New Roman" w:hAnsi="Times New Roman" w:eastAsia="宋体" w:cs="Times New Roman"/>
                <w:color w:val="auto"/>
                <w:sz w:val="18"/>
                <w:szCs w:val="18"/>
                <w:lang w:val="en-US" w:eastAsia="zh-CN"/>
                <w14:ligatures w14:val="none"/>
              </w:rPr>
              <w:t>新闻传播政策、法律与伦理</w:t>
            </w:r>
          </w:p>
        </w:tc>
        <w:tc>
          <w:tcPr>
            <w:tcW w:w="1081" w:type="dxa"/>
            <w:shd w:val="clear" w:color="auto" w:fill="auto"/>
            <w:vAlign w:val="center"/>
          </w:tcPr>
          <w:p w14:paraId="0709C539">
            <w:pPr>
              <w:spacing w:after="0" w:line="240" w:lineRule="auto"/>
              <w:jc w:val="center"/>
              <w:rPr>
                <w:rFonts w:hint="default" w:ascii="Times New Roman" w:hAnsi="Times New Roman" w:eastAsia="宋体" w:cs="Times New Roman"/>
                <w:color w:val="auto"/>
                <w:kern w:val="2"/>
                <w:sz w:val="18"/>
                <w:szCs w:val="18"/>
                <w:lang w:val="en-US" w:eastAsia="zh-CN" w:bidi="ar-SA"/>
                <w14:ligatures w14:val="none"/>
              </w:rPr>
            </w:pPr>
            <w:r>
              <w:rPr>
                <w:rFonts w:hint="eastAsia" w:ascii="Times New Roman" w:hAnsi="Times New Roman" w:eastAsia="宋体" w:cs="Times New Roman"/>
                <w:color w:val="auto"/>
                <w:sz w:val="18"/>
                <w:szCs w:val="18"/>
                <w:lang w:val="en-US" w:eastAsia="zh-CN"/>
                <w14:ligatures w14:val="none"/>
              </w:rPr>
              <w:t>XS0203005</w:t>
            </w:r>
          </w:p>
        </w:tc>
        <w:tc>
          <w:tcPr>
            <w:tcW w:w="709" w:type="dxa"/>
            <w:vAlign w:val="center"/>
          </w:tcPr>
          <w:p w14:paraId="77CF2F1E">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2</w:t>
            </w:r>
          </w:p>
        </w:tc>
        <w:tc>
          <w:tcPr>
            <w:tcW w:w="709" w:type="dxa"/>
            <w:vAlign w:val="center"/>
          </w:tcPr>
          <w:p w14:paraId="7FC13111">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2</w:t>
            </w:r>
          </w:p>
        </w:tc>
        <w:tc>
          <w:tcPr>
            <w:tcW w:w="1045" w:type="dxa"/>
            <w:vAlign w:val="center"/>
          </w:tcPr>
          <w:p w14:paraId="7768B914">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考查</w:t>
            </w:r>
          </w:p>
        </w:tc>
      </w:tr>
      <w:tr w14:paraId="7DFE71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6" w:hRule="atLeast"/>
          <w:jc w:val="center"/>
        </w:trPr>
        <w:tc>
          <w:tcPr>
            <w:tcW w:w="571" w:type="dxa"/>
            <w:vMerge w:val="continue"/>
            <w:vAlign w:val="center"/>
          </w:tcPr>
          <w:p w14:paraId="13B20E38">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235496CE">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660A8066">
            <w:pPr>
              <w:spacing w:after="0" w:line="240" w:lineRule="auto"/>
              <w:jc w:val="both"/>
              <w:rPr>
                <w:rFonts w:ascii="宋体" w:hAnsi="宋体" w:eastAsia="宋体" w:cs="宋体"/>
                <w:bCs/>
                <w:sz w:val="18"/>
                <w:szCs w:val="18"/>
                <w14:ligatures w14:val="none"/>
              </w:rPr>
            </w:pPr>
            <w:r>
              <w:rPr>
                <w:rFonts w:hint="eastAsia" w:ascii="宋体" w:hAnsi="宋体" w:eastAsia="宋体" w:cs="宋体"/>
                <w:bCs/>
                <w:color w:val="auto"/>
                <w:sz w:val="18"/>
                <w:szCs w:val="18"/>
                <w14:ligatures w14:val="none"/>
              </w:rPr>
              <w:t>国际传播</w:t>
            </w:r>
          </w:p>
        </w:tc>
        <w:tc>
          <w:tcPr>
            <w:tcW w:w="1081" w:type="dxa"/>
            <w:vAlign w:val="center"/>
          </w:tcPr>
          <w:p w14:paraId="7975FE1C">
            <w:pPr>
              <w:spacing w:after="0" w:line="240" w:lineRule="auto"/>
              <w:jc w:val="center"/>
              <w:rPr>
                <w:rFonts w:hint="default" w:ascii="Times New Roman" w:hAnsi="Times New Roman" w:eastAsia="宋体" w:cs="Times New Roman"/>
                <w:color w:val="auto"/>
                <w:sz w:val="18"/>
                <w:szCs w:val="18"/>
                <w:lang w:val="en-US"/>
                <w14:ligatures w14:val="none"/>
              </w:rPr>
            </w:pPr>
            <w:r>
              <w:rPr>
                <w:rFonts w:hint="eastAsia" w:ascii="Times New Roman" w:hAnsi="Times New Roman" w:eastAsia="宋体" w:cs="Times New Roman"/>
                <w:color w:val="auto"/>
                <w:sz w:val="18"/>
                <w:szCs w:val="18"/>
                <w:lang w:val="en-US" w:eastAsia="zh-CN"/>
                <w14:ligatures w14:val="none"/>
              </w:rPr>
              <w:t>XS0203101</w:t>
            </w:r>
          </w:p>
        </w:tc>
        <w:tc>
          <w:tcPr>
            <w:tcW w:w="709" w:type="dxa"/>
            <w:vAlign w:val="center"/>
          </w:tcPr>
          <w:p w14:paraId="2C885AB3">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sz w:val="18"/>
                <w:szCs w:val="18"/>
                <w14:ligatures w14:val="none"/>
              </w:rPr>
              <w:t>2</w:t>
            </w:r>
          </w:p>
        </w:tc>
        <w:tc>
          <w:tcPr>
            <w:tcW w:w="709" w:type="dxa"/>
            <w:vAlign w:val="center"/>
          </w:tcPr>
          <w:p w14:paraId="575B9B9F">
            <w:pPr>
              <w:spacing w:after="0" w:line="240" w:lineRule="auto"/>
              <w:jc w:val="center"/>
              <w:rPr>
                <w:rFonts w:hint="eastAsia" w:ascii="Times New Roman" w:hAnsi="Times New Roman" w:eastAsia="宋体" w:cs="Times New Roman"/>
                <w:color w:val="000000"/>
                <w:sz w:val="18"/>
                <w:szCs w:val="18"/>
                <w:lang w:eastAsia="zh-CN"/>
                <w14:ligatures w14:val="none"/>
              </w:rPr>
            </w:pPr>
            <w:r>
              <w:rPr>
                <w:rFonts w:hint="eastAsia" w:ascii="Times New Roman" w:hAnsi="Times New Roman" w:eastAsia="宋体" w:cs="Times New Roman"/>
                <w:sz w:val="18"/>
                <w:szCs w:val="18"/>
                <w:lang w:val="en-US" w:eastAsia="zh-CN"/>
                <w14:ligatures w14:val="none"/>
              </w:rPr>
              <w:t>2</w:t>
            </w:r>
          </w:p>
        </w:tc>
        <w:tc>
          <w:tcPr>
            <w:tcW w:w="1045" w:type="dxa"/>
            <w:vAlign w:val="center"/>
          </w:tcPr>
          <w:p w14:paraId="58B91968">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考查</w:t>
            </w:r>
          </w:p>
        </w:tc>
      </w:tr>
      <w:tr w14:paraId="02D6DD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41" w:hRule="atLeast"/>
          <w:jc w:val="center"/>
        </w:trPr>
        <w:tc>
          <w:tcPr>
            <w:tcW w:w="571" w:type="dxa"/>
            <w:vMerge w:val="continue"/>
            <w:vAlign w:val="center"/>
          </w:tcPr>
          <w:p w14:paraId="1B5B547B">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137ABD99">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4B432D94">
            <w:pPr>
              <w:spacing w:after="0" w:line="240" w:lineRule="auto"/>
              <w:jc w:val="both"/>
              <w:rPr>
                <w:rFonts w:ascii="宋体" w:hAnsi="宋体" w:eastAsia="宋体" w:cs="宋体"/>
                <w:bCs/>
                <w:sz w:val="18"/>
                <w:szCs w:val="18"/>
                <w14:ligatures w14:val="none"/>
              </w:rPr>
            </w:pPr>
            <w:r>
              <w:rPr>
                <w:rFonts w:hint="eastAsia" w:ascii="宋体" w:hAnsi="宋体" w:eastAsia="宋体" w:cs="宋体"/>
                <w:bCs/>
                <w:color w:val="auto"/>
                <w:sz w:val="18"/>
                <w:szCs w:val="18"/>
                <w14:ligatures w14:val="none"/>
              </w:rPr>
              <w:t>认知传播研究前沿</w:t>
            </w:r>
          </w:p>
        </w:tc>
        <w:tc>
          <w:tcPr>
            <w:tcW w:w="1081" w:type="dxa"/>
            <w:vAlign w:val="center"/>
          </w:tcPr>
          <w:p w14:paraId="35BAB80A">
            <w:pPr>
              <w:spacing w:after="0" w:line="240" w:lineRule="auto"/>
              <w:jc w:val="center"/>
              <w:rPr>
                <w:rFonts w:hint="default" w:ascii="Times New Roman" w:hAnsi="Times New Roman" w:eastAsia="宋体" w:cs="Times New Roman"/>
                <w:color w:val="auto"/>
                <w:sz w:val="18"/>
                <w:szCs w:val="18"/>
                <w:lang w:val="en-US"/>
                <w14:ligatures w14:val="none"/>
              </w:rPr>
            </w:pPr>
            <w:r>
              <w:rPr>
                <w:rFonts w:hint="eastAsia" w:ascii="Times New Roman" w:hAnsi="Times New Roman" w:eastAsia="宋体" w:cs="Times New Roman"/>
                <w:color w:val="auto"/>
                <w:sz w:val="18"/>
                <w:szCs w:val="18"/>
                <w:lang w:val="en-US" w:eastAsia="zh-CN"/>
                <w14:ligatures w14:val="none"/>
              </w:rPr>
              <w:t>XS0205102</w:t>
            </w:r>
          </w:p>
        </w:tc>
        <w:tc>
          <w:tcPr>
            <w:tcW w:w="709" w:type="dxa"/>
            <w:vAlign w:val="center"/>
          </w:tcPr>
          <w:p w14:paraId="436E9230">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7DD7928F">
            <w:pPr>
              <w:spacing w:after="0" w:line="240" w:lineRule="auto"/>
              <w:jc w:val="center"/>
              <w:rPr>
                <w:rFonts w:hint="eastAsia" w:ascii="Times New Roman" w:hAnsi="Times New Roman" w:eastAsia="宋体" w:cs="Times New Roman"/>
                <w:color w:val="000000"/>
                <w:sz w:val="18"/>
                <w:szCs w:val="18"/>
                <w:lang w:eastAsia="zh-CN"/>
                <w14:ligatures w14:val="none"/>
              </w:rPr>
            </w:pPr>
            <w:r>
              <w:rPr>
                <w:rFonts w:hint="eastAsia" w:ascii="Times New Roman" w:hAnsi="Times New Roman" w:eastAsia="宋体" w:cs="Times New Roman"/>
                <w:color w:val="000000"/>
                <w:sz w:val="18"/>
                <w:szCs w:val="18"/>
                <w:lang w:val="en-US" w:eastAsia="zh-CN"/>
                <w14:ligatures w14:val="none"/>
              </w:rPr>
              <w:t>2</w:t>
            </w:r>
          </w:p>
        </w:tc>
        <w:tc>
          <w:tcPr>
            <w:tcW w:w="1045" w:type="dxa"/>
            <w:vAlign w:val="center"/>
          </w:tcPr>
          <w:p w14:paraId="577DA510">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6FC3E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6" w:hRule="atLeast"/>
          <w:jc w:val="center"/>
        </w:trPr>
        <w:tc>
          <w:tcPr>
            <w:tcW w:w="571" w:type="dxa"/>
            <w:vMerge w:val="continue"/>
            <w:vAlign w:val="center"/>
          </w:tcPr>
          <w:p w14:paraId="24CF6E6E">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0B73F95B">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3241DCCE">
            <w:pPr>
              <w:spacing w:after="0" w:line="240" w:lineRule="auto"/>
              <w:jc w:val="both"/>
              <w:rPr>
                <w:rFonts w:ascii="宋体" w:hAnsi="宋体" w:eastAsia="宋体" w:cs="宋体"/>
                <w:bCs/>
                <w:sz w:val="18"/>
                <w:szCs w:val="18"/>
                <w14:ligatures w14:val="none"/>
              </w:rPr>
            </w:pPr>
            <w:r>
              <w:rPr>
                <w:rFonts w:hint="eastAsia" w:ascii="宋体" w:hAnsi="宋体" w:eastAsia="宋体" w:cs="宋体"/>
                <w:bCs/>
                <w:color w:val="auto"/>
                <w:sz w:val="18"/>
                <w:szCs w:val="18"/>
                <w14:ligatures w14:val="none"/>
              </w:rPr>
              <w:t>智能传播研究</w:t>
            </w:r>
          </w:p>
        </w:tc>
        <w:tc>
          <w:tcPr>
            <w:tcW w:w="1081" w:type="dxa"/>
            <w:shd w:val="clear" w:color="auto" w:fill="auto"/>
            <w:vAlign w:val="center"/>
          </w:tcPr>
          <w:p w14:paraId="2F823DEA">
            <w:pPr>
              <w:spacing w:after="0" w:line="240" w:lineRule="auto"/>
              <w:jc w:val="center"/>
              <w:rPr>
                <w:rFonts w:hint="default" w:ascii="Times New Roman" w:hAnsi="Times New Roman" w:eastAsia="宋体" w:cs="Times New Roman"/>
                <w:color w:val="auto"/>
                <w:kern w:val="2"/>
                <w:sz w:val="18"/>
                <w:szCs w:val="18"/>
                <w:lang w:val="en-US" w:eastAsia="zh-CN" w:bidi="ar-SA"/>
                <w14:ligatures w14:val="none"/>
              </w:rPr>
            </w:pPr>
            <w:r>
              <w:rPr>
                <w:rFonts w:hint="eastAsia" w:ascii="Times New Roman" w:hAnsi="Times New Roman" w:eastAsia="宋体" w:cs="Times New Roman"/>
                <w:color w:val="auto"/>
                <w:sz w:val="18"/>
                <w:szCs w:val="18"/>
                <w:lang w:val="en-US" w:eastAsia="zh-CN"/>
                <w14:ligatures w14:val="none"/>
              </w:rPr>
              <w:t>XS0203102</w:t>
            </w:r>
          </w:p>
        </w:tc>
        <w:tc>
          <w:tcPr>
            <w:tcW w:w="709" w:type="dxa"/>
            <w:vAlign w:val="center"/>
          </w:tcPr>
          <w:p w14:paraId="03CB4336">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43199334">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lang w:val="en-US" w:eastAsia="zh-CN"/>
                <w14:ligatures w14:val="none"/>
              </w:rPr>
              <w:t>2</w:t>
            </w:r>
          </w:p>
        </w:tc>
        <w:tc>
          <w:tcPr>
            <w:tcW w:w="1045" w:type="dxa"/>
            <w:vAlign w:val="center"/>
          </w:tcPr>
          <w:p w14:paraId="726AE35E">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671F8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66" w:hRule="atLeast"/>
          <w:jc w:val="center"/>
        </w:trPr>
        <w:tc>
          <w:tcPr>
            <w:tcW w:w="571" w:type="dxa"/>
            <w:vMerge w:val="continue"/>
            <w:vAlign w:val="center"/>
          </w:tcPr>
          <w:p w14:paraId="211D2525">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14F7936D">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1CDA43C5">
            <w:pPr>
              <w:spacing w:after="0" w:line="240" w:lineRule="auto"/>
              <w:jc w:val="both"/>
              <w:rPr>
                <w:rFonts w:ascii="宋体" w:hAnsi="宋体" w:eastAsia="宋体" w:cs="宋体"/>
                <w:bCs/>
                <w:sz w:val="18"/>
                <w:szCs w:val="18"/>
                <w14:ligatures w14:val="none"/>
              </w:rPr>
            </w:pPr>
            <w:r>
              <w:rPr>
                <w:rFonts w:hint="eastAsia" w:ascii="宋体" w:hAnsi="宋体" w:eastAsia="宋体" w:cs="宋体"/>
                <w:bCs/>
                <w:color w:val="auto"/>
                <w:sz w:val="18"/>
                <w:szCs w:val="18"/>
                <w14:ligatures w14:val="none"/>
              </w:rPr>
              <w:t>中国传播思想史研究</w:t>
            </w:r>
          </w:p>
        </w:tc>
        <w:tc>
          <w:tcPr>
            <w:tcW w:w="1081" w:type="dxa"/>
            <w:shd w:val="clear" w:color="auto" w:fill="auto"/>
            <w:vAlign w:val="center"/>
          </w:tcPr>
          <w:p w14:paraId="2FC3211B">
            <w:pPr>
              <w:spacing w:after="0" w:line="240" w:lineRule="auto"/>
              <w:jc w:val="center"/>
              <w:rPr>
                <w:rFonts w:hint="default" w:ascii="Times New Roman" w:hAnsi="Times New Roman" w:eastAsia="宋体" w:cs="Times New Roman"/>
                <w:color w:val="auto"/>
                <w:kern w:val="2"/>
                <w:sz w:val="18"/>
                <w:szCs w:val="18"/>
                <w:lang w:val="en-US" w:eastAsia="zh-CN" w:bidi="ar-SA"/>
                <w14:ligatures w14:val="none"/>
              </w:rPr>
            </w:pPr>
            <w:r>
              <w:rPr>
                <w:rFonts w:hint="eastAsia" w:ascii="Times New Roman" w:hAnsi="Times New Roman" w:eastAsia="宋体" w:cs="Times New Roman"/>
                <w:color w:val="auto"/>
                <w:sz w:val="18"/>
                <w:szCs w:val="18"/>
                <w:lang w:val="en-US" w:eastAsia="zh-CN"/>
                <w14:ligatures w14:val="none"/>
              </w:rPr>
              <w:t>XS0205111</w:t>
            </w:r>
          </w:p>
        </w:tc>
        <w:tc>
          <w:tcPr>
            <w:tcW w:w="709" w:type="dxa"/>
            <w:vAlign w:val="center"/>
          </w:tcPr>
          <w:p w14:paraId="36B34603">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6A8E92A4">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lang w:val="en-US" w:eastAsia="zh-CN"/>
                <w14:ligatures w14:val="none"/>
              </w:rPr>
              <w:t>2</w:t>
            </w:r>
          </w:p>
        </w:tc>
        <w:tc>
          <w:tcPr>
            <w:tcW w:w="1045" w:type="dxa"/>
            <w:vAlign w:val="center"/>
          </w:tcPr>
          <w:p w14:paraId="3ABE216C">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考查</w:t>
            </w:r>
          </w:p>
        </w:tc>
      </w:tr>
      <w:tr w14:paraId="324051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2" w:hRule="atLeast"/>
          <w:jc w:val="center"/>
        </w:trPr>
        <w:tc>
          <w:tcPr>
            <w:tcW w:w="571" w:type="dxa"/>
            <w:vMerge w:val="continue"/>
            <w:vAlign w:val="center"/>
          </w:tcPr>
          <w:p w14:paraId="783D0502">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23869C6C">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1697B20B">
            <w:pPr>
              <w:spacing w:after="0" w:line="240" w:lineRule="auto"/>
              <w:jc w:val="both"/>
              <w:rPr>
                <w:rFonts w:hint="eastAsia" w:ascii="宋体" w:hAnsi="宋体" w:eastAsia="宋体" w:cs="宋体"/>
                <w:bCs/>
                <w:sz w:val="18"/>
                <w:szCs w:val="18"/>
                <w:lang w:eastAsia="zh-CN"/>
                <w14:ligatures w14:val="none"/>
              </w:rPr>
            </w:pPr>
            <w:r>
              <w:rPr>
                <w:rFonts w:hint="eastAsia" w:ascii="宋体" w:hAnsi="宋体" w:eastAsia="宋体" w:cs="宋体"/>
                <w:b w:val="0"/>
                <w:bCs/>
                <w:color w:val="auto"/>
                <w:sz w:val="18"/>
                <w:szCs w:val="18"/>
                <w:lang w:val="en-US" w:eastAsia="zh-CN"/>
                <w14:ligatures w14:val="none"/>
              </w:rPr>
              <w:t>新媒体运营研究</w:t>
            </w:r>
          </w:p>
        </w:tc>
        <w:tc>
          <w:tcPr>
            <w:tcW w:w="1081" w:type="dxa"/>
            <w:shd w:val="clear" w:color="auto" w:fill="auto"/>
            <w:vAlign w:val="center"/>
          </w:tcPr>
          <w:p w14:paraId="30210FC8">
            <w:pPr>
              <w:spacing w:after="0" w:line="240" w:lineRule="auto"/>
              <w:jc w:val="center"/>
              <w:rPr>
                <w:rFonts w:ascii="Times New Roman" w:hAnsi="Times New Roman" w:eastAsia="宋体" w:cs="Times New Roman"/>
                <w:color w:val="auto"/>
                <w:kern w:val="2"/>
                <w:sz w:val="18"/>
                <w:szCs w:val="18"/>
                <w:lang w:val="en-US" w:eastAsia="zh-CN" w:bidi="ar-SA"/>
                <w14:ligatures w14:val="none"/>
              </w:rPr>
            </w:pPr>
            <w:r>
              <w:rPr>
                <w:rFonts w:hint="eastAsia" w:ascii="Times New Roman" w:hAnsi="Times New Roman" w:eastAsia="宋体" w:cs="Times New Roman"/>
                <w:color w:val="auto"/>
                <w:sz w:val="18"/>
                <w:szCs w:val="18"/>
                <w:lang w:val="en-US" w:eastAsia="zh-CN"/>
                <w14:ligatures w14:val="none"/>
              </w:rPr>
              <w:t>XS0203107</w:t>
            </w:r>
          </w:p>
        </w:tc>
        <w:tc>
          <w:tcPr>
            <w:tcW w:w="709" w:type="dxa"/>
            <w:vAlign w:val="center"/>
          </w:tcPr>
          <w:p w14:paraId="7F01E042">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p>
        </w:tc>
        <w:tc>
          <w:tcPr>
            <w:tcW w:w="709" w:type="dxa"/>
            <w:vAlign w:val="center"/>
          </w:tcPr>
          <w:p w14:paraId="74251696">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lang w:val="en-US" w:eastAsia="zh-CN"/>
                <w14:ligatures w14:val="none"/>
              </w:rPr>
              <w:t>2</w:t>
            </w:r>
          </w:p>
        </w:tc>
        <w:tc>
          <w:tcPr>
            <w:tcW w:w="1045" w:type="dxa"/>
            <w:vAlign w:val="center"/>
          </w:tcPr>
          <w:p w14:paraId="0630DC51">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color w:val="000000"/>
                <w:sz w:val="18"/>
                <w:szCs w:val="18"/>
                <w14:ligatures w14:val="none"/>
              </w:rPr>
              <w:t>考查</w:t>
            </w:r>
          </w:p>
        </w:tc>
      </w:tr>
      <w:tr w14:paraId="28F025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6" w:hRule="atLeast"/>
          <w:jc w:val="center"/>
        </w:trPr>
        <w:tc>
          <w:tcPr>
            <w:tcW w:w="571" w:type="dxa"/>
            <w:vMerge w:val="continue"/>
            <w:vAlign w:val="center"/>
          </w:tcPr>
          <w:p w14:paraId="3D4567D1">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vAlign w:val="center"/>
          </w:tcPr>
          <w:p w14:paraId="22581EFE">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71884C78">
            <w:pPr>
              <w:spacing w:after="0" w:line="240" w:lineRule="auto"/>
              <w:jc w:val="both"/>
              <w:rPr>
                <w:rFonts w:hint="eastAsia" w:ascii="宋体" w:hAnsi="宋体" w:eastAsia="宋体" w:cs="宋体"/>
                <w:bCs/>
                <w:sz w:val="18"/>
                <w:szCs w:val="18"/>
                <w:lang w:eastAsia="zh-CN"/>
                <w14:ligatures w14:val="none"/>
              </w:rPr>
            </w:pPr>
            <w:r>
              <w:rPr>
                <w:rFonts w:hint="eastAsia" w:ascii="宋体" w:hAnsi="宋体" w:eastAsia="宋体" w:cs="宋体"/>
                <w:bCs/>
                <w:color w:val="auto"/>
                <w:sz w:val="18"/>
                <w:szCs w:val="18"/>
                <w14:ligatures w14:val="none"/>
              </w:rPr>
              <w:t>视觉传播经典文献选读</w:t>
            </w:r>
          </w:p>
        </w:tc>
        <w:tc>
          <w:tcPr>
            <w:tcW w:w="1081" w:type="dxa"/>
            <w:vAlign w:val="center"/>
          </w:tcPr>
          <w:p w14:paraId="28182AC9">
            <w:pPr>
              <w:spacing w:after="0" w:line="240" w:lineRule="auto"/>
              <w:jc w:val="center"/>
              <w:rPr>
                <w:rFonts w:ascii="Times New Roman" w:hAnsi="Times New Roman" w:eastAsia="宋体" w:cs="Times New Roman"/>
                <w:color w:val="auto"/>
                <w:sz w:val="18"/>
                <w:szCs w:val="18"/>
                <w14:ligatures w14:val="none"/>
              </w:rPr>
            </w:pPr>
            <w:r>
              <w:rPr>
                <w:rFonts w:hint="eastAsia" w:ascii="Times New Roman" w:hAnsi="Times New Roman" w:eastAsia="宋体" w:cs="Times New Roman"/>
                <w:color w:val="auto"/>
                <w:sz w:val="18"/>
                <w:szCs w:val="18"/>
                <w:lang w:val="en-US" w:eastAsia="zh-CN"/>
                <w14:ligatures w14:val="none"/>
              </w:rPr>
              <w:t>XS0205116</w:t>
            </w:r>
          </w:p>
        </w:tc>
        <w:tc>
          <w:tcPr>
            <w:tcW w:w="709" w:type="dxa"/>
            <w:vAlign w:val="center"/>
          </w:tcPr>
          <w:p w14:paraId="27CF418D">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2</w:t>
            </w:r>
            <w:bookmarkStart w:id="2" w:name="_GoBack"/>
            <w:bookmarkEnd w:id="2"/>
          </w:p>
        </w:tc>
        <w:tc>
          <w:tcPr>
            <w:tcW w:w="709" w:type="dxa"/>
            <w:vAlign w:val="center"/>
          </w:tcPr>
          <w:p w14:paraId="043E3A59">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lang w:val="en-US" w:eastAsia="zh-CN"/>
                <w14:ligatures w14:val="none"/>
              </w:rPr>
              <w:t>2</w:t>
            </w:r>
          </w:p>
        </w:tc>
        <w:tc>
          <w:tcPr>
            <w:tcW w:w="1045" w:type="dxa"/>
            <w:vAlign w:val="center"/>
          </w:tcPr>
          <w:p w14:paraId="05FC1F08">
            <w:pPr>
              <w:spacing w:after="0" w:line="240" w:lineRule="auto"/>
              <w:jc w:val="center"/>
              <w:rPr>
                <w:rFonts w:ascii="Times New Roman" w:hAnsi="Times New Roman" w:eastAsia="宋体" w:cs="Times New Roman"/>
                <w:color w:val="000000"/>
                <w:sz w:val="18"/>
                <w:szCs w:val="18"/>
                <w14:ligatures w14:val="none"/>
              </w:rPr>
            </w:pPr>
            <w:r>
              <w:rPr>
                <w:rFonts w:hint="eastAsia" w:ascii="Times New Roman" w:hAnsi="Times New Roman" w:eastAsia="宋体" w:cs="Times New Roman"/>
                <w:sz w:val="18"/>
                <w:szCs w:val="18"/>
                <w14:ligatures w14:val="none"/>
              </w:rPr>
              <w:t>考查</w:t>
            </w:r>
          </w:p>
        </w:tc>
      </w:tr>
      <w:tr w14:paraId="5F875B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2" w:hRule="atLeast"/>
          <w:jc w:val="center"/>
        </w:trPr>
        <w:tc>
          <w:tcPr>
            <w:tcW w:w="571" w:type="dxa"/>
            <w:vMerge w:val="restart"/>
            <w:vAlign w:val="center"/>
          </w:tcPr>
          <w:p w14:paraId="79A453A5">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必修环节</w:t>
            </w:r>
          </w:p>
          <w:p w14:paraId="708A171D">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tcBorders>
              <w:top w:val="single" w:color="000000" w:sz="4" w:space="0"/>
              <w:bottom w:val="single" w:color="000000" w:sz="4" w:space="0"/>
            </w:tcBorders>
            <w:vAlign w:val="center"/>
          </w:tcPr>
          <w:p w14:paraId="168B9C81">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素质拓展</w:t>
            </w:r>
          </w:p>
        </w:tc>
        <w:tc>
          <w:tcPr>
            <w:tcW w:w="3516" w:type="dxa"/>
            <w:vAlign w:val="center"/>
          </w:tcPr>
          <w:p w14:paraId="0942F775">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入学教育</w:t>
            </w:r>
          </w:p>
        </w:tc>
        <w:tc>
          <w:tcPr>
            <w:tcW w:w="1081" w:type="dxa"/>
            <w:vAlign w:val="center"/>
          </w:tcPr>
          <w:p w14:paraId="29EAF4D9">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7442973A">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10C276C1">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1</w:t>
            </w:r>
          </w:p>
        </w:tc>
        <w:tc>
          <w:tcPr>
            <w:tcW w:w="1045" w:type="dxa"/>
            <w:vMerge w:val="restart"/>
            <w:vAlign w:val="center"/>
          </w:tcPr>
          <w:p w14:paraId="1D7828CC">
            <w:pPr>
              <w:spacing w:after="0" w:line="240" w:lineRule="auto"/>
              <w:jc w:val="center"/>
              <w:rPr>
                <w:rFonts w:ascii="Times New Roman" w:hAnsi="Times New Roman" w:eastAsia="宋体" w:cs="Times New Roman"/>
                <w:i/>
                <w:color w:val="FF0000"/>
                <w:sz w:val="18"/>
                <w:szCs w:val="18"/>
                <w14:ligatures w14:val="none"/>
              </w:rPr>
            </w:pPr>
          </w:p>
        </w:tc>
      </w:tr>
      <w:tr w14:paraId="7ADDAD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2" w:hRule="atLeast"/>
          <w:jc w:val="center"/>
        </w:trPr>
        <w:tc>
          <w:tcPr>
            <w:tcW w:w="571" w:type="dxa"/>
            <w:vMerge w:val="continue"/>
            <w:vAlign w:val="center"/>
          </w:tcPr>
          <w:p w14:paraId="31337B4D">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tcBorders>
              <w:top w:val="single" w:color="000000" w:sz="4" w:space="0"/>
              <w:bottom w:val="single" w:color="000000" w:sz="4" w:space="0"/>
            </w:tcBorders>
            <w:vAlign w:val="center"/>
          </w:tcPr>
          <w:p w14:paraId="6496DB81">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238C4E8C">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学术活动</w:t>
            </w:r>
          </w:p>
        </w:tc>
        <w:tc>
          <w:tcPr>
            <w:tcW w:w="1081" w:type="dxa"/>
            <w:vAlign w:val="center"/>
          </w:tcPr>
          <w:p w14:paraId="1D8852BB">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45C02574">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1</w:t>
            </w:r>
          </w:p>
        </w:tc>
        <w:tc>
          <w:tcPr>
            <w:tcW w:w="709" w:type="dxa"/>
            <w:vAlign w:val="center"/>
          </w:tcPr>
          <w:p w14:paraId="50242513">
            <w:pPr>
              <w:spacing w:after="0" w:line="240" w:lineRule="auto"/>
              <w:jc w:val="center"/>
              <w:rPr>
                <w:rFonts w:ascii="Times New Roman" w:hAnsi="Times New Roman" w:eastAsia="宋体" w:cs="Times New Roman"/>
                <w:color w:val="000000"/>
                <w:sz w:val="18"/>
                <w:szCs w:val="18"/>
                <w14:ligatures w14:val="none"/>
              </w:rPr>
            </w:pPr>
          </w:p>
        </w:tc>
        <w:tc>
          <w:tcPr>
            <w:tcW w:w="1045" w:type="dxa"/>
            <w:vMerge w:val="continue"/>
            <w:vAlign w:val="center"/>
          </w:tcPr>
          <w:p w14:paraId="54AA11A0">
            <w:pPr>
              <w:spacing w:after="0" w:line="240" w:lineRule="auto"/>
              <w:jc w:val="center"/>
              <w:rPr>
                <w:rFonts w:ascii="Times New Roman" w:hAnsi="Times New Roman" w:eastAsia="宋体" w:cs="Times New Roman"/>
                <w:color w:val="000000"/>
                <w:sz w:val="18"/>
                <w:szCs w:val="18"/>
                <w14:ligatures w14:val="none"/>
              </w:rPr>
            </w:pPr>
          </w:p>
        </w:tc>
      </w:tr>
      <w:tr w14:paraId="2F2285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9" w:hRule="atLeast"/>
          <w:jc w:val="center"/>
        </w:trPr>
        <w:tc>
          <w:tcPr>
            <w:tcW w:w="571" w:type="dxa"/>
            <w:vMerge w:val="continue"/>
            <w:vAlign w:val="center"/>
          </w:tcPr>
          <w:p w14:paraId="59632E27">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continue"/>
            <w:tcBorders>
              <w:top w:val="single" w:color="000000" w:sz="4" w:space="0"/>
              <w:bottom w:val="single" w:color="000000" w:sz="4" w:space="0"/>
            </w:tcBorders>
            <w:vAlign w:val="center"/>
          </w:tcPr>
          <w:p w14:paraId="37FC8A4E">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3E2BADC1">
            <w:pPr>
              <w:adjustRightInd w:val="0"/>
              <w:snapToGrid w:val="0"/>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竞赛活动</w:t>
            </w:r>
          </w:p>
        </w:tc>
        <w:tc>
          <w:tcPr>
            <w:tcW w:w="1081" w:type="dxa"/>
            <w:vAlign w:val="center"/>
          </w:tcPr>
          <w:p w14:paraId="3C4436B7">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3F462497">
            <w:pPr>
              <w:spacing w:after="0" w:line="240" w:lineRule="auto"/>
              <w:jc w:val="center"/>
              <w:rPr>
                <w:rFonts w:ascii="Times New Roman" w:hAnsi="Times New Roman" w:eastAsia="宋体" w:cs="Times New Roman"/>
                <w:color w:val="FF0000"/>
                <w:sz w:val="18"/>
                <w:szCs w:val="18"/>
                <w14:ligatures w14:val="none"/>
              </w:rPr>
            </w:pPr>
            <w:r>
              <w:rPr>
                <w:rFonts w:hint="eastAsia" w:ascii="Times New Roman" w:hAnsi="Times New Roman" w:eastAsia="宋体" w:cs="Times New Roman"/>
                <w:color w:val="000000"/>
                <w:sz w:val="18"/>
                <w:szCs w:val="18"/>
                <w14:ligatures w14:val="none"/>
              </w:rPr>
              <w:t>1</w:t>
            </w:r>
          </w:p>
        </w:tc>
        <w:tc>
          <w:tcPr>
            <w:tcW w:w="709" w:type="dxa"/>
            <w:vAlign w:val="center"/>
          </w:tcPr>
          <w:p w14:paraId="1FDCED96">
            <w:pPr>
              <w:spacing w:after="0" w:line="240" w:lineRule="auto"/>
              <w:jc w:val="center"/>
              <w:rPr>
                <w:rFonts w:ascii="Times New Roman" w:hAnsi="Times New Roman" w:eastAsia="宋体" w:cs="Times New Roman"/>
                <w:color w:val="000000"/>
                <w:sz w:val="18"/>
                <w:szCs w:val="18"/>
                <w14:ligatures w14:val="none"/>
              </w:rPr>
            </w:pPr>
          </w:p>
        </w:tc>
        <w:tc>
          <w:tcPr>
            <w:tcW w:w="1045" w:type="dxa"/>
            <w:vMerge w:val="continue"/>
            <w:vAlign w:val="center"/>
          </w:tcPr>
          <w:p w14:paraId="427DCF67">
            <w:pPr>
              <w:spacing w:after="0" w:line="240" w:lineRule="auto"/>
              <w:jc w:val="center"/>
              <w:rPr>
                <w:rFonts w:ascii="Times New Roman" w:hAnsi="Times New Roman" w:eastAsia="宋体" w:cs="Times New Roman"/>
                <w:color w:val="000000"/>
                <w:sz w:val="18"/>
                <w:szCs w:val="18"/>
                <w14:ligatures w14:val="none"/>
              </w:rPr>
            </w:pPr>
          </w:p>
        </w:tc>
      </w:tr>
      <w:tr w14:paraId="6620B0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44" w:hRule="atLeast"/>
          <w:jc w:val="center"/>
        </w:trPr>
        <w:tc>
          <w:tcPr>
            <w:tcW w:w="571" w:type="dxa"/>
            <w:vMerge w:val="continue"/>
            <w:vAlign w:val="center"/>
          </w:tcPr>
          <w:p w14:paraId="62C4A524">
            <w:pPr>
              <w:spacing w:after="0" w:line="240" w:lineRule="auto"/>
              <w:jc w:val="center"/>
              <w:rPr>
                <w:rFonts w:ascii="Times New Roman" w:hAnsi="Times New Roman" w:eastAsia="宋体" w:cs="Times New Roman"/>
                <w:b/>
                <w:color w:val="000000"/>
                <w:sz w:val="18"/>
                <w:szCs w:val="18"/>
                <w14:ligatures w14:val="none"/>
              </w:rPr>
            </w:pPr>
          </w:p>
        </w:tc>
        <w:tc>
          <w:tcPr>
            <w:tcW w:w="1226" w:type="dxa"/>
            <w:vMerge w:val="restart"/>
            <w:tcBorders>
              <w:top w:val="single" w:color="000000" w:sz="4" w:space="0"/>
              <w:bottom w:val="single" w:color="000000" w:sz="12" w:space="0"/>
            </w:tcBorders>
            <w:vAlign w:val="center"/>
          </w:tcPr>
          <w:p w14:paraId="4904065B">
            <w:pPr>
              <w:spacing w:after="0" w:line="240" w:lineRule="auto"/>
              <w:jc w:val="center"/>
              <w:rPr>
                <w:rFonts w:ascii="Times New Roman" w:hAnsi="Times New Roman" w:eastAsia="宋体" w:cs="Times New Roman"/>
                <w:b/>
                <w:color w:val="000000"/>
                <w:sz w:val="18"/>
                <w:szCs w:val="18"/>
                <w14:ligatures w14:val="none"/>
              </w:rPr>
            </w:pPr>
            <w:r>
              <w:rPr>
                <w:rFonts w:ascii="Times New Roman" w:hAnsi="Times New Roman" w:eastAsia="宋体" w:cs="Times New Roman"/>
                <w:b/>
                <w:color w:val="000000"/>
                <w:sz w:val="18"/>
                <w:szCs w:val="18"/>
                <w14:ligatures w14:val="none"/>
              </w:rPr>
              <w:t>学术训练</w:t>
            </w:r>
          </w:p>
        </w:tc>
        <w:tc>
          <w:tcPr>
            <w:tcW w:w="3516" w:type="dxa"/>
            <w:vAlign w:val="center"/>
          </w:tcPr>
          <w:p w14:paraId="3DC09DFF">
            <w:pPr>
              <w:adjustRightInd w:val="0"/>
              <w:snapToGrid w:val="0"/>
              <w:spacing w:after="0" w:line="240" w:lineRule="auto"/>
              <w:jc w:val="both"/>
              <w:rPr>
                <w:rFonts w:hint="default" w:ascii="Times New Roman" w:hAnsi="Times New Roman" w:eastAsia="宋体" w:cs="Times New Roman"/>
                <w:color w:val="000000"/>
                <w:sz w:val="18"/>
                <w:szCs w:val="18"/>
                <w:highlight w:val="none"/>
                <w:lang w:val="en-US" w:eastAsia="zh-CN"/>
                <w14:ligatures w14:val="none"/>
              </w:rPr>
            </w:pPr>
            <w:r>
              <w:rPr>
                <w:rFonts w:hint="eastAsia" w:ascii="Times New Roman" w:hAnsi="Times New Roman" w:eastAsia="宋体" w:cs="Times New Roman"/>
                <w:color w:val="000000"/>
                <w:sz w:val="18"/>
                <w:szCs w:val="18"/>
                <w:highlight w:val="none"/>
                <w:lang w:val="en-US" w:eastAsia="zh-CN"/>
                <w14:ligatures w14:val="none"/>
              </w:rPr>
              <w:t>学术组会</w:t>
            </w:r>
          </w:p>
        </w:tc>
        <w:tc>
          <w:tcPr>
            <w:tcW w:w="1081" w:type="dxa"/>
            <w:vAlign w:val="center"/>
          </w:tcPr>
          <w:p w14:paraId="75C3B9BE">
            <w:pPr>
              <w:spacing w:after="0" w:line="240" w:lineRule="auto"/>
              <w:jc w:val="center"/>
              <w:rPr>
                <w:rFonts w:ascii="Times New Roman" w:hAnsi="Times New Roman" w:eastAsia="宋体" w:cs="Times New Roman"/>
                <w:color w:val="000000"/>
                <w:sz w:val="18"/>
                <w:szCs w:val="18"/>
                <w:highlight w:val="none"/>
                <w14:ligatures w14:val="none"/>
              </w:rPr>
            </w:pPr>
          </w:p>
        </w:tc>
        <w:tc>
          <w:tcPr>
            <w:tcW w:w="709" w:type="dxa"/>
            <w:vAlign w:val="center"/>
          </w:tcPr>
          <w:p w14:paraId="53E5519A">
            <w:pPr>
              <w:spacing w:after="0" w:line="240" w:lineRule="auto"/>
              <w:jc w:val="center"/>
              <w:rPr>
                <w:rFonts w:hint="eastAsia" w:ascii="Times New Roman" w:hAnsi="Times New Roman" w:eastAsia="宋体" w:cs="Times New Roman"/>
                <w:color w:val="000000"/>
                <w:sz w:val="18"/>
                <w:szCs w:val="18"/>
                <w:highlight w:val="none"/>
                <w14:ligatures w14:val="none"/>
              </w:rPr>
            </w:pPr>
          </w:p>
        </w:tc>
        <w:tc>
          <w:tcPr>
            <w:tcW w:w="709" w:type="dxa"/>
            <w:vAlign w:val="center"/>
          </w:tcPr>
          <w:p w14:paraId="6CA78360">
            <w:pPr>
              <w:spacing w:after="0" w:line="240" w:lineRule="auto"/>
              <w:jc w:val="center"/>
              <w:rPr>
                <w:rFonts w:hint="eastAsia" w:ascii="Times New Roman" w:hAnsi="Times New Roman" w:eastAsia="宋体" w:cs="Times New Roman"/>
                <w:color w:val="000000"/>
                <w:sz w:val="18"/>
                <w:szCs w:val="18"/>
                <w:highlight w:val="none"/>
                <w:lang w:val="en-US" w:eastAsia="zh-CN"/>
                <w14:ligatures w14:val="none"/>
              </w:rPr>
            </w:pPr>
            <w:r>
              <w:rPr>
                <w:rFonts w:hint="eastAsia" w:ascii="Times New Roman" w:hAnsi="Times New Roman" w:eastAsia="宋体" w:cs="Times New Roman"/>
                <w:color w:val="000000"/>
                <w:sz w:val="18"/>
                <w:szCs w:val="18"/>
                <w:highlight w:val="none"/>
                <w:lang w:val="en-US" w:eastAsia="zh-CN"/>
                <w14:ligatures w14:val="none"/>
              </w:rPr>
              <w:t>3</w:t>
            </w:r>
          </w:p>
        </w:tc>
        <w:tc>
          <w:tcPr>
            <w:tcW w:w="1045" w:type="dxa"/>
            <w:vAlign w:val="center"/>
          </w:tcPr>
          <w:p w14:paraId="508C82F1">
            <w:pPr>
              <w:spacing w:after="0" w:line="240" w:lineRule="auto"/>
              <w:jc w:val="center"/>
              <w:rPr>
                <w:rFonts w:hint="default"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每月不少于2次</w:t>
            </w:r>
          </w:p>
        </w:tc>
      </w:tr>
      <w:tr w14:paraId="1C80A8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57" w:hRule="atLeast"/>
          <w:jc w:val="center"/>
        </w:trPr>
        <w:tc>
          <w:tcPr>
            <w:tcW w:w="571" w:type="dxa"/>
            <w:vMerge w:val="continue"/>
          </w:tcPr>
          <w:p w14:paraId="4F48370E">
            <w:pPr>
              <w:spacing w:after="0" w:line="240" w:lineRule="auto"/>
              <w:jc w:val="both"/>
              <w:rPr>
                <w:rFonts w:ascii="Times New Roman" w:hAnsi="Times New Roman" w:eastAsia="宋体" w:cs="Times New Roman"/>
                <w:b/>
                <w:color w:val="000000"/>
                <w:sz w:val="18"/>
                <w:szCs w:val="18"/>
                <w14:ligatures w14:val="none"/>
              </w:rPr>
            </w:pPr>
          </w:p>
        </w:tc>
        <w:tc>
          <w:tcPr>
            <w:tcW w:w="1226" w:type="dxa"/>
            <w:vMerge w:val="continue"/>
            <w:tcBorders>
              <w:top w:val="single" w:color="000000" w:sz="12" w:space="0"/>
              <w:bottom w:val="single" w:color="000000" w:sz="12" w:space="0"/>
            </w:tcBorders>
            <w:vAlign w:val="center"/>
          </w:tcPr>
          <w:p w14:paraId="07E16F37">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098D2ED1">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中期筛选</w:t>
            </w:r>
          </w:p>
        </w:tc>
        <w:tc>
          <w:tcPr>
            <w:tcW w:w="1081" w:type="dxa"/>
            <w:vAlign w:val="center"/>
          </w:tcPr>
          <w:p w14:paraId="3C1809F0">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00BDA0D5">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4B1CC971">
            <w:pPr>
              <w:spacing w:after="0" w:line="240" w:lineRule="auto"/>
              <w:jc w:val="center"/>
              <w:rPr>
                <w:rFonts w:hint="eastAsia" w:ascii="Times New Roman" w:hAnsi="Times New Roman" w:eastAsia="宋体" w:cs="Times New Roman"/>
                <w:color w:val="000000"/>
                <w:sz w:val="18"/>
                <w:szCs w:val="18"/>
                <w:lang w:eastAsia="zh-CN"/>
                <w14:ligatures w14:val="none"/>
              </w:rPr>
            </w:pPr>
            <w:r>
              <w:rPr>
                <w:rFonts w:hint="eastAsia" w:ascii="Times New Roman" w:hAnsi="Times New Roman" w:eastAsia="宋体" w:cs="Times New Roman"/>
                <w:color w:val="000000"/>
                <w:sz w:val="18"/>
                <w:szCs w:val="18"/>
                <w:lang w:val="en-US" w:eastAsia="zh-CN"/>
                <w14:ligatures w14:val="none"/>
              </w:rPr>
              <w:t>3</w:t>
            </w:r>
          </w:p>
        </w:tc>
        <w:tc>
          <w:tcPr>
            <w:tcW w:w="1045" w:type="dxa"/>
            <w:vMerge w:val="restart"/>
            <w:vAlign w:val="center"/>
          </w:tcPr>
          <w:p w14:paraId="53A9380B">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过程管理</w:t>
            </w:r>
          </w:p>
          <w:p w14:paraId="407333C3">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无学分</w:t>
            </w:r>
          </w:p>
        </w:tc>
      </w:tr>
      <w:tr w14:paraId="77CC01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97" w:hRule="atLeast"/>
          <w:jc w:val="center"/>
        </w:trPr>
        <w:tc>
          <w:tcPr>
            <w:tcW w:w="571" w:type="dxa"/>
            <w:vMerge w:val="continue"/>
          </w:tcPr>
          <w:p w14:paraId="3E112693">
            <w:pPr>
              <w:spacing w:after="0" w:line="240" w:lineRule="auto"/>
              <w:jc w:val="both"/>
              <w:rPr>
                <w:rFonts w:ascii="Times New Roman" w:hAnsi="Times New Roman" w:eastAsia="宋体" w:cs="Times New Roman"/>
                <w:b/>
                <w:color w:val="000000"/>
                <w:sz w:val="18"/>
                <w:szCs w:val="18"/>
                <w14:ligatures w14:val="none"/>
              </w:rPr>
            </w:pPr>
          </w:p>
        </w:tc>
        <w:tc>
          <w:tcPr>
            <w:tcW w:w="1226" w:type="dxa"/>
            <w:vMerge w:val="continue"/>
            <w:tcBorders>
              <w:top w:val="single" w:color="000000" w:sz="12" w:space="0"/>
              <w:bottom w:val="single" w:color="000000" w:sz="12" w:space="0"/>
            </w:tcBorders>
            <w:vAlign w:val="center"/>
          </w:tcPr>
          <w:p w14:paraId="4A9C20CF">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2B80C411">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论文开题</w:t>
            </w:r>
          </w:p>
        </w:tc>
        <w:tc>
          <w:tcPr>
            <w:tcW w:w="1081" w:type="dxa"/>
            <w:vAlign w:val="center"/>
          </w:tcPr>
          <w:p w14:paraId="1293C4D7">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08F1DED9">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125CF3BF">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3</w:t>
            </w:r>
          </w:p>
        </w:tc>
        <w:tc>
          <w:tcPr>
            <w:tcW w:w="1045" w:type="dxa"/>
            <w:vMerge w:val="continue"/>
            <w:vAlign w:val="center"/>
          </w:tcPr>
          <w:p w14:paraId="03A549F2">
            <w:pPr>
              <w:spacing w:after="0" w:line="240" w:lineRule="auto"/>
              <w:jc w:val="center"/>
              <w:rPr>
                <w:rFonts w:ascii="Times New Roman" w:hAnsi="Times New Roman" w:eastAsia="宋体" w:cs="Times New Roman"/>
                <w:color w:val="000000"/>
                <w:sz w:val="18"/>
                <w:szCs w:val="18"/>
                <w14:ligatures w14:val="none"/>
              </w:rPr>
            </w:pPr>
          </w:p>
        </w:tc>
      </w:tr>
      <w:tr w14:paraId="5A12F4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2FA5B26">
            <w:pPr>
              <w:spacing w:after="0" w:line="240" w:lineRule="auto"/>
              <w:jc w:val="both"/>
              <w:rPr>
                <w:rFonts w:ascii="Times New Roman" w:hAnsi="Times New Roman" w:eastAsia="宋体" w:cs="Times New Roman"/>
                <w:b/>
                <w:color w:val="000000"/>
                <w:sz w:val="18"/>
                <w:szCs w:val="18"/>
                <w14:ligatures w14:val="none"/>
              </w:rPr>
            </w:pPr>
          </w:p>
        </w:tc>
        <w:tc>
          <w:tcPr>
            <w:tcW w:w="1226" w:type="dxa"/>
            <w:vMerge w:val="continue"/>
            <w:tcBorders>
              <w:top w:val="single" w:color="000000" w:sz="12" w:space="0"/>
              <w:bottom w:val="single" w:color="000000" w:sz="12" w:space="0"/>
            </w:tcBorders>
            <w:vAlign w:val="center"/>
          </w:tcPr>
          <w:p w14:paraId="32D46EC4">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7C8D3C18">
            <w:pPr>
              <w:spacing w:after="0" w:line="240" w:lineRule="auto"/>
              <w:jc w:val="both"/>
              <w:rPr>
                <w:rFonts w:ascii="Times New Roman" w:hAnsi="Times New Roman" w:eastAsia="宋体" w:cs="Times New Roman"/>
                <w:sz w:val="18"/>
                <w:szCs w:val="18"/>
                <w14:ligatures w14:val="none"/>
              </w:rPr>
            </w:pPr>
            <w:r>
              <w:rPr>
                <w:rFonts w:ascii="Times New Roman" w:hAnsi="Times New Roman" w:eastAsia="宋体" w:cs="Times New Roman"/>
                <w:sz w:val="18"/>
                <w:szCs w:val="18"/>
                <w14:ligatures w14:val="none"/>
              </w:rPr>
              <w:t>论文中期进展报告</w:t>
            </w:r>
          </w:p>
        </w:tc>
        <w:tc>
          <w:tcPr>
            <w:tcW w:w="1081" w:type="dxa"/>
            <w:vAlign w:val="center"/>
          </w:tcPr>
          <w:p w14:paraId="3D85E50C">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18346B80">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5931A94A">
            <w:pPr>
              <w:spacing w:after="0" w:line="240" w:lineRule="auto"/>
              <w:jc w:val="center"/>
              <w:rPr>
                <w:rFonts w:hint="eastAsia"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5</w:t>
            </w:r>
          </w:p>
        </w:tc>
        <w:tc>
          <w:tcPr>
            <w:tcW w:w="1045" w:type="dxa"/>
            <w:vMerge w:val="continue"/>
          </w:tcPr>
          <w:p w14:paraId="6253BFD8">
            <w:pPr>
              <w:spacing w:after="0" w:line="240" w:lineRule="auto"/>
              <w:jc w:val="center"/>
              <w:rPr>
                <w:rFonts w:ascii="Times New Roman" w:hAnsi="Times New Roman" w:eastAsia="宋体" w:cs="Times New Roman"/>
                <w:color w:val="000000"/>
                <w:sz w:val="18"/>
                <w:szCs w:val="18"/>
                <w14:ligatures w14:val="none"/>
              </w:rPr>
            </w:pPr>
          </w:p>
        </w:tc>
      </w:tr>
      <w:tr w14:paraId="060083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165344">
            <w:pPr>
              <w:spacing w:after="0" w:line="240" w:lineRule="auto"/>
              <w:jc w:val="both"/>
              <w:rPr>
                <w:rFonts w:ascii="Times New Roman" w:hAnsi="Times New Roman" w:eastAsia="宋体" w:cs="Times New Roman"/>
                <w:b/>
                <w:color w:val="000000"/>
                <w:sz w:val="18"/>
                <w:szCs w:val="18"/>
                <w14:ligatures w14:val="none"/>
              </w:rPr>
            </w:pPr>
          </w:p>
        </w:tc>
        <w:tc>
          <w:tcPr>
            <w:tcW w:w="1226" w:type="dxa"/>
            <w:vMerge w:val="continue"/>
            <w:tcBorders>
              <w:top w:val="single" w:color="000000" w:sz="12" w:space="0"/>
              <w:bottom w:val="single" w:color="000000" w:sz="12" w:space="0"/>
            </w:tcBorders>
            <w:vAlign w:val="center"/>
          </w:tcPr>
          <w:p w14:paraId="4A6E4306">
            <w:pPr>
              <w:spacing w:after="0" w:line="240" w:lineRule="auto"/>
              <w:jc w:val="center"/>
              <w:rPr>
                <w:rFonts w:ascii="Times New Roman" w:hAnsi="Times New Roman" w:eastAsia="宋体" w:cs="Times New Roman"/>
                <w:b/>
                <w:color w:val="000000"/>
                <w:sz w:val="18"/>
                <w:szCs w:val="18"/>
                <w14:ligatures w14:val="none"/>
              </w:rPr>
            </w:pPr>
          </w:p>
        </w:tc>
        <w:tc>
          <w:tcPr>
            <w:tcW w:w="3516" w:type="dxa"/>
            <w:vAlign w:val="center"/>
          </w:tcPr>
          <w:p w14:paraId="43319A9C">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论文预答辩</w:t>
            </w:r>
          </w:p>
        </w:tc>
        <w:tc>
          <w:tcPr>
            <w:tcW w:w="1081" w:type="dxa"/>
            <w:vAlign w:val="center"/>
          </w:tcPr>
          <w:p w14:paraId="7EEF1584">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652CCF85">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552D0E17">
            <w:pPr>
              <w:spacing w:after="0" w:line="240" w:lineRule="auto"/>
              <w:jc w:val="center"/>
              <w:rPr>
                <w:rFonts w:hint="default" w:ascii="Times New Roman" w:hAnsi="Times New Roman" w:eastAsia="宋体" w:cs="Times New Roman"/>
                <w:color w:val="000000"/>
                <w:sz w:val="18"/>
                <w:szCs w:val="18"/>
                <w:lang w:val="en-US" w:eastAsia="zh-CN"/>
                <w14:ligatures w14:val="none"/>
              </w:rPr>
            </w:pPr>
            <w:r>
              <w:rPr>
                <w:rFonts w:hint="eastAsia" w:ascii="Times New Roman" w:hAnsi="Times New Roman" w:eastAsia="宋体" w:cs="Times New Roman"/>
                <w:color w:val="000000"/>
                <w:sz w:val="18"/>
                <w:szCs w:val="18"/>
                <w:lang w:val="en-US" w:eastAsia="zh-CN"/>
                <w14:ligatures w14:val="none"/>
              </w:rPr>
              <w:t>5-6</w:t>
            </w:r>
          </w:p>
        </w:tc>
        <w:tc>
          <w:tcPr>
            <w:tcW w:w="1045" w:type="dxa"/>
            <w:vMerge w:val="continue"/>
          </w:tcPr>
          <w:p w14:paraId="1FCB22A0">
            <w:pPr>
              <w:spacing w:after="0" w:line="240" w:lineRule="auto"/>
              <w:jc w:val="center"/>
              <w:rPr>
                <w:rFonts w:ascii="Times New Roman" w:hAnsi="Times New Roman" w:eastAsia="宋体" w:cs="Times New Roman"/>
                <w:color w:val="000000"/>
                <w:sz w:val="18"/>
                <w:szCs w:val="18"/>
                <w14:ligatures w14:val="none"/>
              </w:rPr>
            </w:pPr>
          </w:p>
        </w:tc>
      </w:tr>
      <w:tr w14:paraId="77D8BE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0554FB">
            <w:pPr>
              <w:spacing w:after="0" w:line="240" w:lineRule="auto"/>
              <w:jc w:val="both"/>
              <w:rPr>
                <w:rFonts w:ascii="Times New Roman" w:hAnsi="Times New Roman" w:eastAsia="宋体" w:cs="Times New Roman"/>
                <w:color w:val="000000"/>
                <w:sz w:val="18"/>
                <w:szCs w:val="18"/>
                <w14:ligatures w14:val="none"/>
              </w:rPr>
            </w:pPr>
          </w:p>
        </w:tc>
        <w:tc>
          <w:tcPr>
            <w:tcW w:w="1226" w:type="dxa"/>
            <w:vMerge w:val="continue"/>
            <w:tcBorders>
              <w:top w:val="single" w:color="000000" w:sz="12" w:space="0"/>
              <w:bottom w:val="single" w:color="000000" w:sz="12" w:space="0"/>
            </w:tcBorders>
          </w:tcPr>
          <w:p w14:paraId="00045F20">
            <w:pPr>
              <w:spacing w:after="0" w:line="240" w:lineRule="auto"/>
              <w:jc w:val="center"/>
              <w:rPr>
                <w:rFonts w:ascii="Times New Roman" w:hAnsi="Times New Roman" w:eastAsia="宋体" w:cs="Times New Roman"/>
                <w:color w:val="000000"/>
                <w:sz w:val="18"/>
                <w:szCs w:val="18"/>
                <w14:ligatures w14:val="none"/>
              </w:rPr>
            </w:pPr>
          </w:p>
        </w:tc>
        <w:tc>
          <w:tcPr>
            <w:tcW w:w="3516" w:type="dxa"/>
            <w:vAlign w:val="center"/>
          </w:tcPr>
          <w:p w14:paraId="3C02CF71">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论文评审</w:t>
            </w:r>
          </w:p>
        </w:tc>
        <w:tc>
          <w:tcPr>
            <w:tcW w:w="1081" w:type="dxa"/>
            <w:vAlign w:val="center"/>
          </w:tcPr>
          <w:p w14:paraId="4B3D0E08">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6A1AD21A">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7742F55B">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6</w:t>
            </w:r>
          </w:p>
        </w:tc>
        <w:tc>
          <w:tcPr>
            <w:tcW w:w="1045" w:type="dxa"/>
            <w:vMerge w:val="continue"/>
          </w:tcPr>
          <w:p w14:paraId="4DF92EE0">
            <w:pPr>
              <w:spacing w:after="0" w:line="240" w:lineRule="auto"/>
              <w:jc w:val="center"/>
              <w:rPr>
                <w:rFonts w:ascii="Times New Roman" w:hAnsi="Times New Roman" w:eastAsia="宋体" w:cs="Times New Roman"/>
                <w:color w:val="000000"/>
                <w:sz w:val="18"/>
                <w:szCs w:val="18"/>
                <w14:ligatures w14:val="none"/>
              </w:rPr>
            </w:pPr>
          </w:p>
        </w:tc>
      </w:tr>
      <w:tr w14:paraId="6D7DC1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75D9F7">
            <w:pPr>
              <w:spacing w:after="0" w:line="240" w:lineRule="auto"/>
              <w:jc w:val="both"/>
              <w:rPr>
                <w:rFonts w:ascii="Times New Roman" w:hAnsi="Times New Roman" w:eastAsia="宋体" w:cs="Times New Roman"/>
                <w:color w:val="000000"/>
                <w:sz w:val="18"/>
                <w:szCs w:val="18"/>
                <w14:ligatures w14:val="none"/>
              </w:rPr>
            </w:pPr>
          </w:p>
        </w:tc>
        <w:tc>
          <w:tcPr>
            <w:tcW w:w="1226" w:type="dxa"/>
            <w:vMerge w:val="continue"/>
            <w:tcBorders>
              <w:top w:val="single" w:color="000000" w:sz="12" w:space="0"/>
              <w:bottom w:val="single" w:color="000000" w:sz="12" w:space="0"/>
            </w:tcBorders>
          </w:tcPr>
          <w:p w14:paraId="0B33B3E6">
            <w:pPr>
              <w:spacing w:after="0" w:line="240" w:lineRule="auto"/>
              <w:jc w:val="center"/>
              <w:rPr>
                <w:rFonts w:ascii="Times New Roman" w:hAnsi="Times New Roman" w:eastAsia="宋体" w:cs="Times New Roman"/>
                <w:color w:val="000000"/>
                <w:sz w:val="18"/>
                <w:szCs w:val="18"/>
                <w14:ligatures w14:val="none"/>
              </w:rPr>
            </w:pPr>
          </w:p>
        </w:tc>
        <w:tc>
          <w:tcPr>
            <w:tcW w:w="3516" w:type="dxa"/>
            <w:vAlign w:val="center"/>
          </w:tcPr>
          <w:p w14:paraId="699C899D">
            <w:pPr>
              <w:spacing w:after="0" w:line="240" w:lineRule="auto"/>
              <w:jc w:val="both"/>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论文答辩</w:t>
            </w:r>
          </w:p>
        </w:tc>
        <w:tc>
          <w:tcPr>
            <w:tcW w:w="1081" w:type="dxa"/>
            <w:vAlign w:val="center"/>
          </w:tcPr>
          <w:p w14:paraId="0265D406">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12FC8D37">
            <w:pPr>
              <w:spacing w:after="0" w:line="240" w:lineRule="auto"/>
              <w:jc w:val="center"/>
              <w:rPr>
                <w:rFonts w:ascii="Times New Roman" w:hAnsi="Times New Roman" w:eastAsia="宋体" w:cs="Times New Roman"/>
                <w:color w:val="000000"/>
                <w:sz w:val="18"/>
                <w:szCs w:val="18"/>
                <w14:ligatures w14:val="none"/>
              </w:rPr>
            </w:pPr>
          </w:p>
        </w:tc>
        <w:tc>
          <w:tcPr>
            <w:tcW w:w="709" w:type="dxa"/>
            <w:vAlign w:val="center"/>
          </w:tcPr>
          <w:p w14:paraId="469F4830">
            <w:pPr>
              <w:spacing w:after="0" w:line="240" w:lineRule="auto"/>
              <w:jc w:val="center"/>
              <w:rPr>
                <w:rFonts w:ascii="Times New Roman" w:hAnsi="Times New Roman" w:eastAsia="宋体" w:cs="Times New Roman"/>
                <w:color w:val="000000"/>
                <w:sz w:val="18"/>
                <w:szCs w:val="18"/>
                <w14:ligatures w14:val="none"/>
              </w:rPr>
            </w:pPr>
            <w:r>
              <w:rPr>
                <w:rFonts w:ascii="Times New Roman" w:hAnsi="Times New Roman" w:eastAsia="宋体" w:cs="Times New Roman"/>
                <w:color w:val="000000"/>
                <w:sz w:val="18"/>
                <w:szCs w:val="18"/>
                <w14:ligatures w14:val="none"/>
              </w:rPr>
              <w:t>6</w:t>
            </w:r>
          </w:p>
        </w:tc>
        <w:tc>
          <w:tcPr>
            <w:tcW w:w="1045" w:type="dxa"/>
            <w:vMerge w:val="continue"/>
          </w:tcPr>
          <w:p w14:paraId="77547174">
            <w:pPr>
              <w:spacing w:after="0" w:line="240" w:lineRule="auto"/>
              <w:jc w:val="center"/>
              <w:rPr>
                <w:rFonts w:ascii="Times New Roman" w:hAnsi="Times New Roman" w:eastAsia="宋体" w:cs="Times New Roman"/>
                <w:color w:val="000000"/>
                <w:sz w:val="18"/>
                <w:szCs w:val="18"/>
                <w14:ligatures w14:val="none"/>
              </w:rPr>
            </w:pPr>
          </w:p>
        </w:tc>
      </w:tr>
    </w:tbl>
    <w:p w14:paraId="12921540">
      <w:pPr>
        <w:spacing w:line="360" w:lineRule="auto"/>
        <w:ind w:firstLine="480" w:firstLineChars="200"/>
        <w:rPr>
          <w:rFonts w:ascii="宋体" w:hAnsi="宋体" w:cs="宋体"/>
          <w:bCs/>
          <w:sz w:val="24"/>
        </w:rPr>
      </w:pPr>
      <w:r>
        <w:rPr>
          <w:rFonts w:hint="eastAsia" w:ascii="宋体" w:hAnsi="宋体" w:cs="宋体"/>
          <w:bCs/>
          <w:sz w:val="24"/>
        </w:rPr>
        <w:t>*公共外语课程按入学时的外国语考试科目修读相关语种。</w:t>
      </w:r>
    </w:p>
    <w:p w14:paraId="1332F478">
      <w:pPr>
        <w:spacing w:after="0" w:line="440" w:lineRule="exact"/>
        <w:ind w:firstLine="560" w:firstLineChars="200"/>
        <w:jc w:val="both"/>
        <w:rPr>
          <w:rFonts w:ascii="Times New Roman" w:hAnsi="Times New Roman" w:eastAsia="黑体" w:cs="Times New Roman"/>
          <w:bCs/>
          <w:sz w:val="28"/>
          <w:szCs w:val="28"/>
          <w14:ligatures w14:val="none"/>
        </w:rPr>
      </w:pPr>
      <w:r>
        <w:rPr>
          <w:rFonts w:ascii="Times New Roman" w:hAnsi="Times New Roman" w:eastAsia="黑体" w:cs="Times New Roman"/>
          <w:bCs/>
          <w:sz w:val="28"/>
          <w:szCs w:val="28"/>
          <w14:ligatures w14:val="none"/>
        </w:rPr>
        <w:t>十</w:t>
      </w:r>
      <w:r>
        <w:rPr>
          <w:rFonts w:hint="eastAsia" w:ascii="Times New Roman" w:hAnsi="Times New Roman" w:eastAsia="黑体" w:cs="Times New Roman"/>
          <w:bCs/>
          <w:sz w:val="28"/>
          <w:szCs w:val="28"/>
          <w14:ligatures w14:val="none"/>
        </w:rPr>
        <w:t>三</w:t>
      </w:r>
      <w:r>
        <w:rPr>
          <w:rFonts w:ascii="Times New Roman" w:hAnsi="Times New Roman" w:eastAsia="黑体" w:cs="Times New Roman"/>
          <w:bCs/>
          <w:sz w:val="28"/>
          <w:szCs w:val="28"/>
          <w14:ligatures w14:val="none"/>
        </w:rPr>
        <w:t>、其他需要说明事项</w:t>
      </w:r>
    </w:p>
    <w:p w14:paraId="28728DF5">
      <w:pPr>
        <w:spacing w:line="360" w:lineRule="auto"/>
        <w:ind w:firstLine="480" w:firstLineChars="200"/>
        <w:rPr>
          <w:rFonts w:hint="eastAsia" w:ascii="宋体" w:hAnsi="宋体" w:cs="宋体"/>
          <w:bCs/>
          <w:sz w:val="24"/>
        </w:rPr>
      </w:pPr>
      <w:r>
        <w:rPr>
          <w:rFonts w:hint="eastAsia" w:ascii="宋体" w:hAnsi="宋体" w:cs="宋体"/>
          <w:bCs/>
          <w:sz w:val="24"/>
        </w:rPr>
        <w:t xml:space="preserve"> 学生毕业总学分为：</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footerReference r:id="rId3" w:type="default"/>
      <w:pgSz w:w="11906" w:h="16838"/>
      <w:pgMar w:top="1417" w:right="1417" w:bottom="1247" w:left="141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7AB632">
    <w:pPr>
      <w:spacing w:line="208" w:lineRule="exact"/>
      <w:jc w:val="center"/>
      <w:rPr>
        <w:rFonts w:ascii="宋体" w:hAnsi="宋体" w:eastAsia="宋体" w:cs="宋体"/>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yMGIxMzJhZTdjYzM3ODQ3ZTJlYjU5MmNlZDFhNDUifQ=="/>
  </w:docVars>
  <w:rsids>
    <w:rsidRoot w:val="00E41013"/>
    <w:rsid w:val="000B4E06"/>
    <w:rsid w:val="001F6DD9"/>
    <w:rsid w:val="002A19A1"/>
    <w:rsid w:val="002C3489"/>
    <w:rsid w:val="002F4B33"/>
    <w:rsid w:val="00305718"/>
    <w:rsid w:val="003722CA"/>
    <w:rsid w:val="00435D3C"/>
    <w:rsid w:val="00452EEA"/>
    <w:rsid w:val="00471243"/>
    <w:rsid w:val="00517815"/>
    <w:rsid w:val="005337B4"/>
    <w:rsid w:val="00560C3E"/>
    <w:rsid w:val="005F5B99"/>
    <w:rsid w:val="00604A56"/>
    <w:rsid w:val="006D4336"/>
    <w:rsid w:val="007078C8"/>
    <w:rsid w:val="00734616"/>
    <w:rsid w:val="008229C9"/>
    <w:rsid w:val="00855944"/>
    <w:rsid w:val="008F7F34"/>
    <w:rsid w:val="00942F47"/>
    <w:rsid w:val="0096279B"/>
    <w:rsid w:val="009B4EBA"/>
    <w:rsid w:val="009C131D"/>
    <w:rsid w:val="00A60371"/>
    <w:rsid w:val="00AC6EE5"/>
    <w:rsid w:val="00AF403B"/>
    <w:rsid w:val="00B55641"/>
    <w:rsid w:val="00B569E7"/>
    <w:rsid w:val="00B65982"/>
    <w:rsid w:val="00BA6C29"/>
    <w:rsid w:val="00BE20BF"/>
    <w:rsid w:val="00C7242D"/>
    <w:rsid w:val="00C848D5"/>
    <w:rsid w:val="00CA6AFB"/>
    <w:rsid w:val="00CA6F88"/>
    <w:rsid w:val="00D25D36"/>
    <w:rsid w:val="00E33502"/>
    <w:rsid w:val="00E41013"/>
    <w:rsid w:val="00E42FFF"/>
    <w:rsid w:val="00EC353C"/>
    <w:rsid w:val="00ED53FC"/>
    <w:rsid w:val="00EF6E7F"/>
    <w:rsid w:val="00F71BB5"/>
    <w:rsid w:val="00F90A6C"/>
    <w:rsid w:val="00F977C1"/>
    <w:rsid w:val="00FA5BB4"/>
    <w:rsid w:val="00FF41E7"/>
    <w:rsid w:val="0196642A"/>
    <w:rsid w:val="024C4816"/>
    <w:rsid w:val="05CF2C83"/>
    <w:rsid w:val="072820D5"/>
    <w:rsid w:val="08A56A38"/>
    <w:rsid w:val="0CA50394"/>
    <w:rsid w:val="0CE846C8"/>
    <w:rsid w:val="0F0B7E3D"/>
    <w:rsid w:val="101C4C06"/>
    <w:rsid w:val="110828BD"/>
    <w:rsid w:val="12560910"/>
    <w:rsid w:val="12982A21"/>
    <w:rsid w:val="134250E1"/>
    <w:rsid w:val="13856E7F"/>
    <w:rsid w:val="15AF7010"/>
    <w:rsid w:val="169D3F03"/>
    <w:rsid w:val="182519B3"/>
    <w:rsid w:val="19803287"/>
    <w:rsid w:val="1A4801E2"/>
    <w:rsid w:val="1AB81B9E"/>
    <w:rsid w:val="1B277B17"/>
    <w:rsid w:val="1C7A6BC9"/>
    <w:rsid w:val="1E747BDC"/>
    <w:rsid w:val="1ECC5ACE"/>
    <w:rsid w:val="1F427263"/>
    <w:rsid w:val="1FD55B0C"/>
    <w:rsid w:val="212A68F7"/>
    <w:rsid w:val="220F68EE"/>
    <w:rsid w:val="22DA2E5B"/>
    <w:rsid w:val="23612E63"/>
    <w:rsid w:val="23BA71D7"/>
    <w:rsid w:val="25613E0F"/>
    <w:rsid w:val="264A29DB"/>
    <w:rsid w:val="285B6218"/>
    <w:rsid w:val="2AA00FAA"/>
    <w:rsid w:val="2C910F3F"/>
    <w:rsid w:val="2E0B5809"/>
    <w:rsid w:val="2ED94EC9"/>
    <w:rsid w:val="2EDE64D0"/>
    <w:rsid w:val="2EF3125D"/>
    <w:rsid w:val="30655A94"/>
    <w:rsid w:val="3149354E"/>
    <w:rsid w:val="318E7551"/>
    <w:rsid w:val="343850F2"/>
    <w:rsid w:val="34435089"/>
    <w:rsid w:val="358F200D"/>
    <w:rsid w:val="38290B67"/>
    <w:rsid w:val="395B6F37"/>
    <w:rsid w:val="3B52750D"/>
    <w:rsid w:val="3CB11669"/>
    <w:rsid w:val="3D582B4A"/>
    <w:rsid w:val="3E011AE3"/>
    <w:rsid w:val="3E2874E4"/>
    <w:rsid w:val="3FDE21F8"/>
    <w:rsid w:val="40961818"/>
    <w:rsid w:val="428205F7"/>
    <w:rsid w:val="43BE2424"/>
    <w:rsid w:val="441419AA"/>
    <w:rsid w:val="449F1C1A"/>
    <w:rsid w:val="45FF3339"/>
    <w:rsid w:val="489F3E62"/>
    <w:rsid w:val="49050323"/>
    <w:rsid w:val="49297014"/>
    <w:rsid w:val="4B5D697A"/>
    <w:rsid w:val="4C0D2254"/>
    <w:rsid w:val="4C7854AE"/>
    <w:rsid w:val="4CD01F92"/>
    <w:rsid w:val="4D454E21"/>
    <w:rsid w:val="4EB4175E"/>
    <w:rsid w:val="5090180A"/>
    <w:rsid w:val="516C6B20"/>
    <w:rsid w:val="51843CFB"/>
    <w:rsid w:val="52BE747E"/>
    <w:rsid w:val="548D3A51"/>
    <w:rsid w:val="54943889"/>
    <w:rsid w:val="57282D90"/>
    <w:rsid w:val="584A74CC"/>
    <w:rsid w:val="58B65EA1"/>
    <w:rsid w:val="58D11C90"/>
    <w:rsid w:val="5C6A6AB4"/>
    <w:rsid w:val="5DAE25B9"/>
    <w:rsid w:val="5E4705B7"/>
    <w:rsid w:val="61C1095D"/>
    <w:rsid w:val="63126F48"/>
    <w:rsid w:val="649E4776"/>
    <w:rsid w:val="651A22E6"/>
    <w:rsid w:val="65BF0456"/>
    <w:rsid w:val="66111F71"/>
    <w:rsid w:val="67B163BF"/>
    <w:rsid w:val="68C91550"/>
    <w:rsid w:val="69302FC4"/>
    <w:rsid w:val="6A545D35"/>
    <w:rsid w:val="6A8420F3"/>
    <w:rsid w:val="6CFA7AAC"/>
    <w:rsid w:val="6DFC2975"/>
    <w:rsid w:val="6E906D89"/>
    <w:rsid w:val="6EFC541B"/>
    <w:rsid w:val="6F706F62"/>
    <w:rsid w:val="6FBA3EFE"/>
    <w:rsid w:val="7020038D"/>
    <w:rsid w:val="727B6AF6"/>
    <w:rsid w:val="730A356B"/>
    <w:rsid w:val="777B08EA"/>
    <w:rsid w:val="783D62C2"/>
    <w:rsid w:val="78C83BCE"/>
    <w:rsid w:val="7A277975"/>
    <w:rsid w:val="7AA945ED"/>
    <w:rsid w:val="7C3F7CBD"/>
    <w:rsid w:val="7D381EE0"/>
    <w:rsid w:val="7DA3612F"/>
    <w:rsid w:val="7E490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qFormat/>
    <w:uiPriority w:val="9"/>
    <w:pPr>
      <w:spacing w:line="600" w:lineRule="exact"/>
      <w:ind w:firstLine="640" w:firstLineChars="200"/>
      <w:outlineLvl w:val="2"/>
    </w:pPr>
    <w:rPr>
      <w:rFonts w:ascii="黑体" w:hAnsi="黑体" w:eastAsia="黑体"/>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5"/>
    <w:semiHidden/>
    <w:unhideWhenUsed/>
    <w:qFormat/>
    <w:uiPriority w:val="99"/>
    <w:pPr>
      <w:jc w:val="left"/>
    </w:pPr>
  </w:style>
  <w:style w:type="paragraph" w:styleId="4">
    <w:name w:val="Balloon Text"/>
    <w:basedOn w:val="1"/>
    <w:link w:val="14"/>
    <w:semiHidden/>
    <w:unhideWhenUsed/>
    <w:qFormat/>
    <w:uiPriority w:val="99"/>
    <w:rPr>
      <w:rFonts w:ascii="宋体" w:eastAsia="宋体"/>
      <w:sz w:val="18"/>
      <w:szCs w:val="18"/>
    </w:rPr>
  </w:style>
  <w:style w:type="paragraph" w:styleId="5">
    <w:name w:val="footer"/>
    <w:basedOn w:val="1"/>
    <w:link w:val="13"/>
    <w:autoRedefine/>
    <w:unhideWhenUsed/>
    <w:qFormat/>
    <w:uiPriority w:val="99"/>
    <w:pPr>
      <w:tabs>
        <w:tab w:val="center" w:pos="4153"/>
        <w:tab w:val="right" w:pos="8306"/>
      </w:tabs>
      <w:snapToGrid w:val="0"/>
      <w:jc w:val="left"/>
    </w:pPr>
    <w:rPr>
      <w:sz w:val="18"/>
      <w:szCs w:val="18"/>
    </w:rPr>
  </w:style>
  <w:style w:type="paragraph" w:styleId="6">
    <w:name w:val="header"/>
    <w:basedOn w:val="1"/>
    <w:link w:val="12"/>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16"/>
    <w:semiHidden/>
    <w:unhideWhenUsed/>
    <w:qFormat/>
    <w:uiPriority w:val="99"/>
    <w:rPr>
      <w:b/>
      <w:bCs/>
    </w:rPr>
  </w:style>
  <w:style w:type="character" w:styleId="10">
    <w:name w:val="Hyperlink"/>
    <w:basedOn w:val="9"/>
    <w:autoRedefine/>
    <w:qFormat/>
    <w:uiPriority w:val="0"/>
    <w:rPr>
      <w:color w:val="0000FF"/>
      <w:u w:val="single"/>
    </w:rPr>
  </w:style>
  <w:style w:type="character" w:styleId="11">
    <w:name w:val="annotation reference"/>
    <w:basedOn w:val="9"/>
    <w:semiHidden/>
    <w:unhideWhenUsed/>
    <w:qFormat/>
    <w:uiPriority w:val="99"/>
    <w:rPr>
      <w:sz w:val="21"/>
      <w:szCs w:val="21"/>
    </w:rPr>
  </w:style>
  <w:style w:type="character" w:customStyle="1" w:styleId="12">
    <w:name w:val="页眉 字符"/>
    <w:basedOn w:val="9"/>
    <w:link w:val="6"/>
    <w:autoRedefine/>
    <w:qFormat/>
    <w:uiPriority w:val="99"/>
    <w:rPr>
      <w:sz w:val="18"/>
      <w:szCs w:val="18"/>
    </w:rPr>
  </w:style>
  <w:style w:type="character" w:customStyle="1" w:styleId="13">
    <w:name w:val="页脚 字符"/>
    <w:basedOn w:val="9"/>
    <w:link w:val="5"/>
    <w:autoRedefine/>
    <w:qFormat/>
    <w:uiPriority w:val="99"/>
    <w:rPr>
      <w:sz w:val="18"/>
      <w:szCs w:val="18"/>
    </w:rPr>
  </w:style>
  <w:style w:type="character" w:customStyle="1" w:styleId="14">
    <w:name w:val="批注框文本 字符"/>
    <w:basedOn w:val="9"/>
    <w:link w:val="4"/>
    <w:semiHidden/>
    <w:qFormat/>
    <w:uiPriority w:val="99"/>
    <w:rPr>
      <w:rFonts w:ascii="宋体" w:eastAsia="宋体"/>
      <w:kern w:val="2"/>
      <w:sz w:val="18"/>
      <w:szCs w:val="18"/>
    </w:rPr>
  </w:style>
  <w:style w:type="character" w:customStyle="1" w:styleId="15">
    <w:name w:val="批注文字 字符"/>
    <w:basedOn w:val="9"/>
    <w:link w:val="3"/>
    <w:semiHidden/>
    <w:qFormat/>
    <w:uiPriority w:val="99"/>
    <w:rPr>
      <w:kern w:val="2"/>
      <w:sz w:val="21"/>
      <w:szCs w:val="22"/>
    </w:rPr>
  </w:style>
  <w:style w:type="character" w:customStyle="1" w:styleId="16">
    <w:name w:val="批注主题 字符"/>
    <w:basedOn w:val="15"/>
    <w:link w:val="7"/>
    <w:semiHidden/>
    <w:qFormat/>
    <w:uiPriority w:val="99"/>
    <w:rPr>
      <w:b/>
      <w:bCs/>
      <w:kern w:val="2"/>
      <w:sz w:val="21"/>
      <w:szCs w:val="22"/>
    </w:rPr>
  </w:style>
  <w:style w:type="paragraph" w:styleId="17">
    <w:name w:val="List Paragraph"/>
    <w:basedOn w:val="1"/>
    <w:qFormat/>
    <w:uiPriority w:val="99"/>
    <w:pPr>
      <w:ind w:firstLine="420" w:firstLineChars="200"/>
    </w:pPr>
  </w:style>
  <w:style w:type="paragraph" w:customStyle="1" w:styleId="18">
    <w:name w:val="表格"/>
    <w:basedOn w:val="1"/>
    <w:autoRedefine/>
    <w:qFormat/>
    <w:uiPriority w:val="0"/>
    <w:pPr>
      <w:spacing w:line="360" w:lineRule="auto"/>
      <w:jc w:val="center"/>
    </w:pPr>
    <w:rPr>
      <w:rFonts w:ascii="宋体" w:hAnsi="宋体" w:cs="宋体"/>
      <w:color w:val="000000" w:themeColor="text1"/>
      <w:sz w:val="18"/>
      <w:szCs w:val="18"/>
      <w14:textFill>
        <w14:solidFill>
          <w14:schemeClr w14:val="tx1"/>
        </w14:solidFill>
      </w14:textFil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4299</Words>
  <Characters>4510</Characters>
  <Lines>43</Lines>
  <Paragraphs>12</Paragraphs>
  <TotalTime>3</TotalTime>
  <ScaleCrop>false</ScaleCrop>
  <LinksUpToDate>false</LinksUpToDate>
  <CharactersWithSpaces>4516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2021-03-03T06:55:00Z</dcterms:created>
  <dc:creator>Administrator</dc:creator>
  <cp:lastModifiedBy>未知</cp:lastModifiedBy>
  <cp:lastPrinted>2021-06-29T07:18:00Z</cp:lastPrinted>
  <dcterms:modified xsi:type="dcterms:W3CDTF">2025-06-13T07:57:30Z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D153C6CC29AC4798830AB8474DD6A19B_13</vt:lpwstr>
  </property>
  <property fmtid="{D5CDD505-2E9C-101B-9397-08002B2CF9AE}" pid="4" name="KSOTemplateDocerSaveRecord">
    <vt:lpwstr>eyJoZGlkIjoiNjZmYjFlOTAyOWMxNzIwMGQ3MTE3ZGUxZjUwOTAwYjIiLCJ1c2VySWQiOiIzMzI1ODEwMzgifQ==</vt:lpwstr>
  </property>
</Properties>
</file>