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FD11F0">
      <w:pPr>
        <w:spacing w:line="360" w:lineRule="auto"/>
        <w:ind w:left="321" w:leftChars="153" w:right="227"/>
        <w:jc w:val="center"/>
        <w:rPr>
          <w:rFonts w:eastAsia="黑体"/>
          <w:b/>
          <w:bCs/>
          <w:sz w:val="36"/>
          <w:szCs w:val="36"/>
        </w:rPr>
      </w:pPr>
      <w:r>
        <w:rPr>
          <w:rFonts w:hint="eastAsia" w:eastAsia="黑体"/>
          <w:b/>
          <w:bCs/>
          <w:sz w:val="36"/>
          <w:szCs w:val="36"/>
          <w:u w:val="single"/>
        </w:rPr>
        <w:t>考古学</w:t>
      </w:r>
      <w:r>
        <w:rPr>
          <w:rFonts w:hint="eastAsia" w:eastAsia="黑体"/>
          <w:b/>
          <w:bCs/>
          <w:sz w:val="36"/>
          <w:szCs w:val="36"/>
        </w:rPr>
        <w:t xml:space="preserve"> </w:t>
      </w:r>
      <w:r>
        <w:rPr>
          <w:rFonts w:eastAsia="黑体"/>
          <w:b/>
          <w:bCs/>
          <w:sz w:val="36"/>
          <w:szCs w:val="36"/>
        </w:rPr>
        <w:t>专业学术学位硕士研究生培养方案</w:t>
      </w:r>
    </w:p>
    <w:p w14:paraId="4063E11D">
      <w:pPr>
        <w:spacing w:line="360" w:lineRule="auto"/>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历史</w:t>
      </w:r>
      <w:r>
        <w:rPr>
          <w:rFonts w:eastAsia="黑体"/>
          <w:b/>
          <w:bCs/>
          <w:sz w:val="28"/>
          <w:szCs w:val="28"/>
        </w:rPr>
        <w:t>学院)</w:t>
      </w:r>
    </w:p>
    <w:p w14:paraId="13B2CAEF">
      <w:pPr>
        <w:numPr>
          <w:ilvl w:val="0"/>
          <w:numId w:val="1"/>
        </w:numPr>
        <w:spacing w:line="360" w:lineRule="auto"/>
        <w:ind w:firstLine="560"/>
        <w:rPr>
          <w:rFonts w:eastAsia="黑体"/>
          <w:bCs/>
          <w:sz w:val="28"/>
          <w:szCs w:val="28"/>
        </w:rPr>
      </w:pPr>
      <w:r>
        <w:rPr>
          <w:rFonts w:eastAsia="黑体"/>
          <w:bCs/>
          <w:sz w:val="28"/>
          <w:szCs w:val="28"/>
        </w:rPr>
        <w:t>专业名称、代码</w:t>
      </w:r>
    </w:p>
    <w:p w14:paraId="50E8C202">
      <w:pPr>
        <w:numPr>
          <w:numId w:val="0"/>
        </w:numPr>
        <w:spacing w:line="360" w:lineRule="auto"/>
        <w:ind w:firstLine="960" w:firstLineChars="400"/>
        <w:rPr>
          <w:color w:val="222222"/>
          <w:kern w:val="0"/>
          <w:sz w:val="18"/>
          <w:szCs w:val="18"/>
        </w:rPr>
      </w:pPr>
      <w:r>
        <w:rPr>
          <w:color w:val="222222"/>
          <w:kern w:val="0"/>
          <w:sz w:val="24"/>
        </w:rPr>
        <w:t>专业名称：</w:t>
      </w:r>
      <w:r>
        <w:rPr>
          <w:rFonts w:hint="eastAsia"/>
          <w:color w:val="222222"/>
          <w:kern w:val="0"/>
          <w:sz w:val="24"/>
        </w:rPr>
        <w:t>考古学</w:t>
      </w:r>
    </w:p>
    <w:p w14:paraId="64B58F3F">
      <w:pPr>
        <w:widowControl/>
        <w:spacing w:before="100" w:beforeAutospacing="1" w:after="100" w:afterAutospacing="1"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0601</w:t>
      </w:r>
    </w:p>
    <w:p w14:paraId="15E1721A">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512D35B3">
      <w:pPr>
        <w:spacing w:line="360" w:lineRule="auto"/>
        <w:ind w:firstLine="480" w:firstLineChars="200"/>
        <w:rPr>
          <w:rFonts w:ascii="宋体" w:hAnsi="宋体"/>
          <w:color w:val="000000"/>
          <w:sz w:val="24"/>
        </w:rPr>
      </w:pPr>
      <w:r>
        <w:rPr>
          <w:rFonts w:hint="eastAsia" w:ascii="宋体" w:hAnsi="宋体"/>
          <w:color w:val="000000"/>
          <w:sz w:val="24"/>
        </w:rPr>
        <w:t>河北大学考古学科的萌芽最早可追溯到20世纪初天津工商学院时期，教师桑志华、德日进等外国学者创建的北疆博物院供师生教学参观。建国前</w:t>
      </w:r>
      <w:r>
        <w:rPr>
          <w:rFonts w:hint="eastAsia" w:ascii="宋体" w:hAnsi="宋体"/>
          <w:color w:val="000000"/>
          <w:sz w:val="24"/>
          <w:lang w:eastAsia="zh-CN"/>
        </w:rPr>
        <w:t>，</w:t>
      </w:r>
      <w:r>
        <w:rPr>
          <w:rFonts w:hint="eastAsia" w:ascii="宋体" w:hAnsi="宋体"/>
          <w:color w:val="000000"/>
          <w:sz w:val="24"/>
        </w:rPr>
        <w:t>周庆基先生等搜集了大量文物，并在学校开设课程教授相关知识。20世纪80年代，金家广、刘式今等成立考古学教研室，参加了徐水南庄头等重要遗址的发掘与研究。2011年河北大学考古学硕士学位授权点正式获批，2012年开始招收第一批考古学硕士研究生。</w:t>
      </w:r>
    </w:p>
    <w:p w14:paraId="1763710D">
      <w:pPr>
        <w:spacing w:line="360" w:lineRule="auto"/>
        <w:ind w:firstLine="480" w:firstLineChars="200"/>
        <w:rPr>
          <w:rFonts w:ascii="宋体" w:hAnsi="宋体"/>
          <w:color w:val="000000"/>
          <w:sz w:val="24"/>
        </w:rPr>
      </w:pPr>
      <w:bookmarkStart w:id="0" w:name="OLE_LINK2"/>
      <w:r>
        <w:rPr>
          <w:rFonts w:hint="eastAsia" w:ascii="宋体" w:hAnsi="宋体"/>
          <w:color w:val="000000"/>
          <w:sz w:val="24"/>
        </w:rPr>
        <w:t>本学科人才建设效果较为显著,已形成学缘结构良好、职称和年龄结构合理的师资团队。现任教师毕业于北京大学、北京师范大学、南开大学、吉林大学、山东大学等知名高校。现有专职教师8人，其中教授2人，副教授4人，讲师2人，专任教师中7人获得博士学位，多名教师具备丰富的田野考古发掘经验，参与或主持重要考古发掘项目，1人已获得田野考古发掘领队资格。</w:t>
      </w:r>
    </w:p>
    <w:bookmarkEnd w:id="0"/>
    <w:p w14:paraId="39D906C5">
      <w:pPr>
        <w:spacing w:line="360" w:lineRule="auto"/>
        <w:ind w:firstLine="480" w:firstLineChars="200"/>
        <w:rPr>
          <w:rFonts w:ascii="宋体" w:hAnsi="宋体"/>
          <w:color w:val="000000"/>
          <w:sz w:val="24"/>
        </w:rPr>
      </w:pPr>
      <w:bookmarkStart w:id="1" w:name="OLE_LINK4"/>
      <w:r>
        <w:rPr>
          <w:rFonts w:hint="eastAsia" w:ascii="宋体" w:hAnsi="宋体"/>
          <w:color w:val="000000"/>
          <w:sz w:val="24"/>
        </w:rPr>
        <w:t>本学科致力于为学生创造良好的培养环境，依托本校博物馆和校外的各种文物考古机构，保证学生实习实践的顺利进行。其中河北大学博物馆是河北省唯一的综合性高校博物馆馆内现有藏品约7000余件，种类丰富，其中国家一、二、三级文物476件，是博物馆方向硕士的重要教学实习基地。目前与省内外20多家单位建立合作培养计划。另外田野考古所需的照相、测绘、电脑、绘图、扫描等设备也较为齐全，图书资料丰富。</w:t>
      </w:r>
    </w:p>
    <w:bookmarkEnd w:id="1"/>
    <w:p w14:paraId="6AF82ACF">
      <w:pPr>
        <w:spacing w:line="360" w:lineRule="auto"/>
        <w:ind w:firstLine="560" w:firstLineChars="200"/>
        <w:rPr>
          <w:rFonts w:eastAsia="黑体"/>
          <w:bCs/>
          <w:sz w:val="28"/>
          <w:szCs w:val="28"/>
        </w:rPr>
      </w:pPr>
      <w:r>
        <w:rPr>
          <w:rFonts w:eastAsia="黑体"/>
          <w:bCs/>
          <w:sz w:val="28"/>
          <w:szCs w:val="28"/>
        </w:rPr>
        <w:t>三、研究方向</w:t>
      </w:r>
    </w:p>
    <w:p w14:paraId="24B66F47">
      <w:pPr>
        <w:spacing w:line="360" w:lineRule="auto"/>
        <w:ind w:firstLine="480" w:firstLineChars="200"/>
        <w:rPr>
          <w:rFonts w:ascii="宋体" w:hAnsi="宋体"/>
          <w:color w:val="000000"/>
          <w:sz w:val="24"/>
        </w:rPr>
      </w:pPr>
      <w:r>
        <w:rPr>
          <w:rFonts w:hint="eastAsia" w:ascii="宋体" w:hAnsi="宋体"/>
          <w:color w:val="000000"/>
          <w:sz w:val="24"/>
        </w:rPr>
        <w:t>本学科点研究方向的设置参照《授予博士、硕士学位和培养研究生的学科、专业目录》（1997年颁布）、《研究生教育学科专业简介及其学位基本要求》，同时基于考古学科的性质特点、河北大学的定位与优势以及考古学科所形成的传统与特色。主要分为三大研究方向。</w:t>
      </w:r>
    </w:p>
    <w:p w14:paraId="7976089B">
      <w:pPr>
        <w:spacing w:line="360" w:lineRule="auto"/>
        <w:ind w:firstLine="480" w:firstLineChars="200"/>
        <w:rPr>
          <w:rFonts w:ascii="宋体" w:hAnsi="宋体"/>
          <w:color w:val="000000"/>
          <w:sz w:val="24"/>
        </w:rPr>
      </w:pPr>
      <w:r>
        <w:rPr>
          <w:rFonts w:hint="eastAsia" w:ascii="宋体" w:hAnsi="宋体"/>
          <w:color w:val="000000"/>
          <w:sz w:val="24"/>
        </w:rPr>
        <w:t>1．先秦考古</w:t>
      </w:r>
    </w:p>
    <w:p w14:paraId="77A55BD3">
      <w:pPr>
        <w:spacing w:line="360" w:lineRule="auto"/>
        <w:ind w:firstLine="480" w:firstLineChars="200"/>
        <w:rPr>
          <w:rFonts w:ascii="宋体" w:hAnsi="宋体"/>
          <w:color w:val="000000"/>
          <w:sz w:val="24"/>
        </w:rPr>
      </w:pPr>
      <w:r>
        <w:rPr>
          <w:rFonts w:hint="eastAsia" w:ascii="宋体" w:hAnsi="宋体"/>
          <w:color w:val="000000"/>
          <w:sz w:val="24"/>
        </w:rPr>
        <w:t>本方向以河北及华北区域为基点，以夏商周考古为重点，研究涉及华北人类起源、史前区域文化交流互动、环白洋淀地区考古学文化与环境、商周墓葬礼仪、燕赵青铜器、商周王朝对周边的经略等领域。参与过诸如阳原泥河湾、徐水南庄头、满城要庄、定州北庄子、雄安南阳等重要遗址发掘和资料整理，形成了较为鲜明的学术特色。</w:t>
      </w:r>
    </w:p>
    <w:p w14:paraId="1F013F40">
      <w:pPr>
        <w:spacing w:line="360" w:lineRule="auto"/>
        <w:ind w:firstLine="480" w:firstLineChars="200"/>
        <w:rPr>
          <w:rFonts w:ascii="宋体" w:hAnsi="宋体"/>
          <w:color w:val="000000"/>
          <w:sz w:val="24"/>
        </w:rPr>
      </w:pPr>
      <w:r>
        <w:rPr>
          <w:rFonts w:hint="eastAsia" w:ascii="宋体" w:hAnsi="宋体"/>
          <w:color w:val="000000"/>
          <w:sz w:val="24"/>
        </w:rPr>
        <w:t>2．秦汉至宋元明考古</w:t>
      </w:r>
    </w:p>
    <w:p w14:paraId="409DB87E">
      <w:pPr>
        <w:spacing w:line="360" w:lineRule="auto"/>
        <w:ind w:firstLine="480" w:firstLineChars="200"/>
        <w:rPr>
          <w:rFonts w:ascii="宋体" w:hAnsi="宋体"/>
          <w:color w:val="000000"/>
          <w:sz w:val="24"/>
        </w:rPr>
      </w:pPr>
      <w:r>
        <w:rPr>
          <w:rFonts w:hint="eastAsia" w:ascii="宋体" w:hAnsi="宋体"/>
          <w:color w:val="000000"/>
          <w:sz w:val="24"/>
        </w:rPr>
        <w:t>本方向以对河北地区历史时期遗存的发掘研究为主，对简帛、碑刻墓志等出土文献资料进行整理研究。目前已经对河北地区唐宋元明清时期葬制葬俗、碑刻、馆藏文物、重要古建筑等问题进行过大量深入探索，参与过清苑宋祖陵、河北长城等遗址的调查和发掘工作，科研成果丰硕。</w:t>
      </w:r>
    </w:p>
    <w:p w14:paraId="4778A905">
      <w:pPr>
        <w:spacing w:line="360" w:lineRule="auto"/>
        <w:ind w:firstLine="480" w:firstLineChars="200"/>
        <w:rPr>
          <w:rFonts w:ascii="宋体" w:hAnsi="宋体"/>
          <w:color w:val="000000"/>
          <w:sz w:val="24"/>
        </w:rPr>
      </w:pPr>
      <w:r>
        <w:rPr>
          <w:rFonts w:hint="eastAsia" w:ascii="宋体" w:hAnsi="宋体"/>
          <w:color w:val="000000"/>
          <w:sz w:val="24"/>
        </w:rPr>
        <w:t>3．文化遗产与博物馆学</w:t>
      </w:r>
    </w:p>
    <w:p w14:paraId="72CA15E3">
      <w:pPr>
        <w:spacing w:line="360" w:lineRule="auto"/>
        <w:ind w:firstLine="480" w:firstLineChars="200"/>
        <w:rPr>
          <w:rFonts w:ascii="宋体" w:hAnsi="宋体"/>
          <w:color w:val="000000"/>
          <w:sz w:val="24"/>
        </w:rPr>
      </w:pPr>
      <w:r>
        <w:rPr>
          <w:rFonts w:hint="eastAsia" w:ascii="宋体" w:hAnsi="宋体"/>
          <w:color w:val="000000"/>
          <w:sz w:val="24"/>
        </w:rPr>
        <w:t>本方向主要研究博物馆的组织管理和博物馆事业发展，以及文化遗产保护理念、方法和路线。本学位点长期对京津冀地区重要博物馆及其馆藏文物进行跟踪调查、展陈设计和学术研究，对直隶总督署、清东陵、莲池书院、蔚县剪纸等河北地区重要遗产进行跟踪调查、价值评估、修复保护等，亦积累起较为完备的认知体系，并在书画装裱、瓷器修复等专项上形成较为丰富的工作经验。</w:t>
      </w:r>
    </w:p>
    <w:p w14:paraId="26A5DAA2">
      <w:pPr>
        <w:spacing w:line="360" w:lineRule="auto"/>
        <w:ind w:firstLine="560" w:firstLineChars="200"/>
        <w:rPr>
          <w:rFonts w:hAnsi="宋体"/>
          <w:color w:val="000000"/>
          <w:sz w:val="24"/>
        </w:rPr>
      </w:pPr>
      <w:r>
        <w:rPr>
          <w:rFonts w:eastAsia="黑体"/>
          <w:bCs/>
          <w:sz w:val="28"/>
          <w:szCs w:val="28"/>
        </w:rPr>
        <w:t>四、学制及学习年限</w:t>
      </w:r>
    </w:p>
    <w:p w14:paraId="0EA214B9">
      <w:pPr>
        <w:spacing w:before="156" w:beforeLines="50" w:after="156" w:afterLines="50" w:line="360" w:lineRule="auto"/>
        <w:ind w:firstLine="480" w:firstLineChars="200"/>
        <w:rPr>
          <w:rFonts w:eastAsiaTheme="minorEastAsia"/>
          <w:i/>
          <w:color w:val="FF0000"/>
          <w:sz w:val="24"/>
        </w:rPr>
      </w:pPr>
      <w:r>
        <w:rPr>
          <w:rFonts w:hint="eastAsia"/>
          <w:color w:val="000000"/>
          <w:sz w:val="24"/>
        </w:rPr>
        <w:t>全日制攻读硕士学位的学制为3年，达到要求的优秀研究生可以申请提前毕业，</w:t>
      </w:r>
      <w:r>
        <w:rPr>
          <w:rFonts w:hint="eastAsia"/>
          <w:sz w:val="24"/>
        </w:rPr>
        <w:t>最长学习年限不超过6</w:t>
      </w:r>
      <w:r>
        <w:rPr>
          <w:rFonts w:hint="eastAsia" w:ascii="宋体" w:hAnsi="宋体" w:cs="Arial"/>
          <w:kern w:val="0"/>
          <w:sz w:val="24"/>
        </w:rPr>
        <w:t>年。</w:t>
      </w:r>
    </w:p>
    <w:p w14:paraId="1552FF68">
      <w:pPr>
        <w:spacing w:line="360" w:lineRule="auto"/>
        <w:ind w:firstLine="560" w:firstLineChars="200"/>
        <w:rPr>
          <w:rFonts w:eastAsia="黑体"/>
          <w:bCs/>
          <w:sz w:val="28"/>
          <w:szCs w:val="28"/>
        </w:rPr>
      </w:pPr>
      <w:r>
        <w:rPr>
          <w:rFonts w:eastAsia="黑体"/>
          <w:bCs/>
          <w:sz w:val="28"/>
          <w:szCs w:val="28"/>
        </w:rPr>
        <w:t>五、培养目标</w:t>
      </w:r>
    </w:p>
    <w:p w14:paraId="19A3F12C">
      <w:pPr>
        <w:spacing w:line="360" w:lineRule="auto"/>
        <w:ind w:firstLine="480" w:firstLineChars="200"/>
        <w:rPr>
          <w:rFonts w:ascii="宋体" w:hAnsi="宋体"/>
          <w:color w:val="000000"/>
          <w:sz w:val="24"/>
        </w:rPr>
      </w:pPr>
      <w:r>
        <w:rPr>
          <w:rFonts w:hint="eastAsia" w:ascii="宋体" w:hAnsi="宋体"/>
          <w:color w:val="000000"/>
          <w:sz w:val="24"/>
        </w:rPr>
        <w:t>1</w:t>
      </w:r>
      <w:bookmarkStart w:id="2" w:name="OLE_LINK3"/>
      <w:r>
        <w:rPr>
          <w:rFonts w:hint="eastAsia" w:ascii="宋体" w:hAnsi="宋体"/>
          <w:color w:val="000000"/>
          <w:sz w:val="24"/>
        </w:rPr>
        <w:t>．以习近平新时代中国特色社会主义思想为指引，贯彻落实立德树人的基本任务，立足国家战略需求和京津冀区域优势，紧密服务区域、行业产业发展趋势，瞄准考古学学术前沿，着力培养基础理论知识扎实、学术视野广阔、政治素养过硬，热爱祖国、遵纪守法、品行端正、积极进取的复合型高层次人才。</w:t>
      </w:r>
    </w:p>
    <w:bookmarkEnd w:id="2"/>
    <w:p w14:paraId="55C6A8F9">
      <w:pPr>
        <w:spacing w:line="360" w:lineRule="auto"/>
        <w:ind w:firstLine="480" w:firstLineChars="200"/>
        <w:rPr>
          <w:rFonts w:ascii="宋体" w:hAnsi="宋体"/>
          <w:color w:val="000000"/>
          <w:sz w:val="24"/>
        </w:rPr>
      </w:pPr>
      <w:r>
        <w:rPr>
          <w:rFonts w:hint="eastAsia" w:ascii="宋体" w:hAnsi="宋体"/>
          <w:color w:val="000000"/>
          <w:sz w:val="24"/>
        </w:rPr>
        <w:t>2．热爱考古文博事业，以把自己的青春贡献给中华民族的考古事业和文化遗产事业为荣，坚定专业发展之路，具有良好的职业道德和团队合作精神，吃苦耐劳，踏实肯干。</w:t>
      </w:r>
    </w:p>
    <w:p w14:paraId="4D8DF180">
      <w:pPr>
        <w:spacing w:line="360" w:lineRule="auto"/>
        <w:ind w:firstLine="480" w:firstLineChars="200"/>
        <w:rPr>
          <w:rFonts w:ascii="宋体" w:hAnsi="宋体"/>
          <w:color w:val="000000"/>
          <w:sz w:val="24"/>
        </w:rPr>
      </w:pPr>
      <w:r>
        <w:rPr>
          <w:rFonts w:hint="eastAsia" w:ascii="宋体" w:hAnsi="宋体"/>
          <w:color w:val="000000"/>
          <w:sz w:val="24"/>
        </w:rPr>
        <w:t>3．具有现代考古学理念，在考古学学科上掌握坚实的理论基础和系统的专门知识，了解国际考古学界的发展趋势，熟悉国内外本学科有关的理论及最新成果，具有较强的理论创新能力，能够独立地开展考古学的专题或综合研究，尤其是对河北区域相关的考古学知识理解达到较高水平。</w:t>
      </w:r>
    </w:p>
    <w:p w14:paraId="59FDC0B3">
      <w:pPr>
        <w:pStyle w:val="28"/>
        <w:snapToGrid w:val="0"/>
        <w:spacing w:before="0" w:after="0" w:line="360" w:lineRule="auto"/>
        <w:ind w:firstLine="480" w:firstLineChars="200"/>
        <w:rPr>
          <w:rFonts w:hAnsi="宋体"/>
          <w:color w:val="000000"/>
          <w:kern w:val="2"/>
          <w:sz w:val="24"/>
          <w:szCs w:val="24"/>
        </w:rPr>
      </w:pPr>
      <w:r>
        <w:rPr>
          <w:rFonts w:hint="eastAsia" w:hAnsi="宋体"/>
          <w:color w:val="000000"/>
          <w:sz w:val="24"/>
        </w:rPr>
        <w:t>4．注重实践操作能力，掌握田野考古、博物馆陈列等专业技术要求，具有较为鲜明的高层次复合型实践性特点，能够独立担负考古文博单位专门技术工作，综合能力较强。</w:t>
      </w:r>
    </w:p>
    <w:p w14:paraId="23FB8E80">
      <w:pPr>
        <w:spacing w:line="360" w:lineRule="auto"/>
        <w:ind w:firstLine="560" w:firstLineChars="200"/>
        <w:rPr>
          <w:rFonts w:eastAsia="黑体"/>
          <w:bCs/>
          <w:sz w:val="28"/>
          <w:szCs w:val="28"/>
        </w:rPr>
      </w:pPr>
      <w:r>
        <w:rPr>
          <w:rFonts w:eastAsia="黑体"/>
          <w:bCs/>
          <w:sz w:val="28"/>
          <w:szCs w:val="28"/>
        </w:rPr>
        <w:t>六、培养方式</w:t>
      </w:r>
    </w:p>
    <w:p w14:paraId="70FDC6A4">
      <w:pPr>
        <w:spacing w:line="360" w:lineRule="auto"/>
        <w:ind w:firstLine="480" w:firstLineChars="200"/>
        <w:rPr>
          <w:sz w:val="24"/>
          <w:szCs w:val="28"/>
        </w:rPr>
      </w:pPr>
      <w:r>
        <w:rPr>
          <w:rFonts w:hint="eastAsia" w:asciiTheme="minorEastAsia" w:hAnsiTheme="minorEastAsia" w:eastAsiaTheme="minorEastAsia" w:cstheme="minorEastAsia"/>
          <w:bCs/>
          <w:sz w:val="24"/>
        </w:rPr>
        <w:t>考古学具有较强的实践特点，需要在野外进行考古调查、发掘和资料整理，因此本专业培养坚持理论学习和一定时长实习实践相结合。</w:t>
      </w:r>
      <w:r>
        <w:rPr>
          <w:rFonts w:hint="eastAsia"/>
          <w:sz w:val="24"/>
          <w:szCs w:val="28"/>
        </w:rPr>
        <w:t>在指导方式上，采取导师负责与导师组集体培养相结合的方式。</w:t>
      </w:r>
    </w:p>
    <w:p w14:paraId="0FA61B7A">
      <w:pPr>
        <w:adjustRightInd w:val="0"/>
        <w:snapToGrid w:val="0"/>
        <w:spacing w:line="360" w:lineRule="auto"/>
        <w:ind w:firstLine="480" w:firstLineChars="200"/>
        <w:rPr>
          <w:rFonts w:asciiTheme="minorEastAsia" w:hAnsiTheme="minorEastAsia" w:eastAsiaTheme="minorEastAsia" w:cstheme="minorEastAsia"/>
          <w:bCs/>
          <w:sz w:val="24"/>
        </w:rPr>
      </w:pPr>
      <w:r>
        <w:rPr>
          <w:rFonts w:hint="eastAsia"/>
          <w:sz w:val="24"/>
          <w:szCs w:val="28"/>
        </w:rPr>
        <w:t>在培养过程中，本专业</w:t>
      </w:r>
      <w:r>
        <w:rPr>
          <w:sz w:val="24"/>
          <w:szCs w:val="28"/>
        </w:rPr>
        <w:t>注重引进院外资源、校外资源和</w:t>
      </w:r>
      <w:r>
        <w:rPr>
          <w:rFonts w:hint="eastAsia"/>
          <w:sz w:val="24"/>
          <w:szCs w:val="28"/>
        </w:rPr>
        <w:t>省</w:t>
      </w:r>
      <w:r>
        <w:rPr>
          <w:sz w:val="24"/>
          <w:szCs w:val="28"/>
        </w:rPr>
        <w:t>外资源。根据</w:t>
      </w:r>
      <w:r>
        <w:rPr>
          <w:rFonts w:hint="eastAsia"/>
          <w:sz w:val="24"/>
          <w:szCs w:val="28"/>
        </w:rPr>
        <w:t>考古学</w:t>
      </w:r>
      <w:r>
        <w:rPr>
          <w:sz w:val="24"/>
          <w:szCs w:val="28"/>
        </w:rPr>
        <w:t>学科的特点，有计划地聘请国内外专家来校授课，鼓励学生选修跨学科课程，鼓励学生参加</w:t>
      </w:r>
      <w:r>
        <w:rPr>
          <w:rFonts w:hint="eastAsia"/>
          <w:sz w:val="24"/>
          <w:szCs w:val="28"/>
        </w:rPr>
        <w:t>学术</w:t>
      </w:r>
      <w:r>
        <w:rPr>
          <w:sz w:val="24"/>
          <w:szCs w:val="28"/>
        </w:rPr>
        <w:t>交流，支持学生赴进行学术调研、搜集资料或参加社会实践活动，让学生掌握跨学科的理论和方法，熟悉学术前沿，拓展</w:t>
      </w:r>
      <w:r>
        <w:rPr>
          <w:rFonts w:hint="eastAsia"/>
          <w:sz w:val="24"/>
          <w:szCs w:val="28"/>
        </w:rPr>
        <w:t>学术</w:t>
      </w:r>
      <w:r>
        <w:rPr>
          <w:sz w:val="24"/>
          <w:szCs w:val="28"/>
        </w:rPr>
        <w:t>视野、提升学习</w:t>
      </w:r>
      <w:r>
        <w:rPr>
          <w:rFonts w:hint="eastAsia"/>
          <w:sz w:val="24"/>
          <w:szCs w:val="28"/>
        </w:rPr>
        <w:t>和</w:t>
      </w:r>
      <w:r>
        <w:rPr>
          <w:sz w:val="24"/>
          <w:szCs w:val="28"/>
        </w:rPr>
        <w:t>沟通能力。</w:t>
      </w:r>
    </w:p>
    <w:p w14:paraId="656A56CF">
      <w:pPr>
        <w:spacing w:line="360" w:lineRule="auto"/>
        <w:ind w:firstLine="560" w:firstLineChars="200"/>
        <w:rPr>
          <w:rFonts w:eastAsia="黑体"/>
          <w:bCs/>
          <w:sz w:val="28"/>
          <w:szCs w:val="28"/>
        </w:rPr>
      </w:pPr>
      <w:r>
        <w:rPr>
          <w:rFonts w:eastAsia="黑体"/>
          <w:bCs/>
          <w:sz w:val="28"/>
          <w:szCs w:val="28"/>
        </w:rPr>
        <w:t>七、中期筛选</w:t>
      </w:r>
    </w:p>
    <w:p w14:paraId="05E01A07">
      <w:pPr>
        <w:spacing w:before="156" w:beforeLines="50" w:line="360" w:lineRule="auto"/>
        <w:ind w:firstLine="480" w:firstLineChars="200"/>
        <w:rPr>
          <w:rFonts w:eastAsiaTheme="minorEastAsia"/>
          <w:bCs/>
          <w:sz w:val="24"/>
        </w:rPr>
      </w:pPr>
      <w:r>
        <w:rPr>
          <w:rFonts w:hint="eastAsia" w:eastAsiaTheme="minorEastAsia"/>
          <w:bCs/>
          <w:sz w:val="24"/>
        </w:rPr>
        <w:t>在研究生完成培养方案规定的课程学习、考核成绩合格、获得规定的学分后，</w:t>
      </w:r>
      <w:r>
        <w:rPr>
          <w:rFonts w:eastAsiaTheme="minorEastAsia"/>
          <w:bCs/>
          <w:sz w:val="24"/>
        </w:rPr>
        <w:t>按照《河北大学研究生中期筛选管理办法》（校政字〔2021〕15号）的相关规定，组织开展中期筛选工作。</w:t>
      </w:r>
    </w:p>
    <w:p w14:paraId="0400E889">
      <w:pPr>
        <w:spacing w:before="156" w:beforeLines="50" w:line="360" w:lineRule="auto"/>
        <w:ind w:firstLine="480" w:firstLineChars="200"/>
        <w:rPr>
          <w:rFonts w:eastAsiaTheme="minorEastAsia"/>
          <w:bCs/>
          <w:sz w:val="24"/>
        </w:rPr>
      </w:pPr>
      <w:r>
        <w:rPr>
          <w:rFonts w:hint="eastAsia" w:eastAsiaTheme="minorEastAsia"/>
          <w:bCs/>
          <w:sz w:val="24"/>
        </w:rPr>
        <w:t>中期筛选对研究生经过课程学习后知识结构、能力素质等是否达到规定要求进行考核。根据《河北大学研究生中期筛选管理办法》，开展相关工作，一般在课程学习结束后一年内进行。对暂未通过考核的，由指导教师专门进行指导督促，延期再次考核。对不适宜继续攻读学位的，予以分流或淘汰。</w:t>
      </w:r>
    </w:p>
    <w:p w14:paraId="1EC287A4">
      <w:pPr>
        <w:spacing w:before="156" w:beforeLines="50"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3D117639">
      <w:pPr>
        <w:widowControl/>
        <w:adjustRightInd w:val="0"/>
        <w:snapToGrid w:val="0"/>
        <w:spacing w:before="105" w:after="105" w:line="360" w:lineRule="auto"/>
        <w:ind w:firstLine="480"/>
        <w:jc w:val="left"/>
        <w:rPr>
          <w:bCs/>
          <w:color w:val="222222"/>
          <w:kern w:val="0"/>
          <w:sz w:val="24"/>
        </w:rPr>
      </w:pPr>
      <w:r>
        <w:rPr>
          <w:bCs/>
          <w:color w:val="222222"/>
          <w:kern w:val="0"/>
          <w:sz w:val="24"/>
        </w:rPr>
        <w:t>1</w:t>
      </w:r>
      <w:r>
        <w:rPr>
          <w:rFonts w:hint="eastAsia"/>
          <w:bCs/>
          <w:color w:val="222222"/>
          <w:kern w:val="0"/>
          <w:sz w:val="24"/>
        </w:rPr>
        <w:t>．</w:t>
      </w:r>
      <w:r>
        <w:rPr>
          <w:bCs/>
          <w:color w:val="222222"/>
          <w:kern w:val="0"/>
          <w:sz w:val="24"/>
        </w:rPr>
        <w:t>总体要求</w:t>
      </w:r>
    </w:p>
    <w:p w14:paraId="0934F300">
      <w:pPr>
        <w:widowControl/>
        <w:adjustRightInd w:val="0"/>
        <w:snapToGrid w:val="0"/>
        <w:spacing w:before="105" w:after="105" w:line="360" w:lineRule="auto"/>
        <w:ind w:firstLine="480"/>
        <w:jc w:val="left"/>
        <w:rPr>
          <w:bCs/>
          <w:color w:val="222222"/>
          <w:kern w:val="0"/>
          <w:sz w:val="24"/>
        </w:rPr>
      </w:pP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bCs/>
          <w:color w:val="222222"/>
          <w:kern w:val="0"/>
          <w:sz w:val="24"/>
        </w:rPr>
        <w:t>学位（毕业）论文应当表明作者具有独立从事学术研究工作的能力，鼓励硕士研究生参与科学研究，取得创新性成果</w:t>
      </w:r>
      <w:r>
        <w:rPr>
          <w:rFonts w:hint="eastAsia"/>
          <w:bCs/>
          <w:color w:val="222222"/>
          <w:kern w:val="0"/>
          <w:sz w:val="24"/>
        </w:rPr>
        <w:t>。</w:t>
      </w:r>
    </w:p>
    <w:p w14:paraId="7619619E">
      <w:pPr>
        <w:widowControl/>
        <w:spacing w:line="360" w:lineRule="auto"/>
        <w:ind w:firstLine="480"/>
        <w:jc w:val="left"/>
        <w:rPr>
          <w:iCs/>
          <w:kern w:val="0"/>
          <w:sz w:val="18"/>
          <w:szCs w:val="18"/>
        </w:rPr>
      </w:pPr>
      <w:r>
        <w:rPr>
          <w:bCs/>
          <w:color w:val="222222"/>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6A2FE833">
      <w:pPr>
        <w:adjustRightInd w:val="0"/>
        <w:snapToGrid w:val="0"/>
        <w:spacing w:line="360" w:lineRule="auto"/>
        <w:ind w:firstLine="480" w:firstLineChars="200"/>
        <w:rPr>
          <w:iCs/>
          <w:kern w:val="0"/>
          <w:sz w:val="24"/>
        </w:rPr>
      </w:pPr>
      <w:r>
        <w:rPr>
          <w:iCs/>
          <w:kern w:val="0"/>
          <w:sz w:val="24"/>
        </w:rPr>
        <w:t>原则上在入学后第3学期（最迟不超过第4学期）完成开题。开题由3-5名具有高级专业技术职务人员参加，以学术报告的方式进行。</w:t>
      </w:r>
    </w:p>
    <w:p w14:paraId="299609C9">
      <w:pPr>
        <w:adjustRightInd w:val="0"/>
        <w:snapToGrid w:val="0"/>
        <w:spacing w:line="360" w:lineRule="auto"/>
        <w:ind w:firstLine="480" w:firstLineChars="200"/>
        <w:rPr>
          <w:bCs/>
          <w:color w:val="222222"/>
          <w:kern w:val="0"/>
          <w:sz w:val="24"/>
        </w:rPr>
      </w:pPr>
      <w:r>
        <w:rPr>
          <w:rFonts w:hint="eastAsia"/>
          <w:bCs/>
          <w:color w:val="222222"/>
          <w:kern w:val="0"/>
          <w:sz w:val="24"/>
        </w:rPr>
        <w:t>3．</w:t>
      </w:r>
      <w:r>
        <w:rPr>
          <w:bCs/>
          <w:color w:val="222222"/>
          <w:kern w:val="0"/>
          <w:sz w:val="24"/>
        </w:rPr>
        <w:t>中期进展报告</w:t>
      </w:r>
    </w:p>
    <w:p w14:paraId="17CF58B9">
      <w:pPr>
        <w:adjustRightInd w:val="0"/>
        <w:snapToGrid w:val="0"/>
        <w:spacing w:line="360" w:lineRule="auto"/>
        <w:ind w:firstLine="472" w:firstLineChars="200"/>
        <w:rPr>
          <w:rFonts w:ascii="宋体" w:hAnsi="宋体"/>
          <w:spacing w:val="-2"/>
          <w:sz w:val="24"/>
        </w:rPr>
      </w:pPr>
      <w:r>
        <w:rPr>
          <w:rFonts w:hint="eastAsia" w:ascii="宋体" w:hAnsi="宋体"/>
          <w:spacing w:val="-2"/>
          <w:sz w:val="24"/>
        </w:rPr>
        <w:t>中期进展报告是检查研究生个人综合能力及学位论文进展、指导研究生把握学位（毕业）论文方向、提高学位（毕业）论文质量的必要环节。中期进展报告原则上应在入学后第</w:t>
      </w:r>
      <w:r>
        <w:rPr>
          <w:rFonts w:hint="eastAsia"/>
          <w:spacing w:val="-2"/>
          <w:sz w:val="24"/>
        </w:rPr>
        <w:t>5</w:t>
      </w:r>
      <w:r>
        <w:rPr>
          <w:rFonts w:hint="eastAsia" w:ascii="宋体" w:hAnsi="宋体"/>
          <w:spacing w:val="-2"/>
          <w:sz w:val="24"/>
        </w:rPr>
        <w:t>学期进行；各导师组自行制定中期考核办法并组织考核。</w:t>
      </w:r>
    </w:p>
    <w:p w14:paraId="55D7BC8E">
      <w:pPr>
        <w:adjustRightInd w:val="0"/>
        <w:snapToGrid w:val="0"/>
        <w:spacing w:line="360" w:lineRule="auto"/>
        <w:ind w:firstLine="480" w:firstLineChars="200"/>
        <w:rPr>
          <w:bCs/>
          <w:color w:val="222222"/>
          <w:kern w:val="0"/>
          <w:sz w:val="24"/>
        </w:rPr>
      </w:pPr>
      <w:r>
        <w:rPr>
          <w:rFonts w:hint="eastAsia"/>
          <w:bCs/>
          <w:color w:val="222222"/>
          <w:kern w:val="0"/>
          <w:sz w:val="24"/>
        </w:rPr>
        <w:t>4．</w:t>
      </w:r>
      <w:r>
        <w:rPr>
          <w:bCs/>
          <w:color w:val="222222"/>
          <w:kern w:val="0"/>
          <w:sz w:val="24"/>
        </w:rPr>
        <w:t>学位申请</w:t>
      </w:r>
    </w:p>
    <w:p w14:paraId="7CB236B0">
      <w:pPr>
        <w:adjustRightInd w:val="0"/>
        <w:snapToGrid w:val="0"/>
        <w:spacing w:line="360" w:lineRule="auto"/>
        <w:ind w:firstLine="480" w:firstLineChars="200"/>
        <w:rPr>
          <w:rFonts w:ascii="仿宋" w:hAnsi="仿宋" w:cs="仿宋"/>
          <w:sz w:val="24"/>
        </w:rPr>
      </w:pPr>
      <w:r>
        <w:rPr>
          <w:rFonts w:hint="eastAsia" w:ascii="仿宋" w:hAnsi="仿宋" w:cs="仿宋"/>
          <w:sz w:val="24"/>
        </w:rPr>
        <w:t>达到学位授予条件的申请人，经导师同意后，应于答辩前三个月，向所属学位评定分委员会提出学位申请，提交学位申请材料。</w:t>
      </w:r>
    </w:p>
    <w:p w14:paraId="08EC9F52">
      <w:pPr>
        <w:adjustRightInd w:val="0"/>
        <w:snapToGrid w:val="0"/>
        <w:spacing w:line="360" w:lineRule="auto"/>
        <w:ind w:firstLine="480" w:firstLineChars="200"/>
        <w:rPr>
          <w:i/>
          <w:color w:val="FF0000"/>
          <w:kern w:val="0"/>
          <w:sz w:val="24"/>
        </w:rPr>
      </w:pPr>
      <w:r>
        <w:rPr>
          <w:rFonts w:hint="eastAsia"/>
          <w:bCs/>
          <w:color w:val="222222"/>
          <w:kern w:val="0"/>
          <w:sz w:val="24"/>
        </w:rPr>
        <w:t>5．</w:t>
      </w:r>
      <w:r>
        <w:rPr>
          <w:bCs/>
          <w:color w:val="222222"/>
          <w:kern w:val="0"/>
          <w:sz w:val="24"/>
        </w:rPr>
        <w:t>预答辩</w:t>
      </w:r>
    </w:p>
    <w:p w14:paraId="5F253C3A">
      <w:pPr>
        <w:adjustRightInd w:val="0"/>
        <w:snapToGrid w:val="0"/>
        <w:spacing w:line="360" w:lineRule="auto"/>
        <w:ind w:firstLine="480" w:firstLineChars="200"/>
        <w:rPr>
          <w:rFonts w:ascii="仿宋" w:hAnsi="仿宋" w:cs="仿宋"/>
          <w:sz w:val="24"/>
        </w:rPr>
      </w:pPr>
      <w:r>
        <w:rPr>
          <w:rFonts w:hint="eastAsia" w:ascii="仿宋" w:hAnsi="仿宋" w:cs="仿宋"/>
          <w:sz w:val="24"/>
        </w:rPr>
        <w:t>严格落实预答辩制度。预答辩组成员由三名专业相近方向导师或副教授组成，并可适当增加部分讲师。</w:t>
      </w:r>
    </w:p>
    <w:p w14:paraId="1830DD0A">
      <w:pPr>
        <w:adjustRightInd w:val="0"/>
        <w:snapToGrid w:val="0"/>
        <w:spacing w:line="360" w:lineRule="auto"/>
        <w:ind w:firstLine="480" w:firstLineChars="200"/>
        <w:rPr>
          <w:rFonts w:ascii="仿宋" w:hAnsi="仿宋" w:cs="仿宋"/>
          <w:sz w:val="24"/>
        </w:rPr>
      </w:pPr>
      <w:r>
        <w:rPr>
          <w:kern w:val="0"/>
          <w:sz w:val="24"/>
        </w:rPr>
        <w:t>学位（毕业）论文预答辩在正式答辩前3个月进行</w:t>
      </w:r>
      <w:r>
        <w:rPr>
          <w:rFonts w:hint="eastAsia" w:ascii="仿宋" w:hAnsi="仿宋" w:cs="仿宋"/>
          <w:sz w:val="24"/>
        </w:rPr>
        <w:t>。所有拟申请学位的研究生必须参加预答辩。预答辩结果分为合格、修改、未通过。合格等级可在经过修改后进入机审及相应环节；修改等级必须要对论文进行逐项的认真修改后，经导师同意及预答辩同组老师全部签字同意后方可进入机审及相应环节；未通过等级经学院分学位委员会认定后做延期处理，不得进入机审及毕业流程。</w:t>
      </w:r>
    </w:p>
    <w:p w14:paraId="219423FF">
      <w:pPr>
        <w:adjustRightInd w:val="0"/>
        <w:snapToGrid w:val="0"/>
        <w:spacing w:line="360" w:lineRule="auto"/>
        <w:ind w:firstLine="480" w:firstLineChars="200"/>
        <w:rPr>
          <w:rFonts w:ascii="仿宋" w:hAnsi="仿宋" w:cs="仿宋"/>
          <w:sz w:val="24"/>
        </w:rPr>
      </w:pPr>
      <w:r>
        <w:rPr>
          <w:rFonts w:hint="eastAsia" w:ascii="仿宋" w:hAnsi="仿宋" w:cs="仿宋"/>
          <w:sz w:val="24"/>
        </w:rPr>
        <w:t>未经过预答辩论文不准进入机审等相应程序，必须延期处理。导师原则上应参与本学生预答辩环节，若因个人原因不能出席，需要书面情况说明留档备案。</w:t>
      </w:r>
    </w:p>
    <w:p w14:paraId="66BF1DF3">
      <w:pPr>
        <w:adjustRightInd w:val="0"/>
        <w:snapToGrid w:val="0"/>
        <w:spacing w:line="360" w:lineRule="auto"/>
        <w:ind w:firstLine="480" w:firstLineChars="200"/>
        <w:rPr>
          <w:bCs/>
          <w:color w:val="222222"/>
          <w:kern w:val="0"/>
          <w:sz w:val="24"/>
        </w:rPr>
      </w:pPr>
      <w:r>
        <w:rPr>
          <w:rFonts w:hint="eastAsia"/>
          <w:bCs/>
          <w:color w:val="222222"/>
          <w:kern w:val="0"/>
          <w:sz w:val="24"/>
        </w:rPr>
        <w:t>6．</w:t>
      </w:r>
      <w:r>
        <w:rPr>
          <w:bCs/>
          <w:color w:val="222222"/>
          <w:kern w:val="0"/>
          <w:sz w:val="24"/>
        </w:rPr>
        <w:t>论文评阅</w:t>
      </w:r>
    </w:p>
    <w:p w14:paraId="474C5442">
      <w:pPr>
        <w:adjustRightInd w:val="0"/>
        <w:snapToGrid w:val="0"/>
        <w:spacing w:line="360" w:lineRule="auto"/>
        <w:ind w:firstLine="480" w:firstLineChars="200"/>
        <w:rPr>
          <w:color w:val="222222"/>
          <w:kern w:val="0"/>
          <w:sz w:val="24"/>
        </w:rPr>
      </w:pPr>
      <w:r>
        <w:rPr>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3C057B2B">
      <w:pPr>
        <w:adjustRightInd w:val="0"/>
        <w:snapToGrid w:val="0"/>
        <w:spacing w:line="360" w:lineRule="auto"/>
        <w:ind w:firstLine="480" w:firstLineChars="200"/>
        <w:rPr>
          <w:bCs/>
          <w:color w:val="222222"/>
          <w:kern w:val="0"/>
          <w:sz w:val="24"/>
        </w:rPr>
      </w:pPr>
      <w:r>
        <w:rPr>
          <w:rFonts w:hint="eastAsia"/>
          <w:color w:val="222222"/>
          <w:kern w:val="0"/>
          <w:sz w:val="24"/>
        </w:rPr>
        <w:t>7．</w:t>
      </w:r>
      <w:r>
        <w:rPr>
          <w:bCs/>
          <w:color w:val="222222"/>
          <w:kern w:val="0"/>
          <w:sz w:val="24"/>
        </w:rPr>
        <w:t>答辩</w:t>
      </w:r>
    </w:p>
    <w:p w14:paraId="02BD8506">
      <w:pPr>
        <w:adjustRightInd w:val="0"/>
        <w:snapToGrid w:val="0"/>
        <w:spacing w:line="360" w:lineRule="auto"/>
        <w:ind w:firstLine="480" w:firstLineChars="200"/>
        <w:rPr>
          <w:rFonts w:cs="仿宋"/>
          <w:sz w:val="24"/>
          <w:szCs w:val="28"/>
        </w:rPr>
      </w:pPr>
      <w:r>
        <w:rPr>
          <w:bCs/>
          <w:color w:val="222222"/>
          <w:kern w:val="0"/>
          <w:sz w:val="24"/>
        </w:rPr>
        <w:t>学位（毕业）论文答辩按照</w:t>
      </w:r>
      <w:r>
        <w:rPr>
          <w:color w:val="222222"/>
          <w:kern w:val="0"/>
          <w:sz w:val="24"/>
        </w:rPr>
        <w:t>《河北大学博士、硕士学位授予工作实施细则》（校政字〔2025〕7号）执行。</w:t>
      </w:r>
      <w:r>
        <w:rPr>
          <w:rFonts w:cs="仿宋"/>
          <w:sz w:val="24"/>
          <w:szCs w:val="28"/>
        </w:rPr>
        <w:t>硕士研究生必须完成培养方案所规定的各项要求并且成绩达标方可申请学位论文答辩。答辩及学位授予程序严格按照</w:t>
      </w:r>
      <w:r>
        <w:rPr>
          <w:color w:val="222222"/>
          <w:kern w:val="0"/>
          <w:sz w:val="24"/>
        </w:rPr>
        <w:t>《河北大学博士、硕士学位授予工作实施细则》（校政字〔2025〕7号）</w:t>
      </w:r>
      <w:r>
        <w:rPr>
          <w:rFonts w:cs="仿宋"/>
          <w:sz w:val="24"/>
          <w:szCs w:val="28"/>
        </w:rPr>
        <w:t>的有关规定执行。硕士生通过学位审核后，颁发硕士学位证书、硕士生毕业证书。</w:t>
      </w:r>
    </w:p>
    <w:p w14:paraId="0A7A3E39">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7E77AA0B">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188E670D">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2FFE3B65">
      <w:pPr>
        <w:spacing w:line="360" w:lineRule="auto"/>
        <w:ind w:firstLine="480" w:firstLineChars="200"/>
        <w:rPr>
          <w:color w:val="000000"/>
          <w:sz w:val="24"/>
        </w:rPr>
      </w:pPr>
      <w:r>
        <w:rPr>
          <w:rFonts w:hint="eastAsia" w:eastAsiaTheme="minorEastAsia"/>
          <w:color w:val="000000"/>
          <w:sz w:val="24"/>
        </w:rPr>
        <w:t>3．</w:t>
      </w:r>
      <w:r>
        <w:rPr>
          <w:rFonts w:hint="eastAsia"/>
          <w:color w:val="000000"/>
          <w:sz w:val="24"/>
        </w:rPr>
        <w:t>专业实习。实习时间不少于6个月。本专业学生在第2学期学习结束后，填写《河北大学考古学硕士生毕业实习申请表》。实习单位及内容由导师及行业导师共同确定；实习申请由考古学科导师组审核通过并经学院批准后方可实施；实习内容应与实习申请相一致，如有变动应重新申请；实习结束后</w:t>
      </w:r>
      <w:r>
        <w:rPr>
          <w:rFonts w:hint="eastAsia" w:eastAsiaTheme="minorEastAsia"/>
          <w:iCs/>
          <w:sz w:val="24"/>
        </w:rPr>
        <w:t>研究生需要撰写实习实践的总结报告，详细介绍实习目标、实习过程和实习收获，并在实习结束后进行汇报，</w:t>
      </w:r>
      <w:r>
        <w:rPr>
          <w:rFonts w:hint="eastAsia"/>
          <w:color w:val="000000"/>
          <w:sz w:val="24"/>
        </w:rPr>
        <w:t>由考古学科导师组进行鉴定，未通过者不能进入毕业答辩程序；申请鉴定时应提交实习记录、实习作品、实习报告、实习单位评价等材料。</w:t>
      </w:r>
    </w:p>
    <w:p w14:paraId="41D91686">
      <w:pPr>
        <w:spacing w:line="360" w:lineRule="auto"/>
        <w:ind w:firstLine="480" w:firstLineChars="200"/>
        <w:rPr>
          <w:rFonts w:eastAsiaTheme="minorEastAsia"/>
          <w:color w:val="000000"/>
          <w:sz w:val="24"/>
        </w:rPr>
      </w:pPr>
      <w:r>
        <w:rPr>
          <w:rFonts w:hint="eastAsia" w:eastAsiaTheme="minorEastAsia"/>
          <w:color w:val="000000"/>
          <w:sz w:val="24"/>
        </w:rPr>
        <w:t>4</w:t>
      </w:r>
      <w:r>
        <w:rPr>
          <w:rFonts w:eastAsiaTheme="minorEastAsia"/>
          <w:color w:val="000000"/>
          <w:sz w:val="24"/>
        </w:rPr>
        <w:t>. 符合提前毕业条件的研究生，可按照学校相关规定</w:t>
      </w:r>
      <w:r>
        <w:rPr>
          <w:rFonts w:eastAsiaTheme="minorEastAsia"/>
          <w:bCs/>
          <w:sz w:val="24"/>
        </w:rPr>
        <w:t>申请</w:t>
      </w:r>
      <w:r>
        <w:rPr>
          <w:rFonts w:eastAsiaTheme="minorEastAsia"/>
          <w:color w:val="000000"/>
          <w:sz w:val="24"/>
        </w:rPr>
        <w:t>提前毕业。</w:t>
      </w:r>
    </w:p>
    <w:p w14:paraId="5993DC9B">
      <w:pPr>
        <w:spacing w:line="360" w:lineRule="auto"/>
        <w:ind w:firstLine="480" w:firstLineChars="200"/>
        <w:rPr>
          <w:rFonts w:eastAsiaTheme="minorEastAsia"/>
          <w:bCs/>
          <w:sz w:val="24"/>
        </w:rPr>
      </w:pPr>
      <w:r>
        <w:rPr>
          <w:rFonts w:hint="eastAsia" w:eastAsiaTheme="minorEastAsia"/>
          <w:bCs/>
          <w:sz w:val="24"/>
        </w:rPr>
        <w:t>5</w:t>
      </w:r>
      <w:r>
        <w:rPr>
          <w:rFonts w:eastAsiaTheme="minorEastAsia"/>
          <w:bCs/>
          <w:sz w:val="24"/>
        </w:rPr>
        <w:t>. 论文答辩。学位（毕业）论文经专家评审合格、通过学位（毕业）答辩，符合毕业资格审查后，准予毕业。</w:t>
      </w:r>
    </w:p>
    <w:p w14:paraId="345F142B">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1F370F48">
      <w:pPr>
        <w:spacing w:line="360" w:lineRule="auto"/>
        <w:ind w:firstLine="480" w:firstLineChars="200"/>
        <w:rPr>
          <w:rFonts w:eastAsiaTheme="minorEastAsia"/>
          <w:iCs/>
          <w:sz w:val="24"/>
        </w:rPr>
      </w:pPr>
      <w:r>
        <w:rPr>
          <w:rFonts w:hint="eastAsia" w:eastAsiaTheme="minorEastAsia"/>
          <w:iCs/>
          <w:sz w:val="24"/>
        </w:rPr>
        <w:t>硕士研究生在攻读硕士学位期间，取得的创新性成果可为学术论文、专著、科研项目、科研奖励等多种形式。鼓励硕士研究生参与科研活动，产出创新性成果，但不做硬性要求。</w:t>
      </w:r>
    </w:p>
    <w:p w14:paraId="26D1468A">
      <w:pPr>
        <w:spacing w:line="360" w:lineRule="auto"/>
        <w:ind w:firstLine="560" w:firstLineChars="200"/>
        <w:rPr>
          <w:rFonts w:eastAsia="黑体"/>
          <w:bCs/>
          <w:sz w:val="28"/>
          <w:szCs w:val="28"/>
        </w:rPr>
      </w:pPr>
      <w:r>
        <w:rPr>
          <w:rFonts w:eastAsia="黑体"/>
          <w:bCs/>
          <w:sz w:val="28"/>
          <w:szCs w:val="28"/>
        </w:rPr>
        <w:t>十一、学位授予</w:t>
      </w:r>
    </w:p>
    <w:p w14:paraId="1C6DAEBF">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rFonts w:hint="eastAsia"/>
          <w:color w:val="222222"/>
          <w:kern w:val="0"/>
          <w:sz w:val="24"/>
        </w:rPr>
        <w:t>专业</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1114648F">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132A8202">
      <w:pPr>
        <w:spacing w:line="360" w:lineRule="auto"/>
        <w:ind w:firstLine="480" w:firstLineChars="200"/>
        <w:rPr>
          <w:rFonts w:eastAsiaTheme="minorEastAsia"/>
          <w:color w:val="000000"/>
          <w:sz w:val="24"/>
        </w:rPr>
      </w:pPr>
      <w:r>
        <w:rPr>
          <w:rFonts w:eastAsiaTheme="minorEastAsia"/>
          <w:color w:val="000000"/>
          <w:sz w:val="24"/>
        </w:rPr>
        <w:t>本专业最低毕业学分为</w:t>
      </w:r>
      <w:r>
        <w:rPr>
          <w:rFonts w:hint="eastAsia" w:eastAsiaTheme="minorEastAsia"/>
          <w:sz w:val="24"/>
        </w:rPr>
        <w:t>28</w:t>
      </w:r>
      <w:r>
        <w:rPr>
          <w:rFonts w:eastAsiaTheme="minorEastAsia"/>
          <w:color w:val="000000"/>
          <w:sz w:val="24"/>
        </w:rPr>
        <w:t>分，其中学位课</w:t>
      </w:r>
      <w:r>
        <w:rPr>
          <w:rFonts w:hint="eastAsia" w:eastAsiaTheme="minorEastAsia"/>
          <w:sz w:val="24"/>
        </w:rPr>
        <w:t>16</w:t>
      </w:r>
      <w:r>
        <w:rPr>
          <w:rFonts w:eastAsiaTheme="minorEastAsia"/>
          <w:color w:val="000000"/>
          <w:sz w:val="24"/>
        </w:rPr>
        <w:t>学分，非学位课</w:t>
      </w:r>
      <w:r>
        <w:rPr>
          <w:rFonts w:hint="eastAsia" w:eastAsiaTheme="minorEastAsia"/>
          <w:sz w:val="24"/>
        </w:rPr>
        <w:t>10</w:t>
      </w:r>
      <w:r>
        <w:rPr>
          <w:rFonts w:eastAsiaTheme="minorEastAsia"/>
          <w:color w:val="000000"/>
          <w:sz w:val="24"/>
        </w:rPr>
        <w:t>学分，必修环节</w:t>
      </w:r>
      <w:r>
        <w:rPr>
          <w:rFonts w:hint="eastAsia" w:eastAsiaTheme="minorEastAsia"/>
          <w:sz w:val="24"/>
        </w:rPr>
        <w:t>2</w:t>
      </w:r>
      <w:r>
        <w:rPr>
          <w:rFonts w:eastAsiaTheme="minorEastAsia"/>
          <w:color w:val="000000"/>
          <w:sz w:val="24"/>
        </w:rPr>
        <w:t>分。</w:t>
      </w:r>
    </w:p>
    <w:p w14:paraId="2FF20377">
      <w:pPr>
        <w:spacing w:line="360" w:lineRule="auto"/>
        <w:ind w:firstLine="480"/>
        <w:rPr>
          <w:color w:val="000000"/>
          <w:sz w:val="24"/>
        </w:rPr>
      </w:pPr>
      <w:r>
        <w:rPr>
          <w:rFonts w:eastAsiaTheme="minorEastAsia"/>
          <w:color w:val="000000"/>
          <w:sz w:val="24"/>
        </w:rPr>
        <w:t>课程考试不设补考环节，</w:t>
      </w:r>
      <w:r>
        <w:rPr>
          <w:color w:val="000000"/>
          <w:sz w:val="24"/>
        </w:rPr>
        <w:t>考试成绩低于60分的需重修。</w:t>
      </w:r>
    </w:p>
    <w:p w14:paraId="1CD25588">
      <w:pPr>
        <w:spacing w:line="360" w:lineRule="auto"/>
        <w:ind w:firstLine="480"/>
        <w:rPr>
          <w:i/>
          <w:color w:val="000000"/>
          <w:sz w:val="24"/>
        </w:rPr>
      </w:pPr>
      <w:r>
        <w:rPr>
          <w:i/>
          <w:color w:val="000000"/>
          <w:sz w:val="24"/>
        </w:rPr>
        <w:t xml:space="preserve">    </w:t>
      </w:r>
    </w:p>
    <w:p w14:paraId="0F8F5E40">
      <w:pPr>
        <w:spacing w:after="156" w:afterLines="50" w:line="360" w:lineRule="auto"/>
        <w:ind w:firstLine="482" w:firstLineChars="200"/>
        <w:jc w:val="center"/>
        <w:rPr>
          <w:rFonts w:eastAsiaTheme="minorEastAsia"/>
          <w:b/>
          <w:bCs/>
          <w:sz w:val="24"/>
        </w:rPr>
      </w:pPr>
      <w:r>
        <w:rPr>
          <w:rFonts w:hint="eastAsia" w:eastAsiaTheme="minorEastAsia"/>
          <w:b/>
          <w:bCs/>
          <w:sz w:val="24"/>
        </w:rPr>
        <w:t>考古学</w:t>
      </w:r>
      <w:r>
        <w:rPr>
          <w:rFonts w:eastAsiaTheme="minorEastAsia"/>
          <w:b/>
          <w:bCs/>
          <w:sz w:val="24"/>
        </w:rPr>
        <w:t>专业学术学位硕士研究生课程及培养环节设置一览表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5D13347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6A4AB727">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4F6136D2">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5F810675">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73E18D1E">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2EEFB734">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3D5410BF">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422D46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4D0CB91">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91E49B4">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39FE3191">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67C063D6">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AC2F29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03E2642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F27F977">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5B9A1BE7">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457C91A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5DEF12EC">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37B5D9DA">
            <w:pPr>
              <w:spacing w:line="360" w:lineRule="auto"/>
              <w:jc w:val="center"/>
              <w:rPr>
                <w:b/>
                <w:color w:val="000000" w:themeColor="text1"/>
                <w:sz w:val="18"/>
                <w:szCs w:val="18"/>
                <w14:textFill>
                  <w14:solidFill>
                    <w14:schemeClr w14:val="tx1"/>
                  </w14:solidFill>
                </w14:textFill>
              </w:rPr>
            </w:pPr>
          </w:p>
        </w:tc>
        <w:tc>
          <w:tcPr>
            <w:tcW w:w="3516" w:type="dxa"/>
            <w:vAlign w:val="center"/>
          </w:tcPr>
          <w:p w14:paraId="56734C2C">
            <w:pPr>
              <w:spacing w:line="360" w:lineRule="auto"/>
              <w:rPr>
                <w:sz w:val="18"/>
                <w:szCs w:val="18"/>
              </w:rPr>
            </w:pPr>
            <w:r>
              <w:rPr>
                <w:sz w:val="18"/>
                <w:szCs w:val="18"/>
              </w:rPr>
              <w:t>通用学术英语</w:t>
            </w:r>
          </w:p>
        </w:tc>
        <w:tc>
          <w:tcPr>
            <w:tcW w:w="1081" w:type="dxa"/>
            <w:vAlign w:val="center"/>
          </w:tcPr>
          <w:p w14:paraId="203E14DE">
            <w:pPr>
              <w:spacing w:line="360" w:lineRule="auto"/>
              <w:jc w:val="center"/>
              <w:rPr>
                <w:sz w:val="18"/>
                <w:szCs w:val="18"/>
              </w:rPr>
            </w:pPr>
            <w:r>
              <w:rPr>
                <w:sz w:val="18"/>
                <w:szCs w:val="18"/>
              </w:rPr>
              <w:t>TS0000002</w:t>
            </w:r>
          </w:p>
        </w:tc>
        <w:tc>
          <w:tcPr>
            <w:tcW w:w="709" w:type="dxa"/>
            <w:vAlign w:val="center"/>
          </w:tcPr>
          <w:p w14:paraId="08B35D2C">
            <w:pPr>
              <w:spacing w:line="360" w:lineRule="auto"/>
              <w:jc w:val="center"/>
              <w:rPr>
                <w:sz w:val="18"/>
                <w:szCs w:val="18"/>
              </w:rPr>
            </w:pPr>
            <w:r>
              <w:rPr>
                <w:sz w:val="18"/>
                <w:szCs w:val="18"/>
              </w:rPr>
              <w:t>2</w:t>
            </w:r>
          </w:p>
        </w:tc>
        <w:tc>
          <w:tcPr>
            <w:tcW w:w="709" w:type="dxa"/>
            <w:vAlign w:val="center"/>
          </w:tcPr>
          <w:p w14:paraId="640A1043">
            <w:pPr>
              <w:spacing w:line="360" w:lineRule="auto"/>
              <w:jc w:val="center"/>
              <w:rPr>
                <w:sz w:val="18"/>
                <w:szCs w:val="18"/>
              </w:rPr>
            </w:pPr>
            <w:r>
              <w:rPr>
                <w:sz w:val="18"/>
                <w:szCs w:val="18"/>
              </w:rPr>
              <w:t>1</w:t>
            </w:r>
          </w:p>
        </w:tc>
        <w:tc>
          <w:tcPr>
            <w:tcW w:w="1045" w:type="dxa"/>
            <w:vAlign w:val="center"/>
          </w:tcPr>
          <w:p w14:paraId="711ECBC7">
            <w:pPr>
              <w:spacing w:line="360" w:lineRule="auto"/>
              <w:jc w:val="center"/>
              <w:rPr>
                <w:sz w:val="18"/>
                <w:szCs w:val="18"/>
              </w:rPr>
            </w:pPr>
            <w:r>
              <w:rPr>
                <w:rFonts w:hint="eastAsia"/>
                <w:sz w:val="18"/>
                <w:szCs w:val="18"/>
              </w:rPr>
              <w:t>考查</w:t>
            </w:r>
          </w:p>
        </w:tc>
      </w:tr>
      <w:tr w14:paraId="191E467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6EC46A0">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415E403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57D35560">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vAlign w:val="center"/>
          </w:tcPr>
          <w:p w14:paraId="617F2F52">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674748C2">
            <w:pPr>
              <w:spacing w:line="360" w:lineRule="auto"/>
              <w:jc w:val="center"/>
              <w:rPr>
                <w:i/>
                <w:color w:val="FF0000"/>
                <w:sz w:val="18"/>
                <w:szCs w:val="18"/>
              </w:rPr>
            </w:pPr>
            <w:r>
              <w:rPr>
                <w:rFonts w:hint="eastAsia"/>
                <w:color w:val="000000"/>
                <w:sz w:val="18"/>
                <w:szCs w:val="18"/>
              </w:rPr>
              <w:t>XS1901005</w:t>
            </w:r>
          </w:p>
        </w:tc>
        <w:tc>
          <w:tcPr>
            <w:tcW w:w="709" w:type="dxa"/>
            <w:vAlign w:val="center"/>
          </w:tcPr>
          <w:p w14:paraId="34BF30DD">
            <w:pPr>
              <w:spacing w:line="360" w:lineRule="auto"/>
              <w:jc w:val="center"/>
              <w:rPr>
                <w:color w:val="FF0000"/>
              </w:rPr>
            </w:pPr>
            <w:r>
              <w:rPr>
                <w:rFonts w:hint="eastAsia"/>
                <w:color w:val="000000"/>
                <w:sz w:val="18"/>
                <w:szCs w:val="18"/>
              </w:rPr>
              <w:t>2</w:t>
            </w:r>
          </w:p>
        </w:tc>
        <w:tc>
          <w:tcPr>
            <w:tcW w:w="709" w:type="dxa"/>
            <w:vAlign w:val="center"/>
          </w:tcPr>
          <w:p w14:paraId="25C267D4">
            <w:pPr>
              <w:spacing w:line="360" w:lineRule="auto"/>
              <w:jc w:val="center"/>
              <w:rPr>
                <w:color w:val="FF0000"/>
              </w:rPr>
            </w:pPr>
            <w:r>
              <w:rPr>
                <w:rFonts w:hint="eastAsia"/>
                <w:color w:val="000000"/>
                <w:sz w:val="18"/>
                <w:szCs w:val="18"/>
              </w:rPr>
              <w:t>1</w:t>
            </w:r>
          </w:p>
        </w:tc>
        <w:tc>
          <w:tcPr>
            <w:tcW w:w="1045" w:type="dxa"/>
            <w:vAlign w:val="center"/>
          </w:tcPr>
          <w:p w14:paraId="2E15E5D1">
            <w:pPr>
              <w:spacing w:line="360" w:lineRule="auto"/>
              <w:jc w:val="center"/>
              <w:rPr>
                <w:i/>
                <w:color w:val="FF0000"/>
                <w:sz w:val="18"/>
                <w:szCs w:val="18"/>
              </w:rPr>
            </w:pPr>
            <w:r>
              <w:rPr>
                <w:rFonts w:hint="eastAsia"/>
                <w:color w:val="000000"/>
                <w:sz w:val="18"/>
                <w:szCs w:val="18"/>
              </w:rPr>
              <w:t>考查</w:t>
            </w:r>
          </w:p>
        </w:tc>
      </w:tr>
      <w:tr w14:paraId="786BDBC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981036A">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56CD359">
            <w:pPr>
              <w:spacing w:line="360" w:lineRule="auto"/>
              <w:jc w:val="center"/>
              <w:rPr>
                <w:b/>
                <w:color w:val="000000" w:themeColor="text1"/>
                <w:sz w:val="18"/>
                <w:szCs w:val="18"/>
                <w14:textFill>
                  <w14:solidFill>
                    <w14:schemeClr w14:val="tx1"/>
                  </w14:solidFill>
                </w14:textFill>
              </w:rPr>
            </w:pPr>
          </w:p>
        </w:tc>
        <w:tc>
          <w:tcPr>
            <w:tcW w:w="3516" w:type="dxa"/>
            <w:vAlign w:val="center"/>
          </w:tcPr>
          <w:p w14:paraId="5AF4CF01">
            <w:pPr>
              <w:adjustRightInd w:val="0"/>
              <w:snapToGrid w:val="0"/>
              <w:spacing w:line="360" w:lineRule="auto"/>
              <w:rPr>
                <w:iCs/>
                <w:sz w:val="18"/>
                <w:szCs w:val="18"/>
              </w:rPr>
            </w:pPr>
            <w:r>
              <w:rPr>
                <w:rFonts w:hint="eastAsia"/>
                <w:iCs/>
                <w:sz w:val="18"/>
                <w:szCs w:val="18"/>
              </w:rPr>
              <w:t>考古学理论与考古学史</w:t>
            </w:r>
          </w:p>
        </w:tc>
        <w:tc>
          <w:tcPr>
            <w:tcW w:w="1081" w:type="dxa"/>
            <w:vAlign w:val="bottom"/>
          </w:tcPr>
          <w:p w14:paraId="7CB632C0">
            <w:pPr>
              <w:spacing w:line="360" w:lineRule="auto"/>
              <w:jc w:val="center"/>
              <w:rPr>
                <w:color w:val="FF0000"/>
                <w:sz w:val="18"/>
                <w:szCs w:val="18"/>
              </w:rPr>
            </w:pPr>
            <w:r>
              <w:rPr>
                <w:rFonts w:hint="eastAsia"/>
                <w:color w:val="000000"/>
                <w:sz w:val="18"/>
                <w:szCs w:val="18"/>
              </w:rPr>
              <w:t>XS1901001</w:t>
            </w:r>
          </w:p>
        </w:tc>
        <w:tc>
          <w:tcPr>
            <w:tcW w:w="709" w:type="dxa"/>
            <w:vAlign w:val="center"/>
          </w:tcPr>
          <w:p w14:paraId="74C5E456">
            <w:pPr>
              <w:spacing w:line="360" w:lineRule="auto"/>
              <w:jc w:val="center"/>
              <w:rPr>
                <w:color w:val="FF0000"/>
              </w:rPr>
            </w:pPr>
            <w:r>
              <w:rPr>
                <w:rFonts w:hint="eastAsia"/>
                <w:color w:val="000000"/>
                <w:sz w:val="18"/>
                <w:szCs w:val="18"/>
              </w:rPr>
              <w:t>2</w:t>
            </w:r>
          </w:p>
        </w:tc>
        <w:tc>
          <w:tcPr>
            <w:tcW w:w="709" w:type="dxa"/>
            <w:vAlign w:val="center"/>
          </w:tcPr>
          <w:p w14:paraId="66D5A95B">
            <w:pPr>
              <w:spacing w:line="360" w:lineRule="auto"/>
              <w:jc w:val="center"/>
              <w:rPr>
                <w:color w:val="FF0000"/>
              </w:rPr>
            </w:pPr>
            <w:r>
              <w:rPr>
                <w:rFonts w:hint="eastAsia"/>
                <w:color w:val="000000"/>
                <w:sz w:val="18"/>
                <w:szCs w:val="18"/>
              </w:rPr>
              <w:t>1</w:t>
            </w:r>
          </w:p>
        </w:tc>
        <w:tc>
          <w:tcPr>
            <w:tcW w:w="1045" w:type="dxa"/>
            <w:vAlign w:val="center"/>
          </w:tcPr>
          <w:p w14:paraId="2DCEFA7A">
            <w:pPr>
              <w:spacing w:line="360" w:lineRule="auto"/>
              <w:jc w:val="center"/>
              <w:rPr>
                <w:color w:val="FF0000"/>
                <w:sz w:val="18"/>
                <w:szCs w:val="18"/>
              </w:rPr>
            </w:pPr>
            <w:r>
              <w:rPr>
                <w:color w:val="000000"/>
                <w:sz w:val="18"/>
                <w:szCs w:val="18"/>
              </w:rPr>
              <w:t>考查</w:t>
            </w:r>
          </w:p>
        </w:tc>
      </w:tr>
      <w:tr w14:paraId="0E6D376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CDC6499">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0E0C17AE">
            <w:pPr>
              <w:spacing w:line="360" w:lineRule="auto"/>
              <w:jc w:val="center"/>
              <w:rPr>
                <w:b/>
                <w:color w:val="000000" w:themeColor="text1"/>
                <w:sz w:val="18"/>
                <w:szCs w:val="18"/>
                <w14:textFill>
                  <w14:solidFill>
                    <w14:schemeClr w14:val="tx1"/>
                  </w14:solidFill>
                </w14:textFill>
              </w:rPr>
            </w:pPr>
          </w:p>
        </w:tc>
        <w:tc>
          <w:tcPr>
            <w:tcW w:w="3516" w:type="dxa"/>
            <w:vAlign w:val="center"/>
          </w:tcPr>
          <w:p w14:paraId="00F51660">
            <w:pPr>
              <w:adjustRightInd w:val="0"/>
              <w:snapToGrid w:val="0"/>
              <w:spacing w:line="360" w:lineRule="auto"/>
              <w:rPr>
                <w:iCs/>
                <w:sz w:val="18"/>
                <w:szCs w:val="18"/>
              </w:rPr>
            </w:pPr>
            <w:r>
              <w:rPr>
                <w:rFonts w:hint="eastAsia"/>
                <w:iCs/>
                <w:sz w:val="18"/>
                <w:szCs w:val="18"/>
              </w:rPr>
              <w:t>田野考古学</w:t>
            </w:r>
          </w:p>
        </w:tc>
        <w:tc>
          <w:tcPr>
            <w:tcW w:w="1081" w:type="dxa"/>
            <w:vAlign w:val="bottom"/>
          </w:tcPr>
          <w:p w14:paraId="55682223">
            <w:pPr>
              <w:spacing w:line="360" w:lineRule="auto"/>
              <w:jc w:val="center"/>
              <w:rPr>
                <w:color w:val="FF0000"/>
                <w:sz w:val="18"/>
                <w:szCs w:val="18"/>
              </w:rPr>
            </w:pPr>
            <w:r>
              <w:rPr>
                <w:rFonts w:hint="eastAsia"/>
                <w:color w:val="000000"/>
                <w:sz w:val="18"/>
                <w:szCs w:val="18"/>
              </w:rPr>
              <w:t>XS1901002</w:t>
            </w:r>
          </w:p>
        </w:tc>
        <w:tc>
          <w:tcPr>
            <w:tcW w:w="709" w:type="dxa"/>
            <w:vAlign w:val="center"/>
          </w:tcPr>
          <w:p w14:paraId="16F27A93">
            <w:pPr>
              <w:spacing w:line="360" w:lineRule="auto"/>
              <w:jc w:val="center"/>
              <w:rPr>
                <w:color w:val="FF0000"/>
              </w:rPr>
            </w:pPr>
            <w:r>
              <w:rPr>
                <w:rFonts w:hint="eastAsia"/>
                <w:color w:val="000000"/>
                <w:sz w:val="18"/>
                <w:szCs w:val="18"/>
              </w:rPr>
              <w:t>2</w:t>
            </w:r>
          </w:p>
        </w:tc>
        <w:tc>
          <w:tcPr>
            <w:tcW w:w="709" w:type="dxa"/>
            <w:vAlign w:val="center"/>
          </w:tcPr>
          <w:p w14:paraId="6F5520E2">
            <w:pPr>
              <w:spacing w:line="360" w:lineRule="auto"/>
              <w:jc w:val="center"/>
              <w:rPr>
                <w:color w:val="FF0000"/>
              </w:rPr>
            </w:pPr>
            <w:r>
              <w:rPr>
                <w:rFonts w:hint="eastAsia"/>
                <w:color w:val="000000"/>
                <w:sz w:val="18"/>
                <w:szCs w:val="18"/>
              </w:rPr>
              <w:t>1</w:t>
            </w:r>
          </w:p>
        </w:tc>
        <w:tc>
          <w:tcPr>
            <w:tcW w:w="1045" w:type="dxa"/>
            <w:vAlign w:val="center"/>
          </w:tcPr>
          <w:p w14:paraId="2FDB62E2">
            <w:pPr>
              <w:spacing w:line="360" w:lineRule="auto"/>
              <w:jc w:val="center"/>
              <w:rPr>
                <w:color w:val="FF0000"/>
                <w:sz w:val="18"/>
                <w:szCs w:val="18"/>
              </w:rPr>
            </w:pPr>
            <w:r>
              <w:rPr>
                <w:color w:val="000000"/>
                <w:sz w:val="18"/>
                <w:szCs w:val="18"/>
              </w:rPr>
              <w:t>考查</w:t>
            </w:r>
          </w:p>
        </w:tc>
      </w:tr>
      <w:tr w14:paraId="2F50AF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EF3CA02">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399962CD">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4C703587">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tcPr>
          <w:p w14:paraId="07C25AD5">
            <w:pPr>
              <w:spacing w:line="360" w:lineRule="auto"/>
            </w:pPr>
            <w:r>
              <w:rPr>
                <w:rFonts w:hint="eastAsia"/>
                <w:iCs/>
                <w:sz w:val="18"/>
                <w:szCs w:val="18"/>
              </w:rPr>
              <w:t>断代考古</w:t>
            </w:r>
          </w:p>
        </w:tc>
        <w:tc>
          <w:tcPr>
            <w:tcW w:w="1081" w:type="dxa"/>
            <w:vAlign w:val="center"/>
          </w:tcPr>
          <w:p w14:paraId="4623483D">
            <w:pPr>
              <w:spacing w:line="360" w:lineRule="auto"/>
              <w:jc w:val="center"/>
              <w:rPr>
                <w:color w:val="FF0000"/>
                <w:sz w:val="18"/>
                <w:szCs w:val="18"/>
              </w:rPr>
            </w:pPr>
            <w:r>
              <w:rPr>
                <w:rFonts w:hint="eastAsia"/>
                <w:color w:val="000000"/>
                <w:sz w:val="18"/>
                <w:szCs w:val="18"/>
              </w:rPr>
              <w:t>XS190100</w:t>
            </w:r>
            <w:r>
              <w:rPr>
                <w:color w:val="000000"/>
                <w:sz w:val="18"/>
                <w:szCs w:val="18"/>
              </w:rPr>
              <w:t>7</w:t>
            </w:r>
          </w:p>
        </w:tc>
        <w:tc>
          <w:tcPr>
            <w:tcW w:w="709" w:type="dxa"/>
            <w:vAlign w:val="center"/>
          </w:tcPr>
          <w:p w14:paraId="5297221A">
            <w:pPr>
              <w:spacing w:line="360" w:lineRule="auto"/>
              <w:jc w:val="center"/>
              <w:rPr>
                <w:color w:val="FF0000"/>
              </w:rPr>
            </w:pPr>
            <w:r>
              <w:rPr>
                <w:rFonts w:hint="eastAsia"/>
                <w:color w:val="000000"/>
                <w:sz w:val="18"/>
                <w:szCs w:val="18"/>
              </w:rPr>
              <w:t>3</w:t>
            </w:r>
          </w:p>
        </w:tc>
        <w:tc>
          <w:tcPr>
            <w:tcW w:w="709" w:type="dxa"/>
            <w:vAlign w:val="center"/>
          </w:tcPr>
          <w:p w14:paraId="0B042666">
            <w:pPr>
              <w:spacing w:line="360" w:lineRule="auto"/>
              <w:jc w:val="center"/>
              <w:rPr>
                <w:color w:val="FF0000"/>
              </w:rPr>
            </w:pPr>
            <w:r>
              <w:rPr>
                <w:rFonts w:hint="eastAsia"/>
                <w:color w:val="000000"/>
                <w:sz w:val="18"/>
                <w:szCs w:val="18"/>
              </w:rPr>
              <w:t>1</w:t>
            </w:r>
          </w:p>
        </w:tc>
        <w:tc>
          <w:tcPr>
            <w:tcW w:w="1045" w:type="dxa"/>
            <w:vAlign w:val="center"/>
          </w:tcPr>
          <w:p w14:paraId="3941E08F">
            <w:pPr>
              <w:spacing w:line="360" w:lineRule="auto"/>
              <w:jc w:val="center"/>
              <w:rPr>
                <w:color w:val="FF0000"/>
                <w:sz w:val="18"/>
                <w:szCs w:val="18"/>
              </w:rPr>
            </w:pPr>
            <w:r>
              <w:rPr>
                <w:color w:val="000000"/>
                <w:sz w:val="18"/>
                <w:szCs w:val="18"/>
              </w:rPr>
              <w:t>考查</w:t>
            </w:r>
          </w:p>
        </w:tc>
      </w:tr>
      <w:tr w14:paraId="4A64A4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5589583">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726C8BDE">
            <w:pPr>
              <w:spacing w:line="360" w:lineRule="auto"/>
              <w:jc w:val="center"/>
              <w:rPr>
                <w:b/>
                <w:color w:val="000000" w:themeColor="text1"/>
                <w:sz w:val="18"/>
                <w:szCs w:val="18"/>
                <w14:textFill>
                  <w14:solidFill>
                    <w14:schemeClr w14:val="tx1"/>
                  </w14:solidFill>
                </w14:textFill>
              </w:rPr>
            </w:pPr>
          </w:p>
        </w:tc>
        <w:tc>
          <w:tcPr>
            <w:tcW w:w="3516" w:type="dxa"/>
          </w:tcPr>
          <w:p w14:paraId="493EB637">
            <w:pPr>
              <w:spacing w:line="360" w:lineRule="auto"/>
            </w:pPr>
            <w:r>
              <w:rPr>
                <w:rFonts w:hint="eastAsia" w:ascii="宋体" w:hAnsi="宋体" w:cs="宋体"/>
                <w:bCs/>
                <w:sz w:val="18"/>
                <w:szCs w:val="18"/>
              </w:rPr>
              <w:t>博物馆学历史与理论</w:t>
            </w:r>
          </w:p>
        </w:tc>
        <w:tc>
          <w:tcPr>
            <w:tcW w:w="1081" w:type="dxa"/>
            <w:vAlign w:val="center"/>
          </w:tcPr>
          <w:p w14:paraId="05E12B7C">
            <w:pPr>
              <w:spacing w:line="360" w:lineRule="auto"/>
              <w:jc w:val="center"/>
              <w:rPr>
                <w:sz w:val="18"/>
                <w:szCs w:val="18"/>
              </w:rPr>
            </w:pPr>
            <w:r>
              <w:rPr>
                <w:rFonts w:hint="eastAsia"/>
                <w:sz w:val="18"/>
                <w:szCs w:val="18"/>
              </w:rPr>
              <w:t>XS190100</w:t>
            </w:r>
            <w:r>
              <w:rPr>
                <w:sz w:val="18"/>
                <w:szCs w:val="18"/>
              </w:rPr>
              <w:t>6</w:t>
            </w:r>
          </w:p>
        </w:tc>
        <w:tc>
          <w:tcPr>
            <w:tcW w:w="709" w:type="dxa"/>
            <w:vAlign w:val="center"/>
          </w:tcPr>
          <w:p w14:paraId="2A4DDCCF">
            <w:pPr>
              <w:spacing w:line="360" w:lineRule="auto"/>
              <w:jc w:val="center"/>
            </w:pPr>
            <w:r>
              <w:rPr>
                <w:rFonts w:hint="eastAsia"/>
                <w:sz w:val="18"/>
                <w:szCs w:val="18"/>
              </w:rPr>
              <w:t>3</w:t>
            </w:r>
          </w:p>
        </w:tc>
        <w:tc>
          <w:tcPr>
            <w:tcW w:w="709" w:type="dxa"/>
            <w:vAlign w:val="center"/>
          </w:tcPr>
          <w:p w14:paraId="081CC3D9">
            <w:pPr>
              <w:spacing w:line="360" w:lineRule="auto"/>
              <w:jc w:val="center"/>
            </w:pPr>
            <w:r>
              <w:rPr>
                <w:rFonts w:hint="eastAsia"/>
                <w:sz w:val="18"/>
                <w:szCs w:val="18"/>
              </w:rPr>
              <w:t>1</w:t>
            </w:r>
          </w:p>
        </w:tc>
        <w:tc>
          <w:tcPr>
            <w:tcW w:w="1045" w:type="dxa"/>
            <w:vAlign w:val="center"/>
          </w:tcPr>
          <w:p w14:paraId="52921CB8">
            <w:pPr>
              <w:spacing w:line="360" w:lineRule="auto"/>
              <w:jc w:val="center"/>
              <w:rPr>
                <w:sz w:val="18"/>
                <w:szCs w:val="18"/>
              </w:rPr>
            </w:pPr>
            <w:r>
              <w:rPr>
                <w:sz w:val="18"/>
                <w:szCs w:val="18"/>
              </w:rPr>
              <w:t>考查</w:t>
            </w:r>
          </w:p>
        </w:tc>
      </w:tr>
      <w:tr w14:paraId="57E88B1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11FCEF55">
            <w:pPr>
              <w:spacing w:line="360" w:lineRule="auto"/>
              <w:jc w:val="center"/>
              <w:rPr>
                <w:b/>
                <w:sz w:val="18"/>
                <w:szCs w:val="18"/>
              </w:rPr>
            </w:pPr>
            <w:r>
              <w:rPr>
                <w:b/>
                <w:sz w:val="18"/>
                <w:szCs w:val="18"/>
              </w:rPr>
              <w:t>非学位课</w:t>
            </w:r>
          </w:p>
        </w:tc>
        <w:tc>
          <w:tcPr>
            <w:tcW w:w="1226" w:type="dxa"/>
            <w:vMerge w:val="restart"/>
            <w:vAlign w:val="center"/>
          </w:tcPr>
          <w:p w14:paraId="2F765471">
            <w:pPr>
              <w:spacing w:line="360" w:lineRule="auto"/>
              <w:jc w:val="center"/>
              <w:rPr>
                <w:b/>
                <w:sz w:val="18"/>
                <w:szCs w:val="18"/>
              </w:rPr>
            </w:pPr>
            <w:r>
              <w:rPr>
                <w:b/>
                <w:sz w:val="18"/>
                <w:szCs w:val="18"/>
              </w:rPr>
              <w:t>公共通识课</w:t>
            </w:r>
          </w:p>
          <w:p w14:paraId="69922E3E">
            <w:pPr>
              <w:spacing w:line="360" w:lineRule="auto"/>
              <w:jc w:val="center"/>
              <w:rPr>
                <w:b/>
                <w:sz w:val="18"/>
                <w:szCs w:val="18"/>
              </w:rPr>
            </w:pPr>
            <w:r>
              <w:rPr>
                <w:b/>
                <w:sz w:val="18"/>
                <w:szCs w:val="18"/>
              </w:rPr>
              <w:t>（2学分）</w:t>
            </w:r>
          </w:p>
        </w:tc>
        <w:tc>
          <w:tcPr>
            <w:tcW w:w="3516" w:type="dxa"/>
            <w:vAlign w:val="center"/>
          </w:tcPr>
          <w:p w14:paraId="2804ED65">
            <w:pPr>
              <w:spacing w:line="360" w:lineRule="auto"/>
              <w:rPr>
                <w:sz w:val="18"/>
                <w:szCs w:val="18"/>
              </w:rPr>
            </w:pPr>
            <w:r>
              <w:rPr>
                <w:sz w:val="18"/>
                <w:szCs w:val="18"/>
              </w:rPr>
              <w:t>《习近平谈治国理政》研读</w:t>
            </w:r>
          </w:p>
        </w:tc>
        <w:tc>
          <w:tcPr>
            <w:tcW w:w="1081" w:type="dxa"/>
            <w:vAlign w:val="center"/>
          </w:tcPr>
          <w:p w14:paraId="6014129B">
            <w:pPr>
              <w:spacing w:line="360" w:lineRule="auto"/>
              <w:jc w:val="center"/>
              <w:rPr>
                <w:sz w:val="18"/>
                <w:szCs w:val="18"/>
              </w:rPr>
            </w:pPr>
            <w:r>
              <w:rPr>
                <w:sz w:val="18"/>
                <w:szCs w:val="18"/>
              </w:rPr>
              <w:t>TT0000101</w:t>
            </w:r>
          </w:p>
        </w:tc>
        <w:tc>
          <w:tcPr>
            <w:tcW w:w="709" w:type="dxa"/>
            <w:vAlign w:val="center"/>
          </w:tcPr>
          <w:p w14:paraId="7D1AB91E">
            <w:pPr>
              <w:spacing w:line="360" w:lineRule="auto"/>
              <w:jc w:val="center"/>
              <w:rPr>
                <w:sz w:val="18"/>
                <w:szCs w:val="18"/>
              </w:rPr>
            </w:pPr>
            <w:r>
              <w:rPr>
                <w:sz w:val="18"/>
                <w:szCs w:val="18"/>
              </w:rPr>
              <w:t>1</w:t>
            </w:r>
          </w:p>
        </w:tc>
        <w:tc>
          <w:tcPr>
            <w:tcW w:w="709" w:type="dxa"/>
            <w:vAlign w:val="center"/>
          </w:tcPr>
          <w:p w14:paraId="053CBAEC">
            <w:pPr>
              <w:spacing w:line="360" w:lineRule="auto"/>
              <w:jc w:val="center"/>
              <w:rPr>
                <w:sz w:val="18"/>
                <w:szCs w:val="18"/>
              </w:rPr>
            </w:pPr>
            <w:r>
              <w:rPr>
                <w:sz w:val="18"/>
                <w:szCs w:val="18"/>
              </w:rPr>
              <w:t>2</w:t>
            </w:r>
          </w:p>
        </w:tc>
        <w:tc>
          <w:tcPr>
            <w:tcW w:w="1045" w:type="dxa"/>
            <w:vAlign w:val="center"/>
          </w:tcPr>
          <w:p w14:paraId="05DBAF81">
            <w:pPr>
              <w:spacing w:line="360" w:lineRule="auto"/>
              <w:jc w:val="center"/>
              <w:rPr>
                <w:sz w:val="18"/>
                <w:szCs w:val="18"/>
              </w:rPr>
            </w:pPr>
            <w:r>
              <w:rPr>
                <w:sz w:val="18"/>
                <w:szCs w:val="18"/>
              </w:rPr>
              <w:t>考查</w:t>
            </w:r>
          </w:p>
        </w:tc>
      </w:tr>
      <w:tr w14:paraId="5DE6141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80" w:hRule="atLeast"/>
          <w:jc w:val="center"/>
        </w:trPr>
        <w:tc>
          <w:tcPr>
            <w:tcW w:w="571" w:type="dxa"/>
            <w:vMerge w:val="continue"/>
            <w:vAlign w:val="center"/>
          </w:tcPr>
          <w:p w14:paraId="0F2C6658">
            <w:pPr>
              <w:spacing w:line="360" w:lineRule="auto"/>
              <w:jc w:val="center"/>
              <w:rPr>
                <w:b/>
                <w:sz w:val="18"/>
                <w:szCs w:val="18"/>
              </w:rPr>
            </w:pPr>
          </w:p>
        </w:tc>
        <w:tc>
          <w:tcPr>
            <w:tcW w:w="1226" w:type="dxa"/>
            <w:vMerge w:val="continue"/>
            <w:vAlign w:val="center"/>
          </w:tcPr>
          <w:p w14:paraId="355EFCE9">
            <w:pPr>
              <w:spacing w:line="360" w:lineRule="auto"/>
              <w:jc w:val="center"/>
              <w:rPr>
                <w:b/>
                <w:sz w:val="18"/>
                <w:szCs w:val="18"/>
              </w:rPr>
            </w:pPr>
          </w:p>
        </w:tc>
        <w:tc>
          <w:tcPr>
            <w:tcW w:w="3516" w:type="dxa"/>
            <w:vAlign w:val="center"/>
          </w:tcPr>
          <w:p w14:paraId="1819404D">
            <w:pPr>
              <w:spacing w:line="360" w:lineRule="auto"/>
              <w:rPr>
                <w:sz w:val="18"/>
                <w:szCs w:val="18"/>
              </w:rPr>
            </w:pPr>
            <w:r>
              <w:rPr>
                <w:sz w:val="18"/>
                <w:szCs w:val="18"/>
              </w:rPr>
              <w:t>马克思主义与社会科学方法论</w:t>
            </w:r>
          </w:p>
        </w:tc>
        <w:tc>
          <w:tcPr>
            <w:tcW w:w="1081" w:type="dxa"/>
            <w:vAlign w:val="center"/>
          </w:tcPr>
          <w:p w14:paraId="1BC492A8">
            <w:pPr>
              <w:spacing w:line="360" w:lineRule="auto"/>
              <w:jc w:val="center"/>
              <w:rPr>
                <w:sz w:val="18"/>
                <w:szCs w:val="18"/>
              </w:rPr>
            </w:pPr>
            <w:r>
              <w:rPr>
                <w:sz w:val="18"/>
                <w:szCs w:val="18"/>
              </w:rPr>
              <w:t>TS0000101</w:t>
            </w:r>
          </w:p>
        </w:tc>
        <w:tc>
          <w:tcPr>
            <w:tcW w:w="709" w:type="dxa"/>
            <w:vAlign w:val="center"/>
          </w:tcPr>
          <w:p w14:paraId="5F3AF1D9">
            <w:pPr>
              <w:spacing w:line="360" w:lineRule="auto"/>
              <w:jc w:val="center"/>
              <w:rPr>
                <w:sz w:val="18"/>
                <w:szCs w:val="18"/>
              </w:rPr>
            </w:pPr>
            <w:r>
              <w:rPr>
                <w:sz w:val="18"/>
                <w:szCs w:val="18"/>
              </w:rPr>
              <w:t>1</w:t>
            </w:r>
          </w:p>
        </w:tc>
        <w:tc>
          <w:tcPr>
            <w:tcW w:w="709" w:type="dxa"/>
            <w:vAlign w:val="center"/>
          </w:tcPr>
          <w:p w14:paraId="735D0239">
            <w:pPr>
              <w:spacing w:line="360" w:lineRule="auto"/>
              <w:jc w:val="center"/>
              <w:rPr>
                <w:sz w:val="18"/>
                <w:szCs w:val="18"/>
              </w:rPr>
            </w:pPr>
            <w:r>
              <w:rPr>
                <w:sz w:val="18"/>
                <w:szCs w:val="18"/>
              </w:rPr>
              <w:t>2</w:t>
            </w:r>
          </w:p>
        </w:tc>
        <w:tc>
          <w:tcPr>
            <w:tcW w:w="1045" w:type="dxa"/>
            <w:vMerge w:val="restart"/>
            <w:vAlign w:val="center"/>
          </w:tcPr>
          <w:p w14:paraId="522B303A">
            <w:pPr>
              <w:spacing w:line="360" w:lineRule="auto"/>
              <w:jc w:val="center"/>
              <w:rPr>
                <w:sz w:val="18"/>
                <w:szCs w:val="18"/>
              </w:rPr>
            </w:pPr>
            <w:r>
              <w:rPr>
                <w:sz w:val="18"/>
                <w:szCs w:val="18"/>
              </w:rPr>
              <w:t>考查</w:t>
            </w:r>
          </w:p>
        </w:tc>
      </w:tr>
      <w:tr w14:paraId="29DF319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E9D62DD">
            <w:pPr>
              <w:spacing w:line="360" w:lineRule="auto"/>
              <w:rPr>
                <w:b/>
                <w:sz w:val="18"/>
                <w:szCs w:val="18"/>
              </w:rPr>
            </w:pPr>
          </w:p>
        </w:tc>
        <w:tc>
          <w:tcPr>
            <w:tcW w:w="1226" w:type="dxa"/>
            <w:vMerge w:val="restart"/>
            <w:vAlign w:val="center"/>
          </w:tcPr>
          <w:p w14:paraId="56E68E14">
            <w:pPr>
              <w:adjustRightInd w:val="0"/>
              <w:snapToGrid w:val="0"/>
              <w:spacing w:line="360" w:lineRule="auto"/>
              <w:jc w:val="center"/>
              <w:rPr>
                <w:b/>
                <w:sz w:val="18"/>
                <w:szCs w:val="18"/>
              </w:rPr>
            </w:pPr>
            <w:r>
              <w:rPr>
                <w:b/>
                <w:sz w:val="18"/>
                <w:szCs w:val="18"/>
              </w:rPr>
              <w:t>选修课</w:t>
            </w:r>
          </w:p>
          <w:p w14:paraId="65E56E47">
            <w:pPr>
              <w:adjustRightInd w:val="0"/>
              <w:snapToGrid w:val="0"/>
              <w:spacing w:line="360" w:lineRule="auto"/>
              <w:jc w:val="center"/>
              <w:rPr>
                <w:b/>
                <w:sz w:val="18"/>
                <w:szCs w:val="18"/>
              </w:rPr>
            </w:pPr>
          </w:p>
        </w:tc>
        <w:tc>
          <w:tcPr>
            <w:tcW w:w="3516" w:type="dxa"/>
            <w:vAlign w:val="center"/>
          </w:tcPr>
          <w:p w14:paraId="2DC491E8">
            <w:pPr>
              <w:spacing w:line="360" w:lineRule="auto"/>
              <w:rPr>
                <w:i/>
                <w:sz w:val="18"/>
                <w:szCs w:val="18"/>
              </w:rPr>
            </w:pPr>
            <w:r>
              <w:rPr>
                <w:rFonts w:hint="eastAsia" w:ascii="宋体" w:hAnsi="宋体" w:cs="宋体"/>
                <w:sz w:val="18"/>
                <w:szCs w:val="18"/>
              </w:rPr>
              <w:t>北方青铜时代考古</w:t>
            </w:r>
          </w:p>
        </w:tc>
        <w:tc>
          <w:tcPr>
            <w:tcW w:w="1081" w:type="dxa"/>
            <w:vAlign w:val="center"/>
          </w:tcPr>
          <w:p w14:paraId="691E2B46">
            <w:pPr>
              <w:spacing w:line="360" w:lineRule="auto"/>
              <w:jc w:val="center"/>
              <w:rPr>
                <w:sz w:val="18"/>
                <w:szCs w:val="18"/>
              </w:rPr>
            </w:pPr>
            <w:r>
              <w:rPr>
                <w:rFonts w:hint="eastAsia"/>
                <w:sz w:val="18"/>
                <w:szCs w:val="18"/>
              </w:rPr>
              <w:t>XS190120</w:t>
            </w:r>
            <w:r>
              <w:rPr>
                <w:sz w:val="18"/>
                <w:szCs w:val="18"/>
              </w:rPr>
              <w:t>4</w:t>
            </w:r>
          </w:p>
        </w:tc>
        <w:tc>
          <w:tcPr>
            <w:tcW w:w="709" w:type="dxa"/>
            <w:vAlign w:val="center"/>
          </w:tcPr>
          <w:p w14:paraId="456F0CE6">
            <w:pPr>
              <w:spacing w:line="360" w:lineRule="auto"/>
              <w:jc w:val="center"/>
            </w:pPr>
            <w:r>
              <w:rPr>
                <w:rFonts w:hint="eastAsia"/>
                <w:sz w:val="18"/>
                <w:szCs w:val="18"/>
              </w:rPr>
              <w:t>2</w:t>
            </w:r>
          </w:p>
        </w:tc>
        <w:tc>
          <w:tcPr>
            <w:tcW w:w="709" w:type="dxa"/>
            <w:vAlign w:val="center"/>
          </w:tcPr>
          <w:p w14:paraId="504E9FAE">
            <w:pPr>
              <w:spacing w:line="360" w:lineRule="auto"/>
              <w:jc w:val="center"/>
            </w:pPr>
            <w:r>
              <w:rPr>
                <w:rFonts w:hint="eastAsia"/>
                <w:sz w:val="18"/>
                <w:szCs w:val="18"/>
              </w:rPr>
              <w:t>2</w:t>
            </w:r>
          </w:p>
        </w:tc>
        <w:tc>
          <w:tcPr>
            <w:tcW w:w="1045" w:type="dxa"/>
            <w:vMerge w:val="restart"/>
            <w:vAlign w:val="center"/>
          </w:tcPr>
          <w:p w14:paraId="7350C507">
            <w:pPr>
              <w:adjustRightInd w:val="0"/>
              <w:snapToGrid w:val="0"/>
              <w:spacing w:line="360" w:lineRule="auto"/>
              <w:jc w:val="center"/>
              <w:rPr>
                <w:sz w:val="18"/>
                <w:szCs w:val="18"/>
              </w:rPr>
            </w:pPr>
            <w:r>
              <w:rPr>
                <w:sz w:val="18"/>
                <w:szCs w:val="18"/>
              </w:rPr>
              <w:t>本方向研究生至少选修</w:t>
            </w:r>
          </w:p>
          <w:p w14:paraId="7CA3902E">
            <w:pPr>
              <w:adjustRightInd w:val="0"/>
              <w:snapToGrid w:val="0"/>
              <w:spacing w:line="360" w:lineRule="auto"/>
              <w:jc w:val="center"/>
              <w:rPr>
                <w:sz w:val="18"/>
                <w:szCs w:val="18"/>
              </w:rPr>
            </w:pPr>
            <w:r>
              <w:rPr>
                <w:rFonts w:hint="eastAsia"/>
                <w:sz w:val="18"/>
                <w:szCs w:val="18"/>
              </w:rPr>
              <w:t>8</w:t>
            </w:r>
            <w:r>
              <w:rPr>
                <w:sz w:val="18"/>
                <w:szCs w:val="18"/>
              </w:rPr>
              <w:t>学分</w:t>
            </w:r>
          </w:p>
        </w:tc>
      </w:tr>
      <w:tr w14:paraId="742E398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84" w:hRule="atLeast"/>
          <w:jc w:val="center"/>
        </w:trPr>
        <w:tc>
          <w:tcPr>
            <w:tcW w:w="571" w:type="dxa"/>
            <w:vMerge w:val="continue"/>
          </w:tcPr>
          <w:p w14:paraId="727F4C71">
            <w:pPr>
              <w:spacing w:line="360" w:lineRule="auto"/>
              <w:rPr>
                <w:b/>
                <w:sz w:val="18"/>
                <w:szCs w:val="18"/>
              </w:rPr>
            </w:pPr>
          </w:p>
        </w:tc>
        <w:tc>
          <w:tcPr>
            <w:tcW w:w="1226" w:type="dxa"/>
            <w:vMerge w:val="continue"/>
            <w:vAlign w:val="center"/>
          </w:tcPr>
          <w:p w14:paraId="18A48749">
            <w:pPr>
              <w:adjustRightInd w:val="0"/>
              <w:snapToGrid w:val="0"/>
              <w:spacing w:line="360" w:lineRule="auto"/>
              <w:jc w:val="center"/>
              <w:rPr>
                <w:b/>
                <w:sz w:val="18"/>
                <w:szCs w:val="18"/>
              </w:rPr>
            </w:pPr>
          </w:p>
        </w:tc>
        <w:tc>
          <w:tcPr>
            <w:tcW w:w="3516" w:type="dxa"/>
            <w:vAlign w:val="center"/>
          </w:tcPr>
          <w:p w14:paraId="7AE6B549">
            <w:pPr>
              <w:spacing w:line="360" w:lineRule="auto"/>
              <w:rPr>
                <w:i/>
                <w:sz w:val="18"/>
                <w:szCs w:val="18"/>
              </w:rPr>
            </w:pPr>
            <w:r>
              <w:rPr>
                <w:rFonts w:hint="eastAsia" w:ascii="宋体" w:hAnsi="宋体" w:cs="宋体"/>
                <w:sz w:val="18"/>
                <w:szCs w:val="18"/>
              </w:rPr>
              <w:t>商周出土文献研究</w:t>
            </w:r>
          </w:p>
        </w:tc>
        <w:tc>
          <w:tcPr>
            <w:tcW w:w="1081" w:type="dxa"/>
            <w:vAlign w:val="center"/>
          </w:tcPr>
          <w:p w14:paraId="7FC5B371">
            <w:pPr>
              <w:spacing w:line="360" w:lineRule="auto"/>
              <w:jc w:val="center"/>
              <w:rPr>
                <w:sz w:val="18"/>
                <w:szCs w:val="18"/>
              </w:rPr>
            </w:pPr>
            <w:r>
              <w:rPr>
                <w:rFonts w:hint="eastAsia"/>
                <w:sz w:val="18"/>
                <w:szCs w:val="18"/>
              </w:rPr>
              <w:t>XS190120</w:t>
            </w:r>
            <w:r>
              <w:rPr>
                <w:sz w:val="18"/>
                <w:szCs w:val="18"/>
              </w:rPr>
              <w:t>9</w:t>
            </w:r>
          </w:p>
        </w:tc>
        <w:tc>
          <w:tcPr>
            <w:tcW w:w="709" w:type="dxa"/>
            <w:vAlign w:val="center"/>
          </w:tcPr>
          <w:p w14:paraId="5E81F50D">
            <w:pPr>
              <w:spacing w:line="360" w:lineRule="auto"/>
              <w:jc w:val="center"/>
            </w:pPr>
            <w:r>
              <w:rPr>
                <w:rFonts w:hint="eastAsia"/>
                <w:sz w:val="18"/>
                <w:szCs w:val="18"/>
              </w:rPr>
              <w:t>2</w:t>
            </w:r>
          </w:p>
        </w:tc>
        <w:tc>
          <w:tcPr>
            <w:tcW w:w="709" w:type="dxa"/>
            <w:vAlign w:val="center"/>
          </w:tcPr>
          <w:p w14:paraId="3AA2EF6E">
            <w:pPr>
              <w:spacing w:line="360" w:lineRule="auto"/>
              <w:jc w:val="center"/>
            </w:pPr>
            <w:r>
              <w:rPr>
                <w:rFonts w:hint="eastAsia"/>
                <w:sz w:val="18"/>
                <w:szCs w:val="18"/>
              </w:rPr>
              <w:t>2</w:t>
            </w:r>
          </w:p>
        </w:tc>
        <w:tc>
          <w:tcPr>
            <w:tcW w:w="1045" w:type="dxa"/>
            <w:vMerge w:val="continue"/>
            <w:vAlign w:val="center"/>
          </w:tcPr>
          <w:p w14:paraId="17C82488">
            <w:pPr>
              <w:adjustRightInd w:val="0"/>
              <w:snapToGrid w:val="0"/>
              <w:spacing w:line="360" w:lineRule="auto"/>
              <w:jc w:val="center"/>
              <w:rPr>
                <w:sz w:val="18"/>
                <w:szCs w:val="18"/>
              </w:rPr>
            </w:pPr>
          </w:p>
        </w:tc>
      </w:tr>
      <w:tr w14:paraId="26B271A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2C615B11">
            <w:pPr>
              <w:spacing w:line="360" w:lineRule="auto"/>
              <w:rPr>
                <w:b/>
                <w:sz w:val="18"/>
                <w:szCs w:val="18"/>
              </w:rPr>
            </w:pPr>
          </w:p>
        </w:tc>
        <w:tc>
          <w:tcPr>
            <w:tcW w:w="1226" w:type="dxa"/>
            <w:vMerge w:val="continue"/>
            <w:vAlign w:val="center"/>
          </w:tcPr>
          <w:p w14:paraId="2DEF540C">
            <w:pPr>
              <w:spacing w:line="360" w:lineRule="auto"/>
              <w:jc w:val="center"/>
              <w:rPr>
                <w:b/>
                <w:sz w:val="18"/>
                <w:szCs w:val="18"/>
              </w:rPr>
            </w:pPr>
          </w:p>
        </w:tc>
        <w:tc>
          <w:tcPr>
            <w:tcW w:w="3516" w:type="dxa"/>
            <w:vAlign w:val="center"/>
          </w:tcPr>
          <w:p w14:paraId="51782507">
            <w:pPr>
              <w:adjustRightInd w:val="0"/>
              <w:snapToGrid w:val="0"/>
              <w:spacing w:line="360" w:lineRule="auto"/>
              <w:rPr>
                <w:i/>
                <w:sz w:val="18"/>
                <w:szCs w:val="18"/>
              </w:rPr>
            </w:pPr>
            <w:r>
              <w:rPr>
                <w:rFonts w:hint="eastAsia" w:ascii="宋体" w:hAnsi="宋体" w:cs="宋体"/>
                <w:sz w:val="18"/>
                <w:szCs w:val="18"/>
              </w:rPr>
              <w:t>青铜器研究</w:t>
            </w:r>
          </w:p>
        </w:tc>
        <w:tc>
          <w:tcPr>
            <w:tcW w:w="1081" w:type="dxa"/>
            <w:vAlign w:val="center"/>
          </w:tcPr>
          <w:p w14:paraId="09316120">
            <w:pPr>
              <w:spacing w:line="360" w:lineRule="auto"/>
              <w:jc w:val="center"/>
              <w:rPr>
                <w:sz w:val="18"/>
                <w:szCs w:val="18"/>
              </w:rPr>
            </w:pPr>
            <w:r>
              <w:rPr>
                <w:rFonts w:hint="eastAsia"/>
                <w:sz w:val="18"/>
                <w:szCs w:val="18"/>
              </w:rPr>
              <w:t>XS19012</w:t>
            </w:r>
            <w:r>
              <w:rPr>
                <w:sz w:val="18"/>
                <w:szCs w:val="18"/>
              </w:rPr>
              <w:t>10</w:t>
            </w:r>
          </w:p>
        </w:tc>
        <w:tc>
          <w:tcPr>
            <w:tcW w:w="709" w:type="dxa"/>
            <w:vAlign w:val="center"/>
          </w:tcPr>
          <w:p w14:paraId="4667CB76">
            <w:pPr>
              <w:spacing w:line="360" w:lineRule="auto"/>
              <w:jc w:val="center"/>
              <w:rPr>
                <w:sz w:val="18"/>
                <w:szCs w:val="18"/>
              </w:rPr>
            </w:pPr>
            <w:r>
              <w:rPr>
                <w:rFonts w:hint="eastAsia"/>
                <w:sz w:val="18"/>
                <w:szCs w:val="18"/>
              </w:rPr>
              <w:t>2</w:t>
            </w:r>
          </w:p>
        </w:tc>
        <w:tc>
          <w:tcPr>
            <w:tcW w:w="709" w:type="dxa"/>
            <w:vAlign w:val="center"/>
          </w:tcPr>
          <w:p w14:paraId="16F5489C">
            <w:pPr>
              <w:spacing w:line="360" w:lineRule="auto"/>
              <w:jc w:val="center"/>
              <w:rPr>
                <w:i/>
                <w:sz w:val="18"/>
                <w:szCs w:val="18"/>
              </w:rPr>
            </w:pPr>
            <w:r>
              <w:rPr>
                <w:rFonts w:hint="eastAsia"/>
                <w:sz w:val="18"/>
                <w:szCs w:val="18"/>
              </w:rPr>
              <w:t>2</w:t>
            </w:r>
          </w:p>
        </w:tc>
        <w:tc>
          <w:tcPr>
            <w:tcW w:w="1045" w:type="dxa"/>
            <w:vMerge w:val="continue"/>
            <w:vAlign w:val="center"/>
          </w:tcPr>
          <w:p w14:paraId="5AEF3ADF">
            <w:pPr>
              <w:spacing w:line="360" w:lineRule="auto"/>
              <w:jc w:val="center"/>
              <w:rPr>
                <w:sz w:val="18"/>
                <w:szCs w:val="18"/>
              </w:rPr>
            </w:pPr>
          </w:p>
        </w:tc>
      </w:tr>
      <w:tr w14:paraId="672EAF2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26BFCC92">
            <w:pPr>
              <w:adjustRightInd w:val="0"/>
              <w:snapToGrid w:val="0"/>
              <w:spacing w:line="360" w:lineRule="auto"/>
            </w:pPr>
          </w:p>
        </w:tc>
        <w:tc>
          <w:tcPr>
            <w:tcW w:w="1226" w:type="dxa"/>
            <w:vMerge w:val="continue"/>
            <w:vAlign w:val="center"/>
          </w:tcPr>
          <w:p w14:paraId="2717C4E6">
            <w:pPr>
              <w:adjustRightInd w:val="0"/>
              <w:snapToGrid w:val="0"/>
              <w:spacing w:line="360" w:lineRule="auto"/>
            </w:pPr>
          </w:p>
        </w:tc>
        <w:tc>
          <w:tcPr>
            <w:tcW w:w="3516" w:type="dxa"/>
            <w:vAlign w:val="center"/>
          </w:tcPr>
          <w:p w14:paraId="55E96673">
            <w:pPr>
              <w:adjustRightInd w:val="0"/>
              <w:snapToGrid w:val="0"/>
              <w:spacing w:line="360" w:lineRule="auto"/>
              <w:rPr>
                <w:rFonts w:ascii="宋体" w:hAnsi="宋体" w:cs="宋体"/>
                <w:szCs w:val="21"/>
              </w:rPr>
            </w:pPr>
            <w:r>
              <w:rPr>
                <w:rFonts w:hint="eastAsia" w:ascii="宋体" w:hAnsi="宋体" w:cs="宋体"/>
                <w:sz w:val="18"/>
                <w:szCs w:val="18"/>
              </w:rPr>
              <w:t>河北考古</w:t>
            </w:r>
          </w:p>
        </w:tc>
        <w:tc>
          <w:tcPr>
            <w:tcW w:w="1081" w:type="dxa"/>
            <w:vAlign w:val="center"/>
          </w:tcPr>
          <w:p w14:paraId="760C1AC6">
            <w:pPr>
              <w:adjustRightInd w:val="0"/>
              <w:snapToGrid w:val="0"/>
              <w:spacing w:line="360" w:lineRule="auto"/>
              <w:rPr>
                <w:rFonts w:ascii="宋体" w:hAnsi="宋体" w:cs="宋体"/>
                <w:szCs w:val="21"/>
              </w:rPr>
            </w:pPr>
            <w:r>
              <w:rPr>
                <w:rFonts w:hint="eastAsia"/>
                <w:sz w:val="18"/>
                <w:szCs w:val="18"/>
              </w:rPr>
              <w:t>XS19012</w:t>
            </w:r>
            <w:r>
              <w:rPr>
                <w:sz w:val="18"/>
                <w:szCs w:val="18"/>
              </w:rPr>
              <w:t>1</w:t>
            </w:r>
            <w:r>
              <w:rPr>
                <w:rFonts w:hint="eastAsia"/>
                <w:sz w:val="18"/>
                <w:szCs w:val="18"/>
              </w:rPr>
              <w:t>5</w:t>
            </w:r>
          </w:p>
        </w:tc>
        <w:tc>
          <w:tcPr>
            <w:tcW w:w="709" w:type="dxa"/>
            <w:vAlign w:val="center"/>
          </w:tcPr>
          <w:p w14:paraId="496C0555">
            <w:pPr>
              <w:adjustRightInd w:val="0"/>
              <w:snapToGrid w:val="0"/>
              <w:spacing w:line="360" w:lineRule="auto"/>
              <w:jc w:val="center"/>
              <w:rPr>
                <w:rFonts w:ascii="宋体" w:hAnsi="宋体" w:cs="宋体"/>
                <w:szCs w:val="21"/>
              </w:rPr>
            </w:pPr>
            <w:r>
              <w:rPr>
                <w:rFonts w:hint="eastAsia"/>
                <w:sz w:val="18"/>
                <w:szCs w:val="18"/>
              </w:rPr>
              <w:t>2</w:t>
            </w:r>
          </w:p>
        </w:tc>
        <w:tc>
          <w:tcPr>
            <w:tcW w:w="709" w:type="dxa"/>
            <w:vAlign w:val="center"/>
          </w:tcPr>
          <w:p w14:paraId="50155AD4">
            <w:pPr>
              <w:adjustRightInd w:val="0"/>
              <w:snapToGrid w:val="0"/>
              <w:spacing w:line="360" w:lineRule="auto"/>
              <w:jc w:val="center"/>
              <w:rPr>
                <w:rFonts w:ascii="宋体" w:hAnsi="宋体" w:cs="宋体"/>
                <w:szCs w:val="21"/>
              </w:rPr>
            </w:pPr>
            <w:r>
              <w:rPr>
                <w:rFonts w:hint="eastAsia"/>
                <w:sz w:val="18"/>
                <w:szCs w:val="18"/>
              </w:rPr>
              <w:t>2</w:t>
            </w:r>
          </w:p>
        </w:tc>
        <w:tc>
          <w:tcPr>
            <w:tcW w:w="1045" w:type="dxa"/>
            <w:vMerge w:val="continue"/>
            <w:vAlign w:val="center"/>
          </w:tcPr>
          <w:p w14:paraId="5E4A65C2">
            <w:pPr>
              <w:adjustRightInd w:val="0"/>
              <w:snapToGrid w:val="0"/>
              <w:spacing w:line="360" w:lineRule="auto"/>
              <w:rPr>
                <w:rFonts w:ascii="宋体" w:hAnsi="宋体" w:cs="宋体"/>
                <w:szCs w:val="21"/>
              </w:rPr>
            </w:pPr>
          </w:p>
        </w:tc>
      </w:tr>
      <w:tr w14:paraId="4DA1901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5021F52">
            <w:pPr>
              <w:spacing w:line="360" w:lineRule="auto"/>
              <w:rPr>
                <w:b/>
                <w:sz w:val="18"/>
                <w:szCs w:val="18"/>
              </w:rPr>
            </w:pPr>
          </w:p>
        </w:tc>
        <w:tc>
          <w:tcPr>
            <w:tcW w:w="1226" w:type="dxa"/>
            <w:vMerge w:val="continue"/>
            <w:vAlign w:val="center"/>
          </w:tcPr>
          <w:p w14:paraId="3D785073">
            <w:pPr>
              <w:adjustRightInd w:val="0"/>
              <w:snapToGrid w:val="0"/>
              <w:spacing w:line="360" w:lineRule="auto"/>
              <w:jc w:val="center"/>
              <w:rPr>
                <w:b/>
                <w:sz w:val="18"/>
                <w:szCs w:val="18"/>
              </w:rPr>
            </w:pPr>
          </w:p>
        </w:tc>
        <w:tc>
          <w:tcPr>
            <w:tcW w:w="3516" w:type="dxa"/>
            <w:vAlign w:val="center"/>
          </w:tcPr>
          <w:p w14:paraId="4BB32671">
            <w:pPr>
              <w:spacing w:line="360" w:lineRule="auto"/>
              <w:rPr>
                <w:i/>
                <w:sz w:val="18"/>
                <w:szCs w:val="18"/>
              </w:rPr>
            </w:pPr>
            <w:r>
              <w:rPr>
                <w:rFonts w:hint="eastAsia" w:ascii="宋体" w:hAnsi="宋体" w:cs="宋体"/>
                <w:sz w:val="18"/>
                <w:szCs w:val="18"/>
              </w:rPr>
              <w:t>文物图像处理</w:t>
            </w:r>
          </w:p>
        </w:tc>
        <w:tc>
          <w:tcPr>
            <w:tcW w:w="1081" w:type="dxa"/>
            <w:vAlign w:val="center"/>
          </w:tcPr>
          <w:p w14:paraId="32D68EA6">
            <w:pPr>
              <w:spacing w:line="360" w:lineRule="auto"/>
              <w:jc w:val="center"/>
              <w:rPr>
                <w:sz w:val="18"/>
                <w:szCs w:val="18"/>
              </w:rPr>
            </w:pPr>
            <w:r>
              <w:rPr>
                <w:rFonts w:hint="eastAsia"/>
                <w:sz w:val="18"/>
                <w:szCs w:val="18"/>
              </w:rPr>
              <w:t>XS19012</w:t>
            </w:r>
            <w:r>
              <w:rPr>
                <w:sz w:val="18"/>
                <w:szCs w:val="18"/>
              </w:rPr>
              <w:t>12</w:t>
            </w:r>
          </w:p>
        </w:tc>
        <w:tc>
          <w:tcPr>
            <w:tcW w:w="709" w:type="dxa"/>
            <w:vAlign w:val="center"/>
          </w:tcPr>
          <w:p w14:paraId="6C2B48B9">
            <w:pPr>
              <w:spacing w:line="360" w:lineRule="auto"/>
              <w:jc w:val="center"/>
            </w:pPr>
            <w:r>
              <w:rPr>
                <w:rFonts w:hint="eastAsia"/>
                <w:sz w:val="18"/>
                <w:szCs w:val="18"/>
              </w:rPr>
              <w:t>2</w:t>
            </w:r>
          </w:p>
        </w:tc>
        <w:tc>
          <w:tcPr>
            <w:tcW w:w="709" w:type="dxa"/>
            <w:vAlign w:val="center"/>
          </w:tcPr>
          <w:p w14:paraId="5391D9EA">
            <w:pPr>
              <w:spacing w:line="360" w:lineRule="auto"/>
              <w:jc w:val="center"/>
            </w:pPr>
            <w:r>
              <w:rPr>
                <w:rFonts w:hint="eastAsia"/>
                <w:sz w:val="18"/>
                <w:szCs w:val="18"/>
              </w:rPr>
              <w:t>1</w:t>
            </w:r>
          </w:p>
        </w:tc>
        <w:tc>
          <w:tcPr>
            <w:tcW w:w="1045" w:type="dxa"/>
            <w:vMerge w:val="continue"/>
            <w:vAlign w:val="center"/>
          </w:tcPr>
          <w:p w14:paraId="1D61D7D4">
            <w:pPr>
              <w:adjustRightInd w:val="0"/>
              <w:snapToGrid w:val="0"/>
              <w:spacing w:line="360" w:lineRule="auto"/>
              <w:jc w:val="center"/>
              <w:rPr>
                <w:sz w:val="18"/>
                <w:szCs w:val="18"/>
              </w:rPr>
            </w:pPr>
          </w:p>
        </w:tc>
      </w:tr>
      <w:tr w14:paraId="5C2D12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A22C044">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3236C3BA">
            <w:pPr>
              <w:adjustRightInd w:val="0"/>
              <w:snapToGrid w:val="0"/>
              <w:spacing w:line="360" w:lineRule="auto"/>
              <w:jc w:val="center"/>
              <w:rPr>
                <w:b/>
                <w:color w:val="FF0000"/>
                <w:sz w:val="18"/>
                <w:szCs w:val="18"/>
              </w:rPr>
            </w:pPr>
          </w:p>
        </w:tc>
        <w:tc>
          <w:tcPr>
            <w:tcW w:w="3516" w:type="dxa"/>
            <w:vAlign w:val="center"/>
          </w:tcPr>
          <w:p w14:paraId="79FF73EF">
            <w:pPr>
              <w:spacing w:line="360" w:lineRule="auto"/>
              <w:rPr>
                <w:i/>
                <w:sz w:val="18"/>
                <w:szCs w:val="18"/>
              </w:rPr>
            </w:pPr>
            <w:r>
              <w:rPr>
                <w:rFonts w:hint="eastAsia" w:ascii="宋体" w:hAnsi="宋体" w:cs="宋体"/>
                <w:sz w:val="18"/>
                <w:szCs w:val="18"/>
              </w:rPr>
              <w:t>碑刻学</w:t>
            </w:r>
          </w:p>
        </w:tc>
        <w:tc>
          <w:tcPr>
            <w:tcW w:w="1081" w:type="dxa"/>
            <w:vAlign w:val="center"/>
          </w:tcPr>
          <w:p w14:paraId="580F8EF6">
            <w:pPr>
              <w:spacing w:line="360" w:lineRule="auto"/>
              <w:jc w:val="center"/>
              <w:rPr>
                <w:sz w:val="18"/>
                <w:szCs w:val="18"/>
              </w:rPr>
            </w:pPr>
            <w:r>
              <w:rPr>
                <w:rFonts w:hint="eastAsia"/>
                <w:sz w:val="18"/>
                <w:szCs w:val="18"/>
              </w:rPr>
              <w:t>XS19012</w:t>
            </w:r>
            <w:r>
              <w:rPr>
                <w:sz w:val="18"/>
                <w:szCs w:val="18"/>
              </w:rPr>
              <w:t>11</w:t>
            </w:r>
          </w:p>
        </w:tc>
        <w:tc>
          <w:tcPr>
            <w:tcW w:w="709" w:type="dxa"/>
            <w:vAlign w:val="center"/>
          </w:tcPr>
          <w:p w14:paraId="67EC4603">
            <w:pPr>
              <w:spacing w:line="360" w:lineRule="auto"/>
              <w:jc w:val="center"/>
            </w:pPr>
            <w:r>
              <w:rPr>
                <w:rFonts w:hint="eastAsia"/>
                <w:sz w:val="18"/>
                <w:szCs w:val="18"/>
              </w:rPr>
              <w:t>2</w:t>
            </w:r>
          </w:p>
        </w:tc>
        <w:tc>
          <w:tcPr>
            <w:tcW w:w="709" w:type="dxa"/>
            <w:vAlign w:val="center"/>
          </w:tcPr>
          <w:p w14:paraId="6E46C857">
            <w:pPr>
              <w:spacing w:line="360" w:lineRule="auto"/>
              <w:jc w:val="center"/>
            </w:pPr>
            <w:r>
              <w:rPr>
                <w:rFonts w:hint="eastAsia"/>
                <w:sz w:val="18"/>
                <w:szCs w:val="18"/>
              </w:rPr>
              <w:t>1</w:t>
            </w:r>
          </w:p>
        </w:tc>
        <w:tc>
          <w:tcPr>
            <w:tcW w:w="1045" w:type="dxa"/>
            <w:vMerge w:val="continue"/>
            <w:vAlign w:val="center"/>
          </w:tcPr>
          <w:p w14:paraId="2C8096FC">
            <w:pPr>
              <w:adjustRightInd w:val="0"/>
              <w:snapToGrid w:val="0"/>
              <w:spacing w:line="360" w:lineRule="auto"/>
              <w:jc w:val="center"/>
              <w:rPr>
                <w:sz w:val="18"/>
                <w:szCs w:val="18"/>
              </w:rPr>
            </w:pPr>
          </w:p>
        </w:tc>
      </w:tr>
      <w:tr w14:paraId="5BAA02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2" w:hRule="atLeast"/>
          <w:jc w:val="center"/>
        </w:trPr>
        <w:tc>
          <w:tcPr>
            <w:tcW w:w="571" w:type="dxa"/>
            <w:vMerge w:val="continue"/>
          </w:tcPr>
          <w:p w14:paraId="4821C66A">
            <w:pPr>
              <w:spacing w:line="360" w:lineRule="auto"/>
              <w:rPr>
                <w:b/>
                <w:color w:val="000000" w:themeColor="text1"/>
                <w:sz w:val="18"/>
                <w:szCs w:val="18"/>
                <w14:textFill>
                  <w14:solidFill>
                    <w14:schemeClr w14:val="tx1"/>
                  </w14:solidFill>
                </w14:textFill>
              </w:rPr>
            </w:pPr>
          </w:p>
        </w:tc>
        <w:tc>
          <w:tcPr>
            <w:tcW w:w="1226" w:type="dxa"/>
            <w:vMerge w:val="continue"/>
          </w:tcPr>
          <w:p w14:paraId="52C5ADF1">
            <w:pPr>
              <w:spacing w:line="360" w:lineRule="auto"/>
              <w:jc w:val="center"/>
              <w:rPr>
                <w:b/>
                <w:color w:val="000000" w:themeColor="text1"/>
                <w:sz w:val="18"/>
                <w:szCs w:val="18"/>
                <w14:textFill>
                  <w14:solidFill>
                    <w14:schemeClr w14:val="tx1"/>
                  </w14:solidFill>
                </w14:textFill>
              </w:rPr>
            </w:pPr>
          </w:p>
        </w:tc>
        <w:tc>
          <w:tcPr>
            <w:tcW w:w="3516" w:type="dxa"/>
            <w:vAlign w:val="center"/>
          </w:tcPr>
          <w:p w14:paraId="04AEE3CD">
            <w:pPr>
              <w:adjustRightInd w:val="0"/>
              <w:snapToGrid w:val="0"/>
              <w:spacing w:line="360" w:lineRule="auto"/>
              <w:rPr>
                <w:i/>
                <w:sz w:val="18"/>
                <w:szCs w:val="18"/>
              </w:rPr>
            </w:pPr>
            <w:r>
              <w:rPr>
                <w:rFonts w:hint="eastAsia"/>
                <w:iCs/>
                <w:sz w:val="18"/>
                <w:szCs w:val="18"/>
              </w:rPr>
              <w:t>物质文化史</w:t>
            </w:r>
          </w:p>
        </w:tc>
        <w:tc>
          <w:tcPr>
            <w:tcW w:w="1081" w:type="dxa"/>
            <w:vAlign w:val="center"/>
          </w:tcPr>
          <w:p w14:paraId="4465DC81">
            <w:pPr>
              <w:spacing w:line="360" w:lineRule="auto"/>
              <w:jc w:val="center"/>
              <w:rPr>
                <w:sz w:val="18"/>
                <w:szCs w:val="18"/>
              </w:rPr>
            </w:pPr>
            <w:r>
              <w:rPr>
                <w:rFonts w:hint="eastAsia"/>
                <w:sz w:val="18"/>
                <w:szCs w:val="18"/>
              </w:rPr>
              <w:t>XS19012</w:t>
            </w:r>
            <w:r>
              <w:rPr>
                <w:sz w:val="18"/>
                <w:szCs w:val="18"/>
              </w:rPr>
              <w:t>14</w:t>
            </w:r>
          </w:p>
        </w:tc>
        <w:tc>
          <w:tcPr>
            <w:tcW w:w="709" w:type="dxa"/>
            <w:vAlign w:val="center"/>
          </w:tcPr>
          <w:p w14:paraId="12C92113">
            <w:pPr>
              <w:spacing w:line="360" w:lineRule="auto"/>
              <w:jc w:val="center"/>
              <w:rPr>
                <w:sz w:val="18"/>
                <w:szCs w:val="18"/>
              </w:rPr>
            </w:pPr>
            <w:r>
              <w:rPr>
                <w:rFonts w:hint="eastAsia"/>
                <w:sz w:val="18"/>
                <w:szCs w:val="18"/>
              </w:rPr>
              <w:t>2</w:t>
            </w:r>
          </w:p>
        </w:tc>
        <w:tc>
          <w:tcPr>
            <w:tcW w:w="709" w:type="dxa"/>
            <w:vAlign w:val="center"/>
          </w:tcPr>
          <w:p w14:paraId="49069212">
            <w:pPr>
              <w:spacing w:line="360" w:lineRule="auto"/>
              <w:jc w:val="center"/>
              <w:rPr>
                <w:sz w:val="18"/>
                <w:szCs w:val="18"/>
              </w:rPr>
            </w:pPr>
            <w:r>
              <w:rPr>
                <w:rFonts w:hint="eastAsia"/>
                <w:sz w:val="18"/>
                <w:szCs w:val="18"/>
              </w:rPr>
              <w:t>1</w:t>
            </w:r>
          </w:p>
        </w:tc>
        <w:tc>
          <w:tcPr>
            <w:tcW w:w="1045" w:type="dxa"/>
            <w:vMerge w:val="continue"/>
            <w:vAlign w:val="center"/>
          </w:tcPr>
          <w:p w14:paraId="1C1E90E9">
            <w:pPr>
              <w:spacing w:line="360" w:lineRule="auto"/>
              <w:jc w:val="center"/>
              <w:rPr>
                <w:sz w:val="18"/>
                <w:szCs w:val="18"/>
              </w:rPr>
            </w:pPr>
          </w:p>
        </w:tc>
      </w:tr>
      <w:tr w14:paraId="30950B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46" w:hRule="atLeast"/>
          <w:jc w:val="center"/>
        </w:trPr>
        <w:tc>
          <w:tcPr>
            <w:tcW w:w="571" w:type="dxa"/>
            <w:vMerge w:val="continue"/>
          </w:tcPr>
          <w:p w14:paraId="24290A05">
            <w:pPr>
              <w:adjustRightInd w:val="0"/>
              <w:snapToGrid w:val="0"/>
              <w:spacing w:line="360" w:lineRule="auto"/>
            </w:pPr>
          </w:p>
        </w:tc>
        <w:tc>
          <w:tcPr>
            <w:tcW w:w="1226" w:type="dxa"/>
            <w:vMerge w:val="continue"/>
          </w:tcPr>
          <w:p w14:paraId="557214B1">
            <w:pPr>
              <w:adjustRightInd w:val="0"/>
              <w:snapToGrid w:val="0"/>
              <w:spacing w:line="360" w:lineRule="auto"/>
            </w:pPr>
          </w:p>
        </w:tc>
        <w:tc>
          <w:tcPr>
            <w:tcW w:w="3516" w:type="dxa"/>
            <w:vAlign w:val="center"/>
          </w:tcPr>
          <w:p w14:paraId="1490B0F5">
            <w:pPr>
              <w:adjustRightInd w:val="0"/>
              <w:snapToGrid w:val="0"/>
              <w:spacing w:line="360" w:lineRule="auto"/>
              <w:rPr>
                <w:i/>
                <w:sz w:val="18"/>
                <w:szCs w:val="18"/>
              </w:rPr>
            </w:pPr>
            <w:r>
              <w:rPr>
                <w:rFonts w:hint="eastAsia"/>
                <w:iCs/>
                <w:sz w:val="18"/>
                <w:szCs w:val="18"/>
              </w:rPr>
              <w:t>陶瓷与石器考古</w:t>
            </w:r>
          </w:p>
        </w:tc>
        <w:tc>
          <w:tcPr>
            <w:tcW w:w="1081" w:type="dxa"/>
            <w:vAlign w:val="center"/>
          </w:tcPr>
          <w:p w14:paraId="0DE154A3">
            <w:pPr>
              <w:adjustRightInd w:val="0"/>
              <w:snapToGrid w:val="0"/>
              <w:spacing w:line="360" w:lineRule="auto"/>
              <w:rPr>
                <w:i/>
                <w:sz w:val="18"/>
                <w:szCs w:val="18"/>
              </w:rPr>
            </w:pPr>
            <w:r>
              <w:rPr>
                <w:rFonts w:hint="eastAsia"/>
                <w:sz w:val="18"/>
                <w:szCs w:val="18"/>
              </w:rPr>
              <w:t>XS19012</w:t>
            </w:r>
            <w:r>
              <w:rPr>
                <w:sz w:val="18"/>
                <w:szCs w:val="18"/>
              </w:rPr>
              <w:t>1</w:t>
            </w:r>
            <w:r>
              <w:rPr>
                <w:rFonts w:hint="eastAsia"/>
                <w:sz w:val="18"/>
                <w:szCs w:val="18"/>
              </w:rPr>
              <w:t>6</w:t>
            </w:r>
          </w:p>
        </w:tc>
        <w:tc>
          <w:tcPr>
            <w:tcW w:w="709" w:type="dxa"/>
            <w:vAlign w:val="center"/>
          </w:tcPr>
          <w:p w14:paraId="1878BC72">
            <w:pPr>
              <w:spacing w:line="360" w:lineRule="auto"/>
              <w:jc w:val="center"/>
              <w:rPr>
                <w:i/>
                <w:sz w:val="18"/>
                <w:szCs w:val="18"/>
              </w:rPr>
            </w:pPr>
            <w:r>
              <w:rPr>
                <w:rFonts w:hint="eastAsia"/>
                <w:sz w:val="18"/>
                <w:szCs w:val="18"/>
              </w:rPr>
              <w:t>2</w:t>
            </w:r>
          </w:p>
        </w:tc>
        <w:tc>
          <w:tcPr>
            <w:tcW w:w="709" w:type="dxa"/>
            <w:vAlign w:val="center"/>
          </w:tcPr>
          <w:p w14:paraId="6AE222F9">
            <w:pPr>
              <w:spacing w:line="360" w:lineRule="auto"/>
              <w:jc w:val="center"/>
              <w:rPr>
                <w:i/>
                <w:sz w:val="18"/>
                <w:szCs w:val="18"/>
              </w:rPr>
            </w:pPr>
            <w:r>
              <w:rPr>
                <w:rFonts w:hint="eastAsia"/>
                <w:sz w:val="18"/>
                <w:szCs w:val="18"/>
              </w:rPr>
              <w:t>1</w:t>
            </w:r>
          </w:p>
        </w:tc>
        <w:tc>
          <w:tcPr>
            <w:tcW w:w="1045" w:type="dxa"/>
            <w:vMerge w:val="continue"/>
            <w:vAlign w:val="center"/>
          </w:tcPr>
          <w:p w14:paraId="0064A831">
            <w:pPr>
              <w:adjustRightInd w:val="0"/>
              <w:snapToGrid w:val="0"/>
              <w:spacing w:line="360" w:lineRule="auto"/>
              <w:rPr>
                <w:i/>
                <w:sz w:val="18"/>
                <w:szCs w:val="18"/>
              </w:rPr>
            </w:pPr>
          </w:p>
        </w:tc>
      </w:tr>
      <w:tr w14:paraId="6EC0D89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60E669EA">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027A2462">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22D26612">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p w14:paraId="7CA2894B">
            <w:pPr>
              <w:spacing w:line="360" w:lineRule="auto"/>
              <w:jc w:val="center"/>
              <w:rPr>
                <w:b/>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（2学分）</w:t>
            </w:r>
          </w:p>
        </w:tc>
        <w:tc>
          <w:tcPr>
            <w:tcW w:w="3516" w:type="dxa"/>
            <w:vAlign w:val="center"/>
          </w:tcPr>
          <w:p w14:paraId="027A0167">
            <w:pPr>
              <w:spacing w:line="360" w:lineRule="auto"/>
              <w:rPr>
                <w:sz w:val="18"/>
                <w:szCs w:val="18"/>
              </w:rPr>
            </w:pPr>
            <w:r>
              <w:rPr>
                <w:sz w:val="18"/>
                <w:szCs w:val="18"/>
              </w:rPr>
              <w:t>入学教育</w:t>
            </w:r>
          </w:p>
        </w:tc>
        <w:tc>
          <w:tcPr>
            <w:tcW w:w="1081" w:type="dxa"/>
            <w:vAlign w:val="center"/>
          </w:tcPr>
          <w:p w14:paraId="1D948956">
            <w:pPr>
              <w:spacing w:line="360" w:lineRule="auto"/>
              <w:jc w:val="center"/>
              <w:rPr>
                <w:sz w:val="18"/>
                <w:szCs w:val="18"/>
              </w:rPr>
            </w:pPr>
          </w:p>
        </w:tc>
        <w:tc>
          <w:tcPr>
            <w:tcW w:w="709" w:type="dxa"/>
            <w:vAlign w:val="center"/>
          </w:tcPr>
          <w:p w14:paraId="66657592">
            <w:pPr>
              <w:spacing w:line="360" w:lineRule="auto"/>
              <w:jc w:val="center"/>
              <w:rPr>
                <w:sz w:val="18"/>
                <w:szCs w:val="18"/>
              </w:rPr>
            </w:pPr>
            <w:r>
              <w:rPr>
                <w:rFonts w:hint="eastAsia"/>
                <w:sz w:val="18"/>
                <w:szCs w:val="18"/>
              </w:rPr>
              <w:t>0</w:t>
            </w:r>
          </w:p>
        </w:tc>
        <w:tc>
          <w:tcPr>
            <w:tcW w:w="709" w:type="dxa"/>
            <w:vAlign w:val="center"/>
          </w:tcPr>
          <w:p w14:paraId="5D5C3DE6">
            <w:pPr>
              <w:spacing w:line="360" w:lineRule="auto"/>
              <w:jc w:val="center"/>
              <w:rPr>
                <w:sz w:val="18"/>
                <w:szCs w:val="18"/>
                <w:highlight w:val="yellow"/>
              </w:rPr>
            </w:pPr>
            <w:r>
              <w:rPr>
                <w:sz w:val="18"/>
                <w:szCs w:val="18"/>
              </w:rPr>
              <w:t>1</w:t>
            </w:r>
          </w:p>
        </w:tc>
        <w:tc>
          <w:tcPr>
            <w:tcW w:w="1045" w:type="dxa"/>
            <w:vMerge w:val="restart"/>
            <w:vAlign w:val="center"/>
          </w:tcPr>
          <w:p w14:paraId="36BF94EB">
            <w:pPr>
              <w:spacing w:line="360" w:lineRule="auto"/>
              <w:jc w:val="center"/>
              <w:rPr>
                <w:i/>
                <w:sz w:val="18"/>
                <w:szCs w:val="18"/>
              </w:rPr>
            </w:pPr>
          </w:p>
        </w:tc>
      </w:tr>
      <w:tr w14:paraId="056473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7741A477">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C4F6F6E">
            <w:pPr>
              <w:spacing w:line="360" w:lineRule="auto"/>
              <w:jc w:val="center"/>
              <w:rPr>
                <w:b/>
                <w:color w:val="000000" w:themeColor="text1"/>
                <w:sz w:val="18"/>
                <w:szCs w:val="18"/>
                <w14:textFill>
                  <w14:solidFill>
                    <w14:schemeClr w14:val="tx1"/>
                  </w14:solidFill>
                </w14:textFill>
              </w:rPr>
            </w:pPr>
          </w:p>
        </w:tc>
        <w:tc>
          <w:tcPr>
            <w:tcW w:w="3516" w:type="dxa"/>
            <w:vAlign w:val="center"/>
          </w:tcPr>
          <w:p w14:paraId="7E728EB9">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081" w:type="dxa"/>
            <w:vAlign w:val="center"/>
          </w:tcPr>
          <w:p w14:paraId="0BDA3F27">
            <w:pPr>
              <w:spacing w:line="360" w:lineRule="auto"/>
              <w:jc w:val="center"/>
              <w:rPr>
                <w:color w:val="000000" w:themeColor="text1"/>
                <w:sz w:val="18"/>
                <w:szCs w:val="18"/>
                <w14:textFill>
                  <w14:solidFill>
                    <w14:schemeClr w14:val="tx1"/>
                  </w14:solidFill>
                </w14:textFill>
              </w:rPr>
            </w:pPr>
          </w:p>
        </w:tc>
        <w:tc>
          <w:tcPr>
            <w:tcW w:w="709" w:type="dxa"/>
            <w:vAlign w:val="center"/>
          </w:tcPr>
          <w:p w14:paraId="4EB57D08">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238A68C9">
            <w:pPr>
              <w:spacing w:line="360" w:lineRule="auto"/>
              <w:jc w:val="center"/>
              <w:rPr>
                <w:color w:val="000000" w:themeColor="text1"/>
                <w:sz w:val="18"/>
                <w:szCs w:val="18"/>
                <w:highlight w:val="yellow"/>
                <w14:textFill>
                  <w14:solidFill>
                    <w14:schemeClr w14:val="tx1"/>
                  </w14:solidFill>
                </w14:textFill>
              </w:rPr>
            </w:pPr>
          </w:p>
        </w:tc>
        <w:tc>
          <w:tcPr>
            <w:tcW w:w="1045" w:type="dxa"/>
            <w:vMerge w:val="continue"/>
            <w:vAlign w:val="center"/>
          </w:tcPr>
          <w:p w14:paraId="0FE2A86F">
            <w:pPr>
              <w:spacing w:line="360" w:lineRule="auto"/>
              <w:jc w:val="center"/>
              <w:rPr>
                <w:color w:val="000000" w:themeColor="text1"/>
                <w:sz w:val="18"/>
                <w:szCs w:val="18"/>
                <w14:textFill>
                  <w14:solidFill>
                    <w14:schemeClr w14:val="tx1"/>
                  </w14:solidFill>
                </w14:textFill>
              </w:rPr>
            </w:pPr>
          </w:p>
        </w:tc>
      </w:tr>
      <w:tr w14:paraId="63B342E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3" w:hRule="atLeast"/>
          <w:jc w:val="center"/>
        </w:trPr>
        <w:tc>
          <w:tcPr>
            <w:tcW w:w="571" w:type="dxa"/>
            <w:vMerge w:val="continue"/>
            <w:vAlign w:val="center"/>
          </w:tcPr>
          <w:p w14:paraId="79B98D40">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5E6CBDCB">
            <w:pPr>
              <w:spacing w:line="360" w:lineRule="auto"/>
              <w:jc w:val="center"/>
              <w:rPr>
                <w:b/>
                <w:color w:val="000000" w:themeColor="text1"/>
                <w:sz w:val="18"/>
                <w:szCs w:val="18"/>
                <w14:textFill>
                  <w14:solidFill>
                    <w14:schemeClr w14:val="tx1"/>
                  </w14:solidFill>
                </w14:textFill>
              </w:rPr>
            </w:pPr>
          </w:p>
        </w:tc>
        <w:tc>
          <w:tcPr>
            <w:tcW w:w="3516" w:type="dxa"/>
            <w:vAlign w:val="center"/>
          </w:tcPr>
          <w:p w14:paraId="0CBA042B">
            <w:pPr>
              <w:adjustRightInd w:val="0"/>
              <w:snapToGrid w:val="0"/>
              <w:spacing w:line="360" w:lineRule="auto"/>
              <w:rPr>
                <w:color w:val="000000" w:themeColor="text1"/>
                <w:sz w:val="18"/>
                <w:szCs w:val="18"/>
                <w14:textFill>
                  <w14:solidFill>
                    <w14:schemeClr w14:val="tx1"/>
                  </w14:solidFill>
                </w14:textFill>
              </w:rPr>
            </w:pPr>
            <w:r>
              <w:rPr>
                <w:rFonts w:hint="eastAsia" w:ascii="宋体" w:hAnsi="宋体" w:cs="宋体"/>
                <w:color w:val="000000"/>
                <w:sz w:val="18"/>
                <w:szCs w:val="18"/>
              </w:rPr>
              <w:t>竞赛活动</w:t>
            </w:r>
            <w:r>
              <w:rPr>
                <w:rFonts w:hint="eastAsia"/>
                <w:color w:val="000000" w:themeColor="text1"/>
                <w:sz w:val="18"/>
                <w:szCs w:val="18"/>
                <w14:textFill>
                  <w14:solidFill>
                    <w14:schemeClr w14:val="tx1"/>
                  </w14:solidFill>
                </w14:textFill>
              </w:rPr>
              <w:t>（参加本院及校内外研究生论坛、学术年会、论文竞赛等活动且提交论文）</w:t>
            </w:r>
          </w:p>
        </w:tc>
        <w:tc>
          <w:tcPr>
            <w:tcW w:w="1081" w:type="dxa"/>
            <w:vAlign w:val="center"/>
          </w:tcPr>
          <w:p w14:paraId="573E9CEB">
            <w:pPr>
              <w:spacing w:line="360" w:lineRule="auto"/>
              <w:jc w:val="center"/>
              <w:rPr>
                <w:color w:val="000000" w:themeColor="text1"/>
                <w:sz w:val="18"/>
                <w:szCs w:val="18"/>
                <w14:textFill>
                  <w14:solidFill>
                    <w14:schemeClr w14:val="tx1"/>
                  </w14:solidFill>
                </w14:textFill>
              </w:rPr>
            </w:pPr>
          </w:p>
        </w:tc>
        <w:tc>
          <w:tcPr>
            <w:tcW w:w="709" w:type="dxa"/>
            <w:vAlign w:val="center"/>
          </w:tcPr>
          <w:p w14:paraId="1816BF29">
            <w:pPr>
              <w:spacing w:line="360" w:lineRule="auto"/>
              <w:jc w:val="center"/>
              <w:rPr>
                <w:color w:val="FF0000"/>
                <w:sz w:val="18"/>
                <w:szCs w:val="18"/>
              </w:rPr>
            </w:pPr>
            <w:r>
              <w:rPr>
                <w:rFonts w:hint="eastAsia"/>
                <w:color w:val="000000" w:themeColor="text1"/>
                <w:sz w:val="18"/>
                <w:szCs w:val="18"/>
                <w14:textFill>
                  <w14:solidFill>
                    <w14:schemeClr w14:val="tx1"/>
                  </w14:solidFill>
                </w14:textFill>
              </w:rPr>
              <w:t>1</w:t>
            </w:r>
          </w:p>
        </w:tc>
        <w:tc>
          <w:tcPr>
            <w:tcW w:w="709" w:type="dxa"/>
            <w:vAlign w:val="center"/>
          </w:tcPr>
          <w:p w14:paraId="3BB04EED">
            <w:pPr>
              <w:spacing w:line="360" w:lineRule="auto"/>
              <w:jc w:val="center"/>
              <w:rPr>
                <w:color w:val="000000" w:themeColor="text1"/>
                <w:sz w:val="18"/>
                <w:szCs w:val="18"/>
                <w:highlight w:val="yellow"/>
                <w14:textFill>
                  <w14:solidFill>
                    <w14:schemeClr w14:val="tx1"/>
                  </w14:solidFill>
                </w14:textFill>
              </w:rPr>
            </w:pPr>
          </w:p>
        </w:tc>
        <w:tc>
          <w:tcPr>
            <w:tcW w:w="1045" w:type="dxa"/>
            <w:vMerge w:val="continue"/>
            <w:vAlign w:val="center"/>
          </w:tcPr>
          <w:p w14:paraId="75D0BB6D">
            <w:pPr>
              <w:spacing w:line="360" w:lineRule="auto"/>
              <w:jc w:val="center"/>
              <w:rPr>
                <w:color w:val="000000" w:themeColor="text1"/>
                <w:sz w:val="18"/>
                <w:szCs w:val="18"/>
                <w14:textFill>
                  <w14:solidFill>
                    <w14:schemeClr w14:val="tx1"/>
                  </w14:solidFill>
                </w14:textFill>
              </w:rPr>
            </w:pPr>
          </w:p>
        </w:tc>
      </w:tr>
      <w:tr w14:paraId="277BF8C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F1B6186">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0879534F">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317DBA78">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3F674CFC">
            <w:pPr>
              <w:spacing w:line="360" w:lineRule="auto"/>
              <w:jc w:val="center"/>
              <w:rPr>
                <w:color w:val="000000" w:themeColor="text1"/>
                <w:sz w:val="18"/>
                <w:szCs w:val="18"/>
                <w14:textFill>
                  <w14:solidFill>
                    <w14:schemeClr w14:val="tx1"/>
                  </w14:solidFill>
                </w14:textFill>
              </w:rPr>
            </w:pPr>
          </w:p>
        </w:tc>
        <w:tc>
          <w:tcPr>
            <w:tcW w:w="709" w:type="dxa"/>
            <w:vAlign w:val="center"/>
          </w:tcPr>
          <w:p w14:paraId="79012CA5">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3D1AB29F">
            <w:pPr>
              <w:spacing w:line="360" w:lineRule="auto"/>
              <w:jc w:val="center"/>
              <w:rPr>
                <w:iCs/>
                <w:sz w:val="18"/>
                <w:szCs w:val="18"/>
              </w:rPr>
            </w:pPr>
            <w:bookmarkStart w:id="3" w:name="_GoBack"/>
            <w:bookmarkEnd w:id="3"/>
            <w:r>
              <w:rPr>
                <w:rFonts w:hint="eastAsia"/>
                <w:iCs/>
                <w:sz w:val="18"/>
                <w:szCs w:val="18"/>
              </w:rPr>
              <w:t>3</w:t>
            </w:r>
          </w:p>
        </w:tc>
        <w:tc>
          <w:tcPr>
            <w:tcW w:w="1045" w:type="dxa"/>
            <w:vMerge w:val="restart"/>
            <w:vAlign w:val="center"/>
          </w:tcPr>
          <w:p w14:paraId="4443613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67F4701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08C7968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A045B90">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43978A7">
            <w:pPr>
              <w:spacing w:line="360" w:lineRule="auto"/>
              <w:jc w:val="center"/>
              <w:rPr>
                <w:b/>
                <w:color w:val="000000" w:themeColor="text1"/>
                <w:sz w:val="18"/>
                <w:szCs w:val="18"/>
                <w14:textFill>
                  <w14:solidFill>
                    <w14:schemeClr w14:val="tx1"/>
                  </w14:solidFill>
                </w14:textFill>
              </w:rPr>
            </w:pPr>
          </w:p>
        </w:tc>
        <w:tc>
          <w:tcPr>
            <w:tcW w:w="3516" w:type="dxa"/>
            <w:vAlign w:val="center"/>
          </w:tcPr>
          <w:p w14:paraId="5BD69A99">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2F5CA34">
            <w:pPr>
              <w:spacing w:line="360" w:lineRule="auto"/>
              <w:jc w:val="center"/>
              <w:rPr>
                <w:color w:val="000000" w:themeColor="text1"/>
                <w:sz w:val="18"/>
                <w:szCs w:val="18"/>
                <w14:textFill>
                  <w14:solidFill>
                    <w14:schemeClr w14:val="tx1"/>
                  </w14:solidFill>
                </w14:textFill>
              </w:rPr>
            </w:pPr>
          </w:p>
        </w:tc>
        <w:tc>
          <w:tcPr>
            <w:tcW w:w="709" w:type="dxa"/>
            <w:vAlign w:val="center"/>
          </w:tcPr>
          <w:p w14:paraId="3A5B18F0">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53D8862E">
            <w:pPr>
              <w:spacing w:line="360" w:lineRule="auto"/>
              <w:jc w:val="center"/>
              <w:rPr>
                <w:iCs/>
                <w:sz w:val="18"/>
                <w:szCs w:val="18"/>
              </w:rPr>
            </w:pPr>
            <w:r>
              <w:rPr>
                <w:rFonts w:hint="eastAsia"/>
                <w:iCs/>
                <w:sz w:val="18"/>
                <w:szCs w:val="18"/>
              </w:rPr>
              <w:t>3-4</w:t>
            </w:r>
          </w:p>
        </w:tc>
        <w:tc>
          <w:tcPr>
            <w:tcW w:w="1045" w:type="dxa"/>
            <w:vMerge w:val="continue"/>
            <w:vAlign w:val="center"/>
          </w:tcPr>
          <w:p w14:paraId="34A06821">
            <w:pPr>
              <w:spacing w:line="360" w:lineRule="auto"/>
              <w:jc w:val="center"/>
              <w:rPr>
                <w:color w:val="000000" w:themeColor="text1"/>
                <w:sz w:val="18"/>
                <w:szCs w:val="18"/>
                <w14:textFill>
                  <w14:solidFill>
                    <w14:schemeClr w14:val="tx1"/>
                  </w14:solidFill>
                </w14:textFill>
              </w:rPr>
            </w:pPr>
          </w:p>
        </w:tc>
      </w:tr>
      <w:tr w14:paraId="1E79F02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BE67908">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03BE0665">
            <w:pPr>
              <w:spacing w:line="360" w:lineRule="auto"/>
              <w:jc w:val="center"/>
              <w:rPr>
                <w:b/>
                <w:color w:val="000000" w:themeColor="text1"/>
                <w:sz w:val="18"/>
                <w:szCs w:val="18"/>
                <w14:textFill>
                  <w14:solidFill>
                    <w14:schemeClr w14:val="tx1"/>
                  </w14:solidFill>
                </w14:textFill>
              </w:rPr>
            </w:pPr>
          </w:p>
        </w:tc>
        <w:tc>
          <w:tcPr>
            <w:tcW w:w="3516" w:type="dxa"/>
            <w:vAlign w:val="center"/>
          </w:tcPr>
          <w:p w14:paraId="2C08061E">
            <w:pPr>
              <w:spacing w:line="360" w:lineRule="auto"/>
              <w:rPr>
                <w:sz w:val="18"/>
                <w:szCs w:val="18"/>
              </w:rPr>
            </w:pPr>
            <w:r>
              <w:rPr>
                <w:sz w:val="18"/>
                <w:szCs w:val="18"/>
              </w:rPr>
              <w:t>论文中期进展报告</w:t>
            </w:r>
          </w:p>
        </w:tc>
        <w:tc>
          <w:tcPr>
            <w:tcW w:w="1081" w:type="dxa"/>
            <w:vAlign w:val="center"/>
          </w:tcPr>
          <w:p w14:paraId="4ADF73EE">
            <w:pPr>
              <w:spacing w:line="360" w:lineRule="auto"/>
              <w:jc w:val="center"/>
              <w:rPr>
                <w:color w:val="000000" w:themeColor="text1"/>
                <w:sz w:val="18"/>
                <w:szCs w:val="18"/>
                <w14:textFill>
                  <w14:solidFill>
                    <w14:schemeClr w14:val="tx1"/>
                  </w14:solidFill>
                </w14:textFill>
              </w:rPr>
            </w:pPr>
          </w:p>
        </w:tc>
        <w:tc>
          <w:tcPr>
            <w:tcW w:w="709" w:type="dxa"/>
            <w:vAlign w:val="center"/>
          </w:tcPr>
          <w:p w14:paraId="796F52CA">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3EC80DB6">
            <w:pPr>
              <w:spacing w:line="360" w:lineRule="auto"/>
              <w:jc w:val="center"/>
              <w:rPr>
                <w:iCs/>
                <w:sz w:val="18"/>
                <w:szCs w:val="18"/>
              </w:rPr>
            </w:pPr>
            <w:r>
              <w:rPr>
                <w:rFonts w:hint="eastAsia"/>
                <w:iCs/>
                <w:sz w:val="18"/>
                <w:szCs w:val="18"/>
              </w:rPr>
              <w:t>5</w:t>
            </w:r>
          </w:p>
        </w:tc>
        <w:tc>
          <w:tcPr>
            <w:tcW w:w="1045" w:type="dxa"/>
            <w:vMerge w:val="continue"/>
          </w:tcPr>
          <w:p w14:paraId="1BC2E28D">
            <w:pPr>
              <w:spacing w:line="360" w:lineRule="auto"/>
              <w:jc w:val="center"/>
              <w:rPr>
                <w:color w:val="000000" w:themeColor="text1"/>
                <w:sz w:val="18"/>
                <w:szCs w:val="18"/>
                <w14:textFill>
                  <w14:solidFill>
                    <w14:schemeClr w14:val="tx1"/>
                  </w14:solidFill>
                </w14:textFill>
              </w:rPr>
            </w:pPr>
          </w:p>
        </w:tc>
      </w:tr>
      <w:tr w14:paraId="7240F92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6FDB83E">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0E91FA58">
            <w:pPr>
              <w:spacing w:line="360" w:lineRule="auto"/>
              <w:jc w:val="center"/>
              <w:rPr>
                <w:b/>
                <w:color w:val="000000" w:themeColor="text1"/>
                <w:sz w:val="18"/>
                <w:szCs w:val="18"/>
                <w14:textFill>
                  <w14:solidFill>
                    <w14:schemeClr w14:val="tx1"/>
                  </w14:solidFill>
                </w14:textFill>
              </w:rPr>
            </w:pPr>
          </w:p>
        </w:tc>
        <w:tc>
          <w:tcPr>
            <w:tcW w:w="3516" w:type="dxa"/>
            <w:vAlign w:val="center"/>
          </w:tcPr>
          <w:p w14:paraId="113DB0F4">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06BA2FD9">
            <w:pPr>
              <w:spacing w:line="360" w:lineRule="auto"/>
              <w:jc w:val="center"/>
              <w:rPr>
                <w:color w:val="000000" w:themeColor="text1"/>
                <w:sz w:val="18"/>
                <w:szCs w:val="18"/>
                <w14:textFill>
                  <w14:solidFill>
                    <w14:schemeClr w14:val="tx1"/>
                  </w14:solidFill>
                </w14:textFill>
              </w:rPr>
            </w:pPr>
          </w:p>
        </w:tc>
        <w:tc>
          <w:tcPr>
            <w:tcW w:w="709" w:type="dxa"/>
            <w:vAlign w:val="center"/>
          </w:tcPr>
          <w:p w14:paraId="2FCA5BF1">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01360AAA">
            <w:pPr>
              <w:spacing w:line="360" w:lineRule="auto"/>
              <w:jc w:val="center"/>
              <w:rPr>
                <w:iCs/>
                <w:sz w:val="18"/>
                <w:szCs w:val="18"/>
              </w:rPr>
            </w:pPr>
            <w:r>
              <w:rPr>
                <w:rFonts w:hint="eastAsia"/>
                <w:iCs/>
                <w:sz w:val="18"/>
                <w:szCs w:val="18"/>
              </w:rPr>
              <w:t>6</w:t>
            </w:r>
          </w:p>
        </w:tc>
        <w:tc>
          <w:tcPr>
            <w:tcW w:w="1045" w:type="dxa"/>
            <w:vMerge w:val="continue"/>
          </w:tcPr>
          <w:p w14:paraId="1143D4A2">
            <w:pPr>
              <w:spacing w:line="360" w:lineRule="auto"/>
              <w:jc w:val="center"/>
              <w:rPr>
                <w:color w:val="000000" w:themeColor="text1"/>
                <w:sz w:val="18"/>
                <w:szCs w:val="18"/>
                <w14:textFill>
                  <w14:solidFill>
                    <w14:schemeClr w14:val="tx1"/>
                  </w14:solidFill>
                </w14:textFill>
              </w:rPr>
            </w:pPr>
          </w:p>
        </w:tc>
      </w:tr>
      <w:tr w14:paraId="7CBDCB0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A3629D">
            <w:pPr>
              <w:spacing w:line="360" w:lineRule="auto"/>
              <w:rPr>
                <w:color w:val="000000" w:themeColor="text1"/>
                <w:sz w:val="18"/>
                <w:szCs w:val="18"/>
                <w14:textFill>
                  <w14:solidFill>
                    <w14:schemeClr w14:val="tx1"/>
                  </w14:solidFill>
                </w14:textFill>
              </w:rPr>
            </w:pPr>
          </w:p>
        </w:tc>
        <w:tc>
          <w:tcPr>
            <w:tcW w:w="1226" w:type="dxa"/>
            <w:vMerge w:val="continue"/>
          </w:tcPr>
          <w:p w14:paraId="340AF2A2">
            <w:pPr>
              <w:spacing w:line="360" w:lineRule="auto"/>
              <w:jc w:val="center"/>
              <w:rPr>
                <w:color w:val="000000" w:themeColor="text1"/>
                <w:sz w:val="18"/>
                <w:szCs w:val="18"/>
                <w14:textFill>
                  <w14:solidFill>
                    <w14:schemeClr w14:val="tx1"/>
                  </w14:solidFill>
                </w14:textFill>
              </w:rPr>
            </w:pPr>
          </w:p>
        </w:tc>
        <w:tc>
          <w:tcPr>
            <w:tcW w:w="3516" w:type="dxa"/>
            <w:vAlign w:val="center"/>
          </w:tcPr>
          <w:p w14:paraId="230B0346">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788966C6">
            <w:pPr>
              <w:spacing w:line="360" w:lineRule="auto"/>
              <w:jc w:val="center"/>
              <w:rPr>
                <w:color w:val="000000" w:themeColor="text1"/>
                <w:sz w:val="18"/>
                <w:szCs w:val="18"/>
                <w14:textFill>
                  <w14:solidFill>
                    <w14:schemeClr w14:val="tx1"/>
                  </w14:solidFill>
                </w14:textFill>
              </w:rPr>
            </w:pPr>
          </w:p>
        </w:tc>
        <w:tc>
          <w:tcPr>
            <w:tcW w:w="709" w:type="dxa"/>
            <w:vAlign w:val="center"/>
          </w:tcPr>
          <w:p w14:paraId="4A38ABAC">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7B1EB52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6417B669">
            <w:pPr>
              <w:spacing w:line="360" w:lineRule="auto"/>
              <w:jc w:val="center"/>
              <w:rPr>
                <w:color w:val="000000" w:themeColor="text1"/>
                <w:sz w:val="18"/>
                <w:szCs w:val="18"/>
                <w14:textFill>
                  <w14:solidFill>
                    <w14:schemeClr w14:val="tx1"/>
                  </w14:solidFill>
                </w14:textFill>
              </w:rPr>
            </w:pPr>
          </w:p>
        </w:tc>
      </w:tr>
      <w:tr w14:paraId="4DBF901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23F464">
            <w:pPr>
              <w:spacing w:line="360" w:lineRule="auto"/>
              <w:rPr>
                <w:color w:val="000000" w:themeColor="text1"/>
                <w:sz w:val="18"/>
                <w:szCs w:val="18"/>
                <w14:textFill>
                  <w14:solidFill>
                    <w14:schemeClr w14:val="tx1"/>
                  </w14:solidFill>
                </w14:textFill>
              </w:rPr>
            </w:pPr>
          </w:p>
        </w:tc>
        <w:tc>
          <w:tcPr>
            <w:tcW w:w="1226" w:type="dxa"/>
            <w:vMerge w:val="continue"/>
          </w:tcPr>
          <w:p w14:paraId="36635035">
            <w:pPr>
              <w:spacing w:line="360" w:lineRule="auto"/>
              <w:jc w:val="center"/>
              <w:rPr>
                <w:color w:val="000000" w:themeColor="text1"/>
                <w:sz w:val="18"/>
                <w:szCs w:val="18"/>
                <w14:textFill>
                  <w14:solidFill>
                    <w14:schemeClr w14:val="tx1"/>
                  </w14:solidFill>
                </w14:textFill>
              </w:rPr>
            </w:pPr>
          </w:p>
        </w:tc>
        <w:tc>
          <w:tcPr>
            <w:tcW w:w="3516" w:type="dxa"/>
            <w:vAlign w:val="center"/>
          </w:tcPr>
          <w:p w14:paraId="1B08DDB8">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3E2E94DD">
            <w:pPr>
              <w:spacing w:line="360" w:lineRule="auto"/>
              <w:jc w:val="center"/>
              <w:rPr>
                <w:color w:val="000000" w:themeColor="text1"/>
                <w:sz w:val="18"/>
                <w:szCs w:val="18"/>
                <w14:textFill>
                  <w14:solidFill>
                    <w14:schemeClr w14:val="tx1"/>
                  </w14:solidFill>
                </w14:textFill>
              </w:rPr>
            </w:pPr>
          </w:p>
        </w:tc>
        <w:tc>
          <w:tcPr>
            <w:tcW w:w="709" w:type="dxa"/>
            <w:vAlign w:val="center"/>
          </w:tcPr>
          <w:p w14:paraId="1C11C4E5">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70BB3A2A">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59B34735">
            <w:pPr>
              <w:spacing w:line="360" w:lineRule="auto"/>
              <w:jc w:val="center"/>
              <w:rPr>
                <w:color w:val="000000" w:themeColor="text1"/>
                <w:sz w:val="18"/>
                <w:szCs w:val="18"/>
                <w14:textFill>
                  <w14:solidFill>
                    <w14:schemeClr w14:val="tx1"/>
                  </w14:solidFill>
                </w14:textFill>
              </w:rPr>
            </w:pPr>
          </w:p>
        </w:tc>
      </w:tr>
    </w:tbl>
    <w:p w14:paraId="5E5D8940">
      <w:pPr>
        <w:spacing w:line="360" w:lineRule="auto"/>
        <w:ind w:firstLine="480" w:firstLineChars="200"/>
        <w:rPr>
          <w:rFonts w:eastAsiaTheme="minorEastAsia"/>
          <w:bCs/>
          <w:sz w:val="24"/>
        </w:rPr>
      </w:pPr>
      <w:r>
        <w:rPr>
          <w:rFonts w:eastAsiaTheme="minorEastAsia"/>
          <w:bCs/>
          <w:sz w:val="24"/>
        </w:rPr>
        <w:t>*公共外语课程按入学时的外国语考试科目修读相关语种。</w:t>
      </w:r>
    </w:p>
    <w:p w14:paraId="5F19F298">
      <w:pPr>
        <w:spacing w:line="360" w:lineRule="auto"/>
        <w:ind w:firstLine="480" w:firstLineChars="200"/>
        <w:rPr>
          <w:rFonts w:eastAsiaTheme="minorEastAsia"/>
          <w:bCs/>
          <w:sz w:val="24"/>
        </w:rPr>
      </w:pPr>
      <w:r>
        <w:rPr>
          <w:rFonts w:hint="eastAsia" w:asciiTheme="minorEastAsia" w:hAnsiTheme="minorEastAsia" w:eastAsiaTheme="minorEastAsia" w:cstheme="minorEastAsia"/>
          <w:bCs/>
          <w:sz w:val="24"/>
        </w:rPr>
        <w:t>*10人以上专业方向至少1/2人数选修才能开课，10人以下专业方向至少1/3人数选修才能开课。</w:t>
      </w:r>
    </w:p>
    <w:p w14:paraId="550A57C7">
      <w:pPr>
        <w:spacing w:line="360" w:lineRule="auto"/>
        <w:ind w:firstLine="480" w:firstLineChars="200"/>
        <w:rPr>
          <w:rFonts w:eastAsiaTheme="minorEastAsia"/>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Arial">
    <w:panose1 w:val="020B0604020202020204"/>
    <w:charset w:val="00"/>
    <w:family w:val="swiss"/>
    <w:pitch w:val="default"/>
    <w:sig w:usb0="E0002EFF" w:usb1="C000785B"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5A0186"/>
    <w:multiLevelType w:val="singleLevel"/>
    <w:tmpl w:val="BD5A0186"/>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6DF4"/>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18"/>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3F3A"/>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3CD"/>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2C2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56B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27BFA"/>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4FA"/>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97B6E"/>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01DD"/>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6563"/>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29EC"/>
    <w:rsid w:val="003F3531"/>
    <w:rsid w:val="003F3BF4"/>
    <w:rsid w:val="003F42A8"/>
    <w:rsid w:val="003F5B64"/>
    <w:rsid w:val="003F71EB"/>
    <w:rsid w:val="003F7640"/>
    <w:rsid w:val="003F7B27"/>
    <w:rsid w:val="0040267E"/>
    <w:rsid w:val="00405CBD"/>
    <w:rsid w:val="004072EC"/>
    <w:rsid w:val="004106FF"/>
    <w:rsid w:val="004109A1"/>
    <w:rsid w:val="00410B75"/>
    <w:rsid w:val="00410E30"/>
    <w:rsid w:val="00411D94"/>
    <w:rsid w:val="00412252"/>
    <w:rsid w:val="004124A9"/>
    <w:rsid w:val="004130E5"/>
    <w:rsid w:val="00413304"/>
    <w:rsid w:val="00413674"/>
    <w:rsid w:val="00414FF5"/>
    <w:rsid w:val="0041515A"/>
    <w:rsid w:val="00416E29"/>
    <w:rsid w:val="00416F54"/>
    <w:rsid w:val="0042019B"/>
    <w:rsid w:val="004210EC"/>
    <w:rsid w:val="00421AB0"/>
    <w:rsid w:val="00424002"/>
    <w:rsid w:val="00424D58"/>
    <w:rsid w:val="00426083"/>
    <w:rsid w:val="00431329"/>
    <w:rsid w:val="0043229B"/>
    <w:rsid w:val="00432B06"/>
    <w:rsid w:val="00432D6A"/>
    <w:rsid w:val="0043562D"/>
    <w:rsid w:val="00437442"/>
    <w:rsid w:val="00441446"/>
    <w:rsid w:val="00441CE4"/>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97475"/>
    <w:rsid w:val="004A07FE"/>
    <w:rsid w:val="004A1039"/>
    <w:rsid w:val="004A2DF9"/>
    <w:rsid w:val="004A3097"/>
    <w:rsid w:val="004A4867"/>
    <w:rsid w:val="004A53C4"/>
    <w:rsid w:val="004A5EB7"/>
    <w:rsid w:val="004A6125"/>
    <w:rsid w:val="004A671E"/>
    <w:rsid w:val="004A6A44"/>
    <w:rsid w:val="004A6E8A"/>
    <w:rsid w:val="004B0DD9"/>
    <w:rsid w:val="004B25BE"/>
    <w:rsid w:val="004B3B89"/>
    <w:rsid w:val="004B3E96"/>
    <w:rsid w:val="004B4ED3"/>
    <w:rsid w:val="004B6394"/>
    <w:rsid w:val="004B6494"/>
    <w:rsid w:val="004B6B41"/>
    <w:rsid w:val="004B7C1D"/>
    <w:rsid w:val="004C0AA3"/>
    <w:rsid w:val="004C23AA"/>
    <w:rsid w:val="004C48C8"/>
    <w:rsid w:val="004C4F07"/>
    <w:rsid w:val="004C519C"/>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6C"/>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3F18"/>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B6628"/>
    <w:rsid w:val="005C1099"/>
    <w:rsid w:val="005C12CA"/>
    <w:rsid w:val="005C1E3A"/>
    <w:rsid w:val="005C2037"/>
    <w:rsid w:val="005C2DF0"/>
    <w:rsid w:val="005C2F1A"/>
    <w:rsid w:val="005C3B60"/>
    <w:rsid w:val="005C4432"/>
    <w:rsid w:val="005C4953"/>
    <w:rsid w:val="005C5FB5"/>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490B"/>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24BC"/>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4062"/>
    <w:rsid w:val="00665497"/>
    <w:rsid w:val="00665E28"/>
    <w:rsid w:val="006661B6"/>
    <w:rsid w:val="00666F41"/>
    <w:rsid w:val="00667011"/>
    <w:rsid w:val="0067029E"/>
    <w:rsid w:val="00671196"/>
    <w:rsid w:val="00671444"/>
    <w:rsid w:val="00671E7A"/>
    <w:rsid w:val="00672487"/>
    <w:rsid w:val="006737CA"/>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DC"/>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B7CC5"/>
    <w:rsid w:val="006C1073"/>
    <w:rsid w:val="006C10AB"/>
    <w:rsid w:val="006C1A84"/>
    <w:rsid w:val="006C1CC1"/>
    <w:rsid w:val="006C250B"/>
    <w:rsid w:val="006C420C"/>
    <w:rsid w:val="006C54A4"/>
    <w:rsid w:val="006C6CA5"/>
    <w:rsid w:val="006C6E36"/>
    <w:rsid w:val="006C703A"/>
    <w:rsid w:val="006C72E5"/>
    <w:rsid w:val="006C7478"/>
    <w:rsid w:val="006C77EC"/>
    <w:rsid w:val="006D128E"/>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1D76"/>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985"/>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4202"/>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0D8A"/>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58EA"/>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3268"/>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39F"/>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4A31"/>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4BB"/>
    <w:rsid w:val="00A61879"/>
    <w:rsid w:val="00A621C1"/>
    <w:rsid w:val="00A624D8"/>
    <w:rsid w:val="00A6293C"/>
    <w:rsid w:val="00A62BA5"/>
    <w:rsid w:val="00A62E1B"/>
    <w:rsid w:val="00A62FC8"/>
    <w:rsid w:val="00A63573"/>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8C5"/>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3C38"/>
    <w:rsid w:val="00B243AF"/>
    <w:rsid w:val="00B2463B"/>
    <w:rsid w:val="00B254E4"/>
    <w:rsid w:val="00B274FB"/>
    <w:rsid w:val="00B27BF4"/>
    <w:rsid w:val="00B311FD"/>
    <w:rsid w:val="00B3467F"/>
    <w:rsid w:val="00B364FB"/>
    <w:rsid w:val="00B40173"/>
    <w:rsid w:val="00B4037F"/>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97EA0"/>
    <w:rsid w:val="00BA077E"/>
    <w:rsid w:val="00BA2248"/>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4D62"/>
    <w:rsid w:val="00BD6FF3"/>
    <w:rsid w:val="00BD761F"/>
    <w:rsid w:val="00BE00E7"/>
    <w:rsid w:val="00BE0144"/>
    <w:rsid w:val="00BE1BEF"/>
    <w:rsid w:val="00BE1D77"/>
    <w:rsid w:val="00BE21C2"/>
    <w:rsid w:val="00BE2E66"/>
    <w:rsid w:val="00BE3B3F"/>
    <w:rsid w:val="00BE4D9C"/>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473A"/>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55E3"/>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1C7"/>
    <w:rsid w:val="00C65974"/>
    <w:rsid w:val="00C66244"/>
    <w:rsid w:val="00C678C8"/>
    <w:rsid w:val="00C70229"/>
    <w:rsid w:val="00C704BB"/>
    <w:rsid w:val="00C7085F"/>
    <w:rsid w:val="00C71053"/>
    <w:rsid w:val="00C7193E"/>
    <w:rsid w:val="00C726C7"/>
    <w:rsid w:val="00C74341"/>
    <w:rsid w:val="00C756D4"/>
    <w:rsid w:val="00C76AA5"/>
    <w:rsid w:val="00C80343"/>
    <w:rsid w:val="00C80653"/>
    <w:rsid w:val="00C81AA5"/>
    <w:rsid w:val="00C81E33"/>
    <w:rsid w:val="00C82D7C"/>
    <w:rsid w:val="00C83623"/>
    <w:rsid w:val="00C862D0"/>
    <w:rsid w:val="00C87DB4"/>
    <w:rsid w:val="00C90D7B"/>
    <w:rsid w:val="00C90F20"/>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9"/>
    <w:rsid w:val="00D01D1A"/>
    <w:rsid w:val="00D02082"/>
    <w:rsid w:val="00D02606"/>
    <w:rsid w:val="00D03967"/>
    <w:rsid w:val="00D042F5"/>
    <w:rsid w:val="00D06384"/>
    <w:rsid w:val="00D06419"/>
    <w:rsid w:val="00D06A68"/>
    <w:rsid w:val="00D07459"/>
    <w:rsid w:val="00D07482"/>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3F1D"/>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2CF"/>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271A"/>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3511"/>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89D"/>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1FF5"/>
    <w:rsid w:val="00FB3165"/>
    <w:rsid w:val="00FB457A"/>
    <w:rsid w:val="00FB673B"/>
    <w:rsid w:val="00FB6BCD"/>
    <w:rsid w:val="00FB74E8"/>
    <w:rsid w:val="00FB7513"/>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CA135F"/>
    <w:rsid w:val="062C5241"/>
    <w:rsid w:val="087F341E"/>
    <w:rsid w:val="0B576FA6"/>
    <w:rsid w:val="0B67619D"/>
    <w:rsid w:val="0BCE2672"/>
    <w:rsid w:val="0C74674A"/>
    <w:rsid w:val="0D917342"/>
    <w:rsid w:val="0D9A1D01"/>
    <w:rsid w:val="13C159D3"/>
    <w:rsid w:val="14522278"/>
    <w:rsid w:val="15027387"/>
    <w:rsid w:val="15BA2148"/>
    <w:rsid w:val="186C2797"/>
    <w:rsid w:val="1C087446"/>
    <w:rsid w:val="1C7A2EBA"/>
    <w:rsid w:val="1CC42B2B"/>
    <w:rsid w:val="1DD7242A"/>
    <w:rsid w:val="1FE96C05"/>
    <w:rsid w:val="22561186"/>
    <w:rsid w:val="23113228"/>
    <w:rsid w:val="24B02CB6"/>
    <w:rsid w:val="25437416"/>
    <w:rsid w:val="25C96113"/>
    <w:rsid w:val="26382C91"/>
    <w:rsid w:val="27A6670B"/>
    <w:rsid w:val="2A5074D6"/>
    <w:rsid w:val="2AA64C74"/>
    <w:rsid w:val="2B0100FD"/>
    <w:rsid w:val="306C521E"/>
    <w:rsid w:val="339C09C3"/>
    <w:rsid w:val="348257E4"/>
    <w:rsid w:val="353E4427"/>
    <w:rsid w:val="390F78F6"/>
    <w:rsid w:val="3C2017A8"/>
    <w:rsid w:val="3DC9408D"/>
    <w:rsid w:val="43EA39CC"/>
    <w:rsid w:val="44054362"/>
    <w:rsid w:val="455E1F7C"/>
    <w:rsid w:val="47BE4F54"/>
    <w:rsid w:val="48A45269"/>
    <w:rsid w:val="49465201"/>
    <w:rsid w:val="494934ED"/>
    <w:rsid w:val="4EC92681"/>
    <w:rsid w:val="51D1545D"/>
    <w:rsid w:val="52EB63E7"/>
    <w:rsid w:val="53403813"/>
    <w:rsid w:val="5385202A"/>
    <w:rsid w:val="54CD5CAD"/>
    <w:rsid w:val="562A45DB"/>
    <w:rsid w:val="56A03E1E"/>
    <w:rsid w:val="62FF3736"/>
    <w:rsid w:val="664B18CF"/>
    <w:rsid w:val="670532F3"/>
    <w:rsid w:val="69E46644"/>
    <w:rsid w:val="6B4052E2"/>
    <w:rsid w:val="6E4D03CD"/>
    <w:rsid w:val="7A8F145B"/>
    <w:rsid w:val="7AFF0F84"/>
    <w:rsid w:val="7E514B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4">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3"/>
    <w:qFormat/>
    <w:uiPriority w:val="99"/>
    <w:rPr>
      <w:rFonts w:ascii="Cambria" w:hAnsi="Cambria" w:eastAsia="宋体" w:cs="Times New Roman"/>
      <w:b/>
      <w:bCs/>
      <w:sz w:val="32"/>
      <w:szCs w:val="32"/>
    </w:rPr>
  </w:style>
  <w:style w:type="character" w:customStyle="1" w:styleId="18">
    <w:name w:val="标题 1 字符"/>
    <w:basedOn w:val="14"/>
    <w:link w:val="2"/>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6"/>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5"/>
    <w:semiHidden/>
    <w:qFormat/>
    <w:uiPriority w:val="9"/>
    <w:rPr>
      <w:rFonts w:asciiTheme="majorHAnsi" w:hAnsiTheme="majorHAnsi" w:eastAsiaTheme="majorEastAsia" w:cstheme="majorBidi"/>
      <w:b/>
      <w:bCs/>
      <w:kern w:val="2"/>
      <w:sz w:val="28"/>
      <w:szCs w:val="28"/>
    </w:rPr>
  </w:style>
  <w:style w:type="paragraph" w:customStyle="1" w:styleId="28">
    <w:name w:val="标准"/>
    <w:basedOn w:val="1"/>
    <w:qFormat/>
    <w:uiPriority w:val="0"/>
    <w:pPr>
      <w:adjustRightInd w:val="0"/>
      <w:spacing w:before="120" w:after="120" w:line="312" w:lineRule="atLeast"/>
      <w:textAlignment w:val="baseline"/>
    </w:pPr>
    <w:rPr>
      <w:rFonts w:ascii="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3BCCCD-9591-4807-BF1E-077676D0FFC9}">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4364</Words>
  <Characters>4568</Characters>
  <Lines>34</Lines>
  <Paragraphs>9</Paragraphs>
  <TotalTime>2</TotalTime>
  <ScaleCrop>false</ScaleCrop>
  <LinksUpToDate>false</LinksUpToDate>
  <CharactersWithSpaces>4577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碧云霜竹Donald</cp:lastModifiedBy>
  <cp:lastPrinted>2025-03-14T03:17:00Z</cp:lastPrinted>
  <dcterms:modified xsi:type="dcterms:W3CDTF">2025-06-13T08:57:50Z</dcterms:modified>
  <cp:revision>171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eyJoZGlkIjoiZWZjYTU2NGY2YzY0NDgzNDFkY2NhZTc1YWNkYjhlMWIiLCJ1c2VySWQiOiIyOTQ1NTAzNTgifQ==</vt:lpwstr>
  </property>
  <property fmtid="{D5CDD505-2E9C-101B-9397-08002B2CF9AE}" pid="4" name="ICV">
    <vt:lpwstr>1088803CE0DE4CE993EEBE5BAF224DF4_13</vt:lpwstr>
  </property>
</Properties>
</file>