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DB68D4">
      <w:pPr>
        <w:spacing w:line="360" w:lineRule="auto"/>
        <w:ind w:left="321" w:leftChars="153" w:right="227"/>
        <w:jc w:val="center"/>
        <w:rPr>
          <w:rFonts w:eastAsia="黑体"/>
          <w:b/>
          <w:bCs/>
          <w:sz w:val="36"/>
          <w:szCs w:val="36"/>
        </w:rPr>
      </w:pPr>
      <w:r>
        <w:rPr>
          <w:rFonts w:hint="eastAsia" w:eastAsia="黑体"/>
          <w:b/>
          <w:bCs/>
          <w:sz w:val="36"/>
          <w:szCs w:val="36"/>
        </w:rPr>
        <w:t>中国史</w:t>
      </w:r>
      <w:r>
        <w:rPr>
          <w:rFonts w:eastAsia="黑体"/>
          <w:b/>
          <w:bCs/>
          <w:sz w:val="36"/>
          <w:szCs w:val="36"/>
        </w:rPr>
        <w:t>专业学术学位硕士研究生培养方案</w:t>
      </w:r>
    </w:p>
    <w:p w14:paraId="74516953">
      <w:pPr>
        <w:spacing w:line="360" w:lineRule="auto"/>
        <w:ind w:left="321" w:leftChars="153" w:right="227"/>
        <w:jc w:val="center"/>
        <w:rPr>
          <w:rFonts w:eastAsia="黑体"/>
          <w:b/>
          <w:bCs/>
          <w:sz w:val="28"/>
          <w:szCs w:val="28"/>
        </w:rPr>
      </w:pPr>
      <w:r>
        <w:rPr>
          <w:rFonts w:eastAsia="黑体"/>
          <w:b/>
          <w:bCs/>
          <w:sz w:val="28"/>
          <w:szCs w:val="28"/>
        </w:rPr>
        <w:t>（</w:t>
      </w:r>
      <w:r>
        <w:rPr>
          <w:rFonts w:hint="eastAsia" w:eastAsia="黑体"/>
          <w:b/>
          <w:bCs/>
          <w:sz w:val="28"/>
          <w:szCs w:val="28"/>
        </w:rPr>
        <w:t>历史</w:t>
      </w:r>
      <w:r>
        <w:rPr>
          <w:rFonts w:eastAsia="黑体"/>
          <w:b/>
          <w:bCs/>
          <w:sz w:val="28"/>
          <w:szCs w:val="28"/>
        </w:rPr>
        <w:t>学院</w:t>
      </w:r>
      <w:r>
        <w:rPr>
          <w:rFonts w:hint="eastAsia" w:eastAsia="黑体"/>
          <w:b/>
          <w:bCs/>
          <w:sz w:val="28"/>
          <w:szCs w:val="28"/>
        </w:rPr>
        <w:t>）</w:t>
      </w:r>
    </w:p>
    <w:p w14:paraId="74FF5A57">
      <w:pPr>
        <w:spacing w:line="360" w:lineRule="auto"/>
        <w:rPr>
          <w:rFonts w:eastAsia="黑体"/>
          <w:bCs/>
          <w:sz w:val="28"/>
          <w:szCs w:val="28"/>
        </w:rPr>
      </w:pPr>
      <w:r>
        <w:rPr>
          <w:rFonts w:eastAsia="黑体"/>
          <w:bCs/>
          <w:sz w:val="28"/>
          <w:szCs w:val="28"/>
        </w:rPr>
        <w:t>一、专业名称、代码</w:t>
      </w:r>
    </w:p>
    <w:p w14:paraId="0339A70F">
      <w:pPr>
        <w:widowControl/>
        <w:spacing w:line="360" w:lineRule="auto"/>
        <w:ind w:firstLine="480" w:firstLineChars="200"/>
        <w:jc w:val="left"/>
        <w:rPr>
          <w:color w:val="222222"/>
          <w:kern w:val="0"/>
          <w:sz w:val="18"/>
          <w:szCs w:val="18"/>
        </w:rPr>
      </w:pPr>
      <w:r>
        <w:rPr>
          <w:color w:val="222222"/>
          <w:kern w:val="0"/>
          <w:sz w:val="24"/>
        </w:rPr>
        <w:t>专业名称：</w:t>
      </w:r>
      <w:r>
        <w:rPr>
          <w:rFonts w:hint="eastAsia"/>
          <w:color w:val="222222"/>
          <w:kern w:val="0"/>
          <w:sz w:val="24"/>
        </w:rPr>
        <w:t>中国史</w:t>
      </w:r>
    </w:p>
    <w:p w14:paraId="55CA89D8">
      <w:pPr>
        <w:widowControl/>
        <w:spacing w:line="360" w:lineRule="auto"/>
        <w:ind w:firstLine="480" w:firstLineChars="200"/>
        <w:jc w:val="left"/>
        <w:rPr>
          <w:color w:val="222222"/>
          <w:kern w:val="0"/>
          <w:sz w:val="18"/>
          <w:szCs w:val="18"/>
        </w:rPr>
      </w:pPr>
      <w:r>
        <w:rPr>
          <w:color w:val="222222"/>
          <w:kern w:val="0"/>
          <w:sz w:val="24"/>
        </w:rPr>
        <w:t>专业代码：</w:t>
      </w:r>
      <w:r>
        <w:rPr>
          <w:rFonts w:hint="eastAsia"/>
          <w:color w:val="222222"/>
          <w:kern w:val="0"/>
          <w:sz w:val="24"/>
        </w:rPr>
        <w:t>0602</w:t>
      </w:r>
    </w:p>
    <w:p w14:paraId="5617016E">
      <w:pPr>
        <w:spacing w:line="360" w:lineRule="auto"/>
        <w:rPr>
          <w:rFonts w:eastAsia="黑体"/>
          <w:bCs/>
          <w:i/>
          <w:color w:val="FF0000"/>
          <w:sz w:val="28"/>
          <w:szCs w:val="28"/>
        </w:rPr>
      </w:pPr>
      <w:r>
        <w:rPr>
          <w:rFonts w:eastAsia="黑体"/>
          <w:bCs/>
          <w:sz w:val="28"/>
          <w:szCs w:val="28"/>
        </w:rPr>
        <w:t>二、</w:t>
      </w:r>
      <w:r>
        <w:rPr>
          <w:rFonts w:eastAsia="黑体"/>
          <w:bCs/>
          <w:color w:val="000000" w:themeColor="text1"/>
          <w:sz w:val="28"/>
          <w:szCs w:val="28"/>
          <w14:textFill>
            <w14:solidFill>
              <w14:schemeClr w14:val="tx1"/>
            </w14:solidFill>
          </w14:textFill>
        </w:rPr>
        <w:t>专业简介</w:t>
      </w:r>
    </w:p>
    <w:p w14:paraId="41807935">
      <w:pPr>
        <w:spacing w:line="360" w:lineRule="auto"/>
        <w:ind w:firstLine="480" w:firstLineChars="200"/>
        <w:rPr>
          <w:rFonts w:ascii="宋体" w:hAnsi="宋体"/>
          <w:sz w:val="24"/>
        </w:rPr>
      </w:pPr>
      <w:r>
        <w:rPr>
          <w:rFonts w:hint="eastAsia" w:ascii="宋体" w:hAnsi="宋体"/>
          <w:sz w:val="24"/>
        </w:rPr>
        <w:t>河北大学中国史专业（0602）由历史学院和宋史研究中心共建。本学科的创建可追溯至1945年天津工商学院史地系。1984年，获得河北省第一个博士点——中国古代史博士点。1986年，中国古代史学科被确立为河北省重点学科。1995年，历史系被评为河北省文科人才培养和科学研究基地。2001年，宋史研究中心被评定为“教育部省属高校人文社会科学重点研究基地”。2005年，历史学科被河北省人民政府评定为省强势特色学科。同年，获批设立中国近现代史博士点。2011年，获批设立中国史一级学科博士点，并可招收中国史学科博士后研究人员。2016年，中国史学科入选河北省“双一流”建设国家一流建设学科。2018年，中国史学科纳入河北大学燕赵文化学科群建设序列，成为该学科群的重要支撑学科。</w:t>
      </w:r>
      <w:r>
        <w:rPr>
          <w:rFonts w:hint="eastAsia" w:eastAsiaTheme="minorEastAsia"/>
          <w:iCs/>
          <w:color w:val="000000" w:themeColor="text1"/>
          <w:sz w:val="24"/>
          <w:lang w:val="en-US" w:eastAsia="zh-CN"/>
          <w14:textFill>
            <w14:solidFill>
              <w14:schemeClr w14:val="tx1"/>
            </w14:solidFill>
          </w14:textFill>
        </w:rPr>
        <w:t>同年</w:t>
      </w:r>
      <w:r>
        <w:rPr>
          <w:rFonts w:hint="eastAsia" w:eastAsiaTheme="minorEastAsia"/>
          <w:iCs/>
          <w:color w:val="000000" w:themeColor="text1"/>
          <w:sz w:val="24"/>
          <w:lang w:eastAsia="zh-CN"/>
          <w14:textFill>
            <w14:solidFill>
              <w14:schemeClr w14:val="tx1"/>
            </w14:solidFill>
          </w14:textFill>
        </w:rPr>
        <w:t>，中国史学科列入教育部对口</w:t>
      </w:r>
      <w:r>
        <w:rPr>
          <w:rFonts w:hint="eastAsia" w:eastAsiaTheme="minorEastAsia"/>
          <w:iCs/>
          <w:color w:val="000000" w:themeColor="text1"/>
          <w:sz w:val="24"/>
          <w:lang w:val="en-US" w:eastAsia="zh-CN"/>
          <w14:textFill>
            <w14:solidFill>
              <w14:schemeClr w14:val="tx1"/>
            </w14:solidFill>
          </w14:textFill>
        </w:rPr>
        <w:t>合作</w:t>
      </w:r>
      <w:r>
        <w:rPr>
          <w:rFonts w:hint="eastAsia" w:eastAsiaTheme="minorEastAsia"/>
          <w:iCs/>
          <w:color w:val="000000" w:themeColor="text1"/>
          <w:sz w:val="24"/>
          <w:lang w:eastAsia="zh-CN"/>
          <w14:textFill>
            <w14:solidFill>
              <w14:schemeClr w14:val="tx1"/>
            </w14:solidFill>
          </w14:textFill>
        </w:rPr>
        <w:t>支持学科</w:t>
      </w:r>
      <w:r>
        <w:rPr>
          <w:rFonts w:hint="eastAsia" w:eastAsiaTheme="minorEastAsia"/>
          <w:iCs/>
          <w:color w:val="000000" w:themeColor="text1"/>
          <w:sz w:val="24"/>
          <w14:textFill>
            <w14:solidFill>
              <w14:schemeClr w14:val="tx1"/>
            </w14:solidFill>
          </w14:textFill>
        </w:rPr>
        <w:t>。</w:t>
      </w:r>
      <w:r>
        <w:rPr>
          <w:rFonts w:hint="eastAsia" w:ascii="宋体" w:hAnsi="宋体"/>
          <w:sz w:val="24"/>
        </w:rPr>
        <w:t>2019年，历史学专业获批国家级一流本科专业建设点。在教育部第五轮学科评估中，本学科列B-层次。</w:t>
      </w:r>
    </w:p>
    <w:p w14:paraId="0A5C998E">
      <w:pPr>
        <w:spacing w:line="360" w:lineRule="auto"/>
        <w:ind w:firstLine="480" w:firstLineChars="200"/>
        <w:rPr>
          <w:rFonts w:ascii="宋体" w:hAnsi="宋体"/>
          <w:sz w:val="24"/>
        </w:rPr>
      </w:pPr>
      <w:r>
        <w:rPr>
          <w:rFonts w:hint="eastAsia" w:eastAsiaTheme="minorEastAsia"/>
          <w:iCs/>
          <w:color w:val="000000" w:themeColor="text1"/>
          <w:sz w:val="24"/>
          <w14:textFill>
            <w14:solidFill>
              <w14:schemeClr w14:val="tx1"/>
            </w14:solidFill>
          </w14:textFill>
        </w:rPr>
        <w:t>历史学院中国史学科的研究方向，涵盖中国近现代史、中国专门史、史学理论与史学史等。目前，学科在华北区域史、思想文化史等方面具有鲜明的特色和优势。</w:t>
      </w:r>
      <w:r>
        <w:rPr>
          <w:rFonts w:hint="eastAsia" w:ascii="宋体" w:hAnsi="宋体"/>
          <w:sz w:val="24"/>
        </w:rPr>
        <w:t>华北区域史研究主要致力于挖掘华北区域历史文化，服务京津冀协调发展战略和雄安新区建设国家战略，在海河流域生态环境、华北根据地与解放区、区域社会治理、城乡社会变迁等方面具有鲜明特色和优势。思想文化史研究注重从纵向探寻思想文化的古今演变，横向打通思想与政治、社会之间的壁垒，在近代科学社团、传统科技思想史、中外文化交流等领域优势突出。</w:t>
      </w:r>
    </w:p>
    <w:p w14:paraId="47FC21C5">
      <w:pPr>
        <w:spacing w:line="360" w:lineRule="auto"/>
        <w:ind w:firstLine="480" w:firstLineChars="200"/>
        <w:rPr>
          <w:rFonts w:eastAsiaTheme="minorEastAsia"/>
          <w:iCs/>
          <w:color w:val="FF0000"/>
          <w:sz w:val="24"/>
        </w:rPr>
      </w:pPr>
    </w:p>
    <w:p w14:paraId="2468FB30">
      <w:pPr>
        <w:spacing w:line="360" w:lineRule="auto"/>
        <w:rPr>
          <w:rFonts w:eastAsia="黑体"/>
          <w:bCs/>
          <w:sz w:val="28"/>
          <w:szCs w:val="28"/>
        </w:rPr>
      </w:pPr>
      <w:r>
        <w:rPr>
          <w:rFonts w:eastAsia="黑体"/>
          <w:bCs/>
          <w:sz w:val="28"/>
          <w:szCs w:val="28"/>
        </w:rPr>
        <w:t>三、研究方向</w:t>
      </w:r>
    </w:p>
    <w:p w14:paraId="3D853497">
      <w:pPr>
        <w:spacing w:line="360" w:lineRule="auto"/>
        <w:ind w:firstLine="480" w:firstLineChars="200"/>
        <w:rPr>
          <w:rFonts w:eastAsiaTheme="minorEastAsia"/>
          <w:iCs/>
          <w:color w:val="000000" w:themeColor="text1"/>
          <w:sz w:val="24"/>
          <w14:textFill>
            <w14:solidFill>
              <w14:schemeClr w14:val="tx1"/>
            </w14:solidFill>
          </w14:textFill>
        </w:rPr>
      </w:pPr>
      <w:r>
        <w:rPr>
          <w:rFonts w:hint="eastAsia" w:eastAsiaTheme="minorEastAsia"/>
          <w:iCs/>
          <w:color w:val="000000" w:themeColor="text1"/>
          <w:sz w:val="24"/>
          <w14:textFill>
            <w14:solidFill>
              <w14:schemeClr w14:val="tx1"/>
            </w14:solidFill>
          </w14:textFill>
        </w:rPr>
        <w:t>1.中国近现代史</w:t>
      </w:r>
    </w:p>
    <w:p w14:paraId="2A505BC5">
      <w:pPr>
        <w:spacing w:line="360" w:lineRule="auto"/>
        <w:ind w:firstLine="480" w:firstLineChars="200"/>
        <w:rPr>
          <w:rFonts w:eastAsiaTheme="minorEastAsia"/>
          <w:iCs/>
          <w:color w:val="000000" w:themeColor="text1"/>
          <w:sz w:val="24"/>
          <w14:textFill>
            <w14:solidFill>
              <w14:schemeClr w14:val="tx1"/>
            </w14:solidFill>
          </w14:textFill>
        </w:rPr>
      </w:pPr>
      <w:r>
        <w:rPr>
          <w:rFonts w:hint="eastAsia" w:eastAsiaTheme="minorEastAsia"/>
          <w:iCs/>
          <w:color w:val="000000" w:themeColor="text1"/>
          <w:sz w:val="24"/>
          <w14:textFill>
            <w14:solidFill>
              <w14:schemeClr w14:val="tx1"/>
            </w14:solidFill>
          </w14:textFill>
        </w:rPr>
        <w:t>（1）中国近现代社会经济史。本方向主要研究近代中国经济社会的历史变迁，包括农业、工商业、市场贸易、货币金融以及人口家庭、阶级阶层、社会组织、社会意识、社会问题、社会生活等领域，侧重于华北社会经济变迁、社会组织、烟毒治理、根据地社会经济等方面的研究。</w:t>
      </w:r>
    </w:p>
    <w:p w14:paraId="5A118BC8">
      <w:pPr>
        <w:spacing w:line="360" w:lineRule="auto"/>
        <w:ind w:firstLine="480" w:firstLineChars="200"/>
        <w:rPr>
          <w:rFonts w:eastAsiaTheme="minorEastAsia"/>
          <w:iCs/>
          <w:color w:val="000000" w:themeColor="text1"/>
          <w:sz w:val="24"/>
          <w14:textFill>
            <w14:solidFill>
              <w14:schemeClr w14:val="tx1"/>
            </w14:solidFill>
          </w14:textFill>
        </w:rPr>
      </w:pPr>
      <w:r>
        <w:rPr>
          <w:rFonts w:hint="eastAsia" w:eastAsiaTheme="minorEastAsia"/>
          <w:iCs/>
          <w:color w:val="000000" w:themeColor="text1"/>
          <w:sz w:val="24"/>
          <w14:textFill>
            <w14:solidFill>
              <w14:schemeClr w14:val="tx1"/>
            </w14:solidFill>
          </w14:textFill>
        </w:rPr>
        <w:t>（2）中国近现代思想文化史。本方向主要研究近代中国的思想演变与社会文化变迁，呈现百年来中国思想文化发展的历史脉络，在红色文化、科学社团、科技思想、人物思想、文化教育、报刊文化等领域的研究具有鲜明优势。</w:t>
      </w:r>
    </w:p>
    <w:p w14:paraId="193F2977">
      <w:pPr>
        <w:spacing w:line="360" w:lineRule="auto"/>
        <w:ind w:firstLine="480" w:firstLineChars="200"/>
        <w:rPr>
          <w:rFonts w:eastAsiaTheme="minorEastAsia"/>
          <w:iCs/>
          <w:color w:val="000000" w:themeColor="text1"/>
          <w:sz w:val="24"/>
          <w14:textFill>
            <w14:solidFill>
              <w14:schemeClr w14:val="tx1"/>
            </w14:solidFill>
          </w14:textFill>
        </w:rPr>
      </w:pPr>
      <w:r>
        <w:rPr>
          <w:rFonts w:hint="eastAsia" w:eastAsiaTheme="minorEastAsia"/>
          <w:iCs/>
          <w:color w:val="000000" w:themeColor="text1"/>
          <w:sz w:val="24"/>
          <w14:textFill>
            <w14:solidFill>
              <w14:schemeClr w14:val="tx1"/>
            </w14:solidFill>
          </w14:textFill>
        </w:rPr>
        <w:t>（3）中国近现代政治史。本方向主要研究近代中国政治变迁，包括政治制度、政治活动、军事活动和重大事件，以及各阶层、政党、人物的政治主张与策略、政治势力的关系及其变化，在历史人物、政治事件、政治制度等方面的研究具有优势。</w:t>
      </w:r>
    </w:p>
    <w:p w14:paraId="62692F01">
      <w:pPr>
        <w:spacing w:line="360" w:lineRule="auto"/>
        <w:ind w:firstLine="480" w:firstLineChars="200"/>
        <w:rPr>
          <w:rFonts w:eastAsiaTheme="minorEastAsia"/>
          <w:iCs/>
          <w:color w:val="000000" w:themeColor="text1"/>
          <w:sz w:val="24"/>
          <w14:textFill>
            <w14:solidFill>
              <w14:schemeClr w14:val="tx1"/>
            </w14:solidFill>
          </w14:textFill>
        </w:rPr>
      </w:pPr>
      <w:r>
        <w:rPr>
          <w:rFonts w:hint="eastAsia" w:eastAsiaTheme="minorEastAsia"/>
          <w:iCs/>
          <w:color w:val="000000" w:themeColor="text1"/>
          <w:sz w:val="24"/>
          <w14:textFill>
            <w14:solidFill>
              <w14:schemeClr w14:val="tx1"/>
            </w14:solidFill>
          </w14:textFill>
        </w:rPr>
        <w:t>（4）近现代中外关系史。本方向主要研究近代中外关系，包括中外的政治、经济、外交、思想、军事、文化与社会之间的联系，在中外文化交流、知识传播、留学教育等方面的研究独具特色。</w:t>
      </w:r>
    </w:p>
    <w:p w14:paraId="7B1DF0E2">
      <w:pPr>
        <w:spacing w:line="360" w:lineRule="auto"/>
        <w:ind w:firstLine="480" w:firstLineChars="200"/>
        <w:rPr>
          <w:rFonts w:eastAsiaTheme="minorEastAsia"/>
          <w:iCs/>
          <w:color w:val="000000" w:themeColor="text1"/>
          <w:sz w:val="24"/>
          <w14:textFill>
            <w14:solidFill>
              <w14:schemeClr w14:val="tx1"/>
            </w14:solidFill>
          </w14:textFill>
        </w:rPr>
      </w:pPr>
      <w:r>
        <w:rPr>
          <w:rFonts w:hint="eastAsia" w:eastAsiaTheme="minorEastAsia"/>
          <w:iCs/>
          <w:color w:val="000000" w:themeColor="text1"/>
          <w:sz w:val="24"/>
          <w14:textFill>
            <w14:solidFill>
              <w14:schemeClr w14:val="tx1"/>
            </w14:solidFill>
          </w14:textFill>
        </w:rPr>
        <w:t>（5）中华人民共和国史。本方向主要研究新中国的政治、经济、文化、教育等方面，着重揭示新中国建设中积累的历史经验与教训，在新中国农村社会变迁、水利建设、口述史等方面的研究具有鲜明优势。</w:t>
      </w:r>
    </w:p>
    <w:p w14:paraId="376AF4DA">
      <w:pPr>
        <w:spacing w:line="360" w:lineRule="auto"/>
        <w:ind w:firstLine="480" w:firstLineChars="200"/>
        <w:rPr>
          <w:rFonts w:eastAsiaTheme="minorEastAsia"/>
          <w:iCs/>
          <w:color w:val="000000" w:themeColor="text1"/>
          <w:sz w:val="24"/>
          <w14:textFill>
            <w14:solidFill>
              <w14:schemeClr w14:val="tx1"/>
            </w14:solidFill>
          </w14:textFill>
        </w:rPr>
      </w:pPr>
      <w:r>
        <w:rPr>
          <w:rFonts w:hint="eastAsia" w:eastAsiaTheme="minorEastAsia"/>
          <w:iCs/>
          <w:color w:val="000000" w:themeColor="text1"/>
          <w:sz w:val="24"/>
          <w14:textFill>
            <w14:solidFill>
              <w14:schemeClr w14:val="tx1"/>
            </w14:solidFill>
          </w14:textFill>
        </w:rPr>
        <w:t>2.中国专门史</w:t>
      </w:r>
    </w:p>
    <w:p w14:paraId="31E82E7F">
      <w:pPr>
        <w:spacing w:line="360" w:lineRule="auto"/>
        <w:ind w:firstLine="480" w:firstLineChars="200"/>
        <w:rPr>
          <w:rFonts w:eastAsiaTheme="minorEastAsia"/>
          <w:iCs/>
          <w:color w:val="000000" w:themeColor="text1"/>
          <w:sz w:val="24"/>
          <w14:textFill>
            <w14:solidFill>
              <w14:schemeClr w14:val="tx1"/>
            </w14:solidFill>
          </w14:textFill>
        </w:rPr>
      </w:pPr>
      <w:r>
        <w:rPr>
          <w:rFonts w:hint="eastAsia" w:eastAsiaTheme="minorEastAsia"/>
          <w:iCs/>
          <w:color w:val="000000" w:themeColor="text1"/>
          <w:sz w:val="24"/>
          <w14:textFill>
            <w14:solidFill>
              <w14:schemeClr w14:val="tx1"/>
            </w14:solidFill>
          </w14:textFill>
        </w:rPr>
        <w:t>（1）中国社会史。本方向在宋元明清及近现代社会史研究方面具有优势地位，较为突出的有中国基层政权、社会问题、社会组织、城市功能与社会变迁等领域的研究。</w:t>
      </w:r>
    </w:p>
    <w:p w14:paraId="334C9967">
      <w:pPr>
        <w:spacing w:line="360" w:lineRule="auto"/>
        <w:ind w:firstLine="480" w:firstLineChars="200"/>
        <w:rPr>
          <w:rFonts w:eastAsiaTheme="minorEastAsia"/>
          <w:iCs/>
          <w:color w:val="000000" w:themeColor="text1"/>
          <w:sz w:val="24"/>
          <w14:textFill>
            <w14:solidFill>
              <w14:schemeClr w14:val="tx1"/>
            </w14:solidFill>
          </w14:textFill>
        </w:rPr>
      </w:pPr>
      <w:r>
        <w:rPr>
          <w:rFonts w:hint="eastAsia" w:eastAsiaTheme="minorEastAsia"/>
          <w:iCs/>
          <w:color w:val="000000" w:themeColor="text1"/>
          <w:sz w:val="24"/>
          <w14:textFill>
            <w14:solidFill>
              <w14:schemeClr w14:val="tx1"/>
            </w14:solidFill>
          </w14:textFill>
        </w:rPr>
        <w:t>（2）中国经济史。本方向在明清及近现代经济史研究方面具有优势地位，尤为突出的是对明清高利贷资本的研究、晋商、经济团体等领域的研究。</w:t>
      </w:r>
    </w:p>
    <w:p w14:paraId="0C70EA32">
      <w:pPr>
        <w:spacing w:line="360" w:lineRule="auto"/>
        <w:ind w:firstLine="480" w:firstLineChars="200"/>
        <w:rPr>
          <w:rFonts w:eastAsiaTheme="minorEastAsia"/>
          <w:iCs/>
          <w:sz w:val="24"/>
        </w:rPr>
      </w:pPr>
      <w:r>
        <w:rPr>
          <w:rFonts w:hint="eastAsia" w:eastAsiaTheme="minorEastAsia"/>
          <w:iCs/>
          <w:color w:val="000000" w:themeColor="text1"/>
          <w:sz w:val="24"/>
          <w14:textFill>
            <w14:solidFill>
              <w14:schemeClr w14:val="tx1"/>
            </w14:solidFill>
          </w14:textFill>
        </w:rPr>
        <w:t>（3）</w:t>
      </w:r>
      <w:r>
        <w:rPr>
          <w:rFonts w:hint="eastAsia" w:eastAsiaTheme="minorEastAsia"/>
          <w:iCs/>
          <w:sz w:val="24"/>
        </w:rPr>
        <w:t>中国边疆史。本方向在古代边疆变迁的基础上，深入探讨边疆治理、民族经济文化、中华民族共同体等主题，注重正史典籍、文献史料与民族史料的结合，在唐宋边疆问题研究、藏学、敦煌学等方面研究优势突出。</w:t>
      </w:r>
    </w:p>
    <w:p w14:paraId="13766076">
      <w:pPr>
        <w:spacing w:line="360" w:lineRule="auto"/>
        <w:ind w:firstLine="480" w:firstLineChars="200"/>
        <w:rPr>
          <w:rFonts w:cs="仿宋" w:eastAsiaTheme="minorEastAsia"/>
          <w:iCs/>
          <w:sz w:val="24"/>
        </w:rPr>
      </w:pPr>
      <w:r>
        <w:rPr>
          <w:rFonts w:hint="eastAsia" w:cs="仿宋" w:eastAsiaTheme="minorEastAsia"/>
          <w:iCs/>
          <w:sz w:val="24"/>
        </w:rPr>
        <w:t>（4）生态环境史。本方向旨在阐述中国生态环境发展与演变，探讨生态环境的变化所反映的时代特点及生态环境对社会的影响，在海河流域生态环境研究、白洋淀水资源研究、华北水利治理研究方面具有鲜明特色和优势。</w:t>
      </w:r>
    </w:p>
    <w:p w14:paraId="4499A4CA">
      <w:pPr>
        <w:pStyle w:val="2"/>
        <w:ind w:firstLine="470"/>
      </w:pPr>
      <w:r>
        <w:rPr>
          <w:rFonts w:hint="eastAsia" w:eastAsiaTheme="minorEastAsia"/>
          <w:iCs/>
          <w:color w:val="000000" w:themeColor="text1"/>
          <w:sz w:val="24"/>
          <w14:textFill>
            <w14:solidFill>
              <w14:schemeClr w14:val="tx1"/>
            </w14:solidFill>
          </w14:textFill>
        </w:rPr>
        <w:t>（5）华北区域史。本方向主要致力于挖掘华北区域历史文化，服务京津冀协调发展战略和雄安新区建设国家战略，在华北革命根据地与解放区、直隶总督与地方治理、毒品综合治理、城乡与社会变迁等方面具有鲜明特色和优势。</w:t>
      </w:r>
    </w:p>
    <w:p w14:paraId="671F7755">
      <w:pPr>
        <w:spacing w:line="360" w:lineRule="auto"/>
        <w:ind w:firstLine="480" w:firstLineChars="200"/>
        <w:rPr>
          <w:rFonts w:eastAsiaTheme="minorEastAsia"/>
          <w:iCs/>
          <w:color w:val="000000" w:themeColor="text1"/>
          <w:sz w:val="24"/>
          <w14:textFill>
            <w14:solidFill>
              <w14:schemeClr w14:val="tx1"/>
            </w14:solidFill>
          </w14:textFill>
        </w:rPr>
      </w:pPr>
      <w:r>
        <w:rPr>
          <w:rFonts w:hint="eastAsia" w:eastAsiaTheme="minorEastAsia"/>
          <w:iCs/>
          <w:color w:val="000000" w:themeColor="text1"/>
          <w:sz w:val="24"/>
          <w14:textFill>
            <w14:solidFill>
              <w14:schemeClr w14:val="tx1"/>
            </w14:solidFill>
          </w14:textFill>
        </w:rPr>
        <w:t>3.史学理论与史学史</w:t>
      </w:r>
    </w:p>
    <w:p w14:paraId="3D31F3D0">
      <w:pPr>
        <w:spacing w:line="360" w:lineRule="auto"/>
        <w:ind w:firstLine="480" w:firstLineChars="200"/>
        <w:rPr>
          <w:rFonts w:eastAsiaTheme="minorEastAsia"/>
          <w:iCs/>
          <w:color w:val="000000" w:themeColor="text1"/>
          <w:sz w:val="24"/>
          <w14:textFill>
            <w14:solidFill>
              <w14:schemeClr w14:val="tx1"/>
            </w14:solidFill>
          </w14:textFill>
        </w:rPr>
      </w:pPr>
      <w:r>
        <w:rPr>
          <w:rFonts w:hint="eastAsia" w:eastAsiaTheme="minorEastAsia"/>
          <w:iCs/>
          <w:color w:val="000000" w:themeColor="text1"/>
          <w:sz w:val="24"/>
          <w14:textFill>
            <w14:solidFill>
              <w14:schemeClr w14:val="tx1"/>
            </w14:solidFill>
          </w14:textFill>
        </w:rPr>
        <w:t>（1）史学理论研究。本方向以中外历史观念、历史哲学、历史方法论以及史学理论前沿问题为研究范围，对各种历史范畴、史学概念以及史学术语进行系统考察和深入辨析。本方向的特色在于注重史学理论及史学批评的研究，密切关注现代史学理论的最新进展和思想精髓，努力从中国传统史学精神中吸取营养，中西结合，古今并重。</w:t>
      </w:r>
    </w:p>
    <w:p w14:paraId="563FCA5E">
      <w:pPr>
        <w:spacing w:line="360" w:lineRule="auto"/>
        <w:ind w:firstLine="480" w:firstLineChars="200"/>
        <w:rPr>
          <w:rFonts w:eastAsiaTheme="minorEastAsia"/>
          <w:iCs/>
          <w:color w:val="000000" w:themeColor="text1"/>
          <w:sz w:val="24"/>
          <w14:textFill>
            <w14:solidFill>
              <w14:schemeClr w14:val="tx1"/>
            </w14:solidFill>
          </w14:textFill>
        </w:rPr>
      </w:pPr>
      <w:r>
        <w:rPr>
          <w:rFonts w:hint="eastAsia" w:eastAsiaTheme="minorEastAsia"/>
          <w:iCs/>
          <w:color w:val="000000" w:themeColor="text1"/>
          <w:sz w:val="24"/>
          <w14:textFill>
            <w14:solidFill>
              <w14:schemeClr w14:val="tx1"/>
            </w14:solidFill>
          </w14:textFill>
        </w:rPr>
        <w:t>（2）史学史研究。本方向旨在阐述中西史学发展的过程及其规律，史学在发展中所反映的时代特点及史学各种成果在社会上的影响，对中西史学做出系统的自我批评和自我总结。本方向的特色一为中国古代史学史，侧重于中国古代史学理论与方法，以及史学与中国文化传统的探讨；二为中国近现代史学研究，将史学史的研究与思想文化及史学学术史相结合。</w:t>
      </w:r>
    </w:p>
    <w:p w14:paraId="719D8411">
      <w:pPr>
        <w:spacing w:line="360" w:lineRule="auto"/>
        <w:ind w:firstLine="480" w:firstLineChars="200"/>
        <w:rPr>
          <w:rFonts w:eastAsiaTheme="minorEastAsia"/>
          <w:iCs/>
          <w:color w:val="000000" w:themeColor="text1"/>
          <w:sz w:val="24"/>
          <w14:textFill>
            <w14:solidFill>
              <w14:schemeClr w14:val="tx1"/>
            </w14:solidFill>
          </w14:textFill>
        </w:rPr>
      </w:pPr>
      <w:r>
        <w:rPr>
          <w:rFonts w:hint="eastAsia" w:eastAsiaTheme="minorEastAsia"/>
          <w:iCs/>
          <w:color w:val="000000" w:themeColor="text1"/>
          <w:sz w:val="24"/>
          <w14:textFill>
            <w14:solidFill>
              <w14:schemeClr w14:val="tx1"/>
            </w14:solidFill>
          </w14:textFill>
        </w:rPr>
        <w:t>（3）比较史学研究。本方向深入地掌握历史唯物主义和马克思主义经典作家的史学理论与方法，使学生对中外各种主要史学理论、中外史学史具有较宽广、扎实的基础知识，能够批判地继承中外史学遗产，正确评析当代史学思潮和史学流派，对本学科的现状和前沿动态有较深的认识，研究视域开阔，理论基础坚实的，具有创造性研究的能力。</w:t>
      </w:r>
    </w:p>
    <w:p w14:paraId="437658BD">
      <w:pPr>
        <w:spacing w:line="360" w:lineRule="auto"/>
        <w:ind w:firstLine="560" w:firstLineChars="200"/>
        <w:rPr>
          <w:rFonts w:eastAsia="黑体"/>
          <w:bCs/>
          <w:sz w:val="28"/>
          <w:szCs w:val="28"/>
        </w:rPr>
      </w:pPr>
      <w:r>
        <w:rPr>
          <w:rFonts w:eastAsia="黑体"/>
          <w:bCs/>
          <w:sz w:val="28"/>
          <w:szCs w:val="28"/>
        </w:rPr>
        <w:t>四、学制及学习年限</w:t>
      </w:r>
    </w:p>
    <w:p w14:paraId="2E372147">
      <w:pPr>
        <w:spacing w:line="360" w:lineRule="auto"/>
        <w:ind w:firstLine="480" w:firstLineChars="200"/>
        <w:rPr>
          <w:rFonts w:eastAsiaTheme="minorEastAsia"/>
          <w:i/>
          <w:color w:val="FF0000"/>
          <w:sz w:val="24"/>
        </w:rPr>
      </w:pPr>
      <w:r>
        <w:rPr>
          <w:rFonts w:eastAsiaTheme="minorEastAsia"/>
          <w:color w:val="000000"/>
          <w:sz w:val="24"/>
        </w:rPr>
        <w:t>本专业学制为3年，在校最长学习年限（含休学）不超过6年。</w:t>
      </w:r>
      <w:r>
        <w:rPr>
          <w:rFonts w:hint="eastAsia"/>
          <w:sz w:val="23"/>
          <w:szCs w:val="23"/>
        </w:rPr>
        <w:t>达到要求的优秀研究生可以申请提前毕业。</w:t>
      </w:r>
    </w:p>
    <w:p w14:paraId="140479BC">
      <w:pPr>
        <w:spacing w:line="360" w:lineRule="auto"/>
        <w:ind w:firstLine="560" w:firstLineChars="200"/>
        <w:rPr>
          <w:rFonts w:eastAsia="黑体"/>
          <w:bCs/>
          <w:sz w:val="28"/>
          <w:szCs w:val="28"/>
        </w:rPr>
      </w:pPr>
      <w:r>
        <w:rPr>
          <w:rFonts w:eastAsia="黑体"/>
          <w:bCs/>
          <w:sz w:val="28"/>
          <w:szCs w:val="28"/>
        </w:rPr>
        <w:t>五、培养目标</w:t>
      </w:r>
    </w:p>
    <w:p w14:paraId="2CA6A57E">
      <w:pPr>
        <w:spacing w:line="360" w:lineRule="auto"/>
        <w:ind w:firstLine="472" w:firstLineChars="200"/>
        <w:rPr>
          <w:rFonts w:ascii="宋体" w:hAnsi="宋体"/>
          <w:spacing w:val="-2"/>
          <w:sz w:val="24"/>
        </w:rPr>
      </w:pPr>
      <w:r>
        <w:rPr>
          <w:rFonts w:hint="eastAsia" w:ascii="宋体" w:hAnsi="宋体"/>
          <w:spacing w:val="-2"/>
          <w:sz w:val="24"/>
        </w:rPr>
        <w:t>以习近平新时代中国特色社会主义思想为指导，围绕立德树人任务，加强课程思政建设，服务国家战略和社会需求。</w:t>
      </w:r>
    </w:p>
    <w:p w14:paraId="36EDAB67">
      <w:pPr>
        <w:spacing w:line="360" w:lineRule="auto"/>
        <w:ind w:firstLine="480" w:firstLineChars="200"/>
        <w:rPr>
          <w:rFonts w:ascii="宋体" w:hAnsi="宋体"/>
          <w:spacing w:val="-2"/>
          <w:sz w:val="24"/>
        </w:rPr>
      </w:pPr>
      <w:r>
        <w:rPr>
          <w:rFonts w:hint="eastAsia" w:eastAsiaTheme="minorEastAsia"/>
          <w:color w:val="000000"/>
          <w:sz w:val="24"/>
        </w:rPr>
        <w:t xml:space="preserve">1. </w:t>
      </w:r>
      <w:r>
        <w:rPr>
          <w:rFonts w:hint="eastAsia" w:ascii="宋体" w:hAnsi="宋体"/>
          <w:spacing w:val="-2"/>
          <w:sz w:val="24"/>
        </w:rPr>
        <w:t>树立正确的中国特色社会主义核心价值观，具有坚定的理想信念，高尚的道德情操，优良的学术作风，高度的社会责任感。</w:t>
      </w:r>
    </w:p>
    <w:p w14:paraId="0D367087">
      <w:pPr>
        <w:spacing w:line="360" w:lineRule="auto"/>
        <w:ind w:firstLine="480" w:firstLineChars="200"/>
        <w:rPr>
          <w:rFonts w:eastAsiaTheme="minorEastAsia"/>
          <w:color w:val="000000"/>
          <w:sz w:val="24"/>
        </w:rPr>
      </w:pPr>
      <w:r>
        <w:rPr>
          <w:rFonts w:hint="eastAsia" w:eastAsiaTheme="minorEastAsia"/>
          <w:color w:val="000000"/>
          <w:sz w:val="24"/>
        </w:rPr>
        <w:t>2. 掌握坚实宽厚的历史学基础理论和系统的专门知识，掌握中国史学科的科学研究方法及技能，视野广阔，熟悉中国史学科的前沿研究领域，具有独立从事科学研究和解决实际问题的能力，有一定的学术创新精神，取得创新性成果。</w:t>
      </w:r>
    </w:p>
    <w:p w14:paraId="7C879EF7">
      <w:pPr>
        <w:spacing w:line="360" w:lineRule="auto"/>
        <w:ind w:firstLine="480" w:firstLineChars="200"/>
        <w:rPr>
          <w:rFonts w:eastAsiaTheme="minorEastAsia"/>
          <w:color w:val="000000"/>
          <w:sz w:val="24"/>
        </w:rPr>
      </w:pPr>
      <w:r>
        <w:rPr>
          <w:rFonts w:hint="eastAsia" w:eastAsiaTheme="minorEastAsia"/>
          <w:color w:val="000000"/>
          <w:sz w:val="24"/>
        </w:rPr>
        <w:t>3. 至少掌握一门外国语，能熟练地阅读本专业外文资料，有一定的听、说、写、译能力,具有进行国际学术交流的能力。</w:t>
      </w:r>
    </w:p>
    <w:p w14:paraId="79EA6536">
      <w:pPr>
        <w:spacing w:line="360" w:lineRule="auto"/>
        <w:ind w:firstLine="480" w:firstLineChars="200"/>
        <w:rPr>
          <w:rFonts w:eastAsiaTheme="minorEastAsia"/>
          <w:color w:val="000000"/>
          <w:sz w:val="24"/>
        </w:rPr>
      </w:pPr>
      <w:r>
        <w:rPr>
          <w:rFonts w:hint="eastAsia" w:eastAsiaTheme="minorEastAsia"/>
          <w:color w:val="000000"/>
          <w:sz w:val="24"/>
        </w:rPr>
        <w:t>4. 具有健康的身体和良好的心理素质，具有良好的团队意识和合作精神，在学习过程中有刻苦耐劳及坚韧不拔的精神和意志。</w:t>
      </w:r>
    </w:p>
    <w:p w14:paraId="3039AFA5">
      <w:pPr>
        <w:spacing w:line="360" w:lineRule="auto"/>
        <w:ind w:firstLine="480" w:firstLineChars="200"/>
        <w:rPr>
          <w:rFonts w:eastAsiaTheme="minorEastAsia"/>
          <w:color w:val="000000"/>
          <w:sz w:val="24"/>
        </w:rPr>
      </w:pPr>
      <w:r>
        <w:rPr>
          <w:rFonts w:hint="eastAsia" w:eastAsiaTheme="minorEastAsia"/>
          <w:color w:val="000000"/>
          <w:sz w:val="24"/>
        </w:rPr>
        <w:t>5. 培养具有创新思维和创新能力的高素质人才。</w:t>
      </w:r>
    </w:p>
    <w:p w14:paraId="63655D76">
      <w:pPr>
        <w:spacing w:line="360" w:lineRule="auto"/>
        <w:ind w:firstLine="480" w:firstLineChars="200"/>
        <w:rPr>
          <w:rFonts w:eastAsiaTheme="minorEastAsia"/>
          <w:color w:val="000000"/>
          <w:sz w:val="24"/>
        </w:rPr>
      </w:pPr>
      <w:r>
        <w:rPr>
          <w:rFonts w:hint="eastAsia" w:eastAsiaTheme="minorEastAsia"/>
          <w:color w:val="000000"/>
          <w:sz w:val="24"/>
        </w:rPr>
        <w:t>6. 培养德智体美劳全面发展的社会主义事业接班人。</w:t>
      </w:r>
    </w:p>
    <w:p w14:paraId="684BCEBB">
      <w:pPr>
        <w:spacing w:line="360" w:lineRule="auto"/>
        <w:ind w:firstLine="560" w:firstLineChars="200"/>
        <w:rPr>
          <w:rFonts w:eastAsia="黑体"/>
          <w:bCs/>
          <w:sz w:val="28"/>
          <w:szCs w:val="28"/>
        </w:rPr>
      </w:pPr>
      <w:r>
        <w:rPr>
          <w:rFonts w:eastAsia="黑体"/>
          <w:bCs/>
          <w:sz w:val="28"/>
          <w:szCs w:val="28"/>
        </w:rPr>
        <w:t>六、培养方式</w:t>
      </w:r>
    </w:p>
    <w:p w14:paraId="2F43DDBB">
      <w:pPr>
        <w:spacing w:line="360" w:lineRule="auto"/>
        <w:ind w:firstLine="480" w:firstLineChars="200"/>
        <w:rPr>
          <w:rFonts w:asciiTheme="minorEastAsia" w:hAnsiTheme="minorEastAsia" w:eastAsiaTheme="minorEastAsia"/>
          <w:bCs/>
          <w:iCs/>
          <w:color w:val="000000" w:themeColor="text1"/>
          <w:sz w:val="24"/>
          <w14:textFill>
            <w14:solidFill>
              <w14:schemeClr w14:val="tx1"/>
            </w14:solidFill>
          </w14:textFill>
        </w:rPr>
      </w:pPr>
      <w:r>
        <w:rPr>
          <w:rFonts w:hint="eastAsia" w:asciiTheme="minorEastAsia" w:hAnsiTheme="minorEastAsia" w:eastAsiaTheme="minorEastAsia"/>
          <w:bCs/>
          <w:iCs/>
          <w:color w:val="000000" w:themeColor="text1"/>
          <w:sz w:val="24"/>
          <w14:textFill>
            <w14:solidFill>
              <w14:schemeClr w14:val="tx1"/>
            </w14:solidFill>
          </w14:textFill>
        </w:rPr>
        <w:t>采取导师负责与集体培养相结合的培养方式。</w:t>
      </w:r>
    </w:p>
    <w:p w14:paraId="599E1165">
      <w:pPr>
        <w:spacing w:line="360" w:lineRule="auto"/>
        <w:ind w:firstLine="480" w:firstLineChars="200"/>
        <w:rPr>
          <w:rFonts w:asciiTheme="minorEastAsia" w:hAnsiTheme="minorEastAsia" w:eastAsiaTheme="minorEastAsia"/>
          <w:bCs/>
          <w:iCs/>
          <w:color w:val="000000" w:themeColor="text1"/>
          <w:sz w:val="24"/>
          <w14:textFill>
            <w14:solidFill>
              <w14:schemeClr w14:val="tx1"/>
            </w14:solidFill>
          </w14:textFill>
        </w:rPr>
      </w:pPr>
      <w:r>
        <w:rPr>
          <w:rFonts w:hint="eastAsia" w:asciiTheme="minorEastAsia" w:hAnsiTheme="minorEastAsia" w:eastAsiaTheme="minorEastAsia"/>
          <w:bCs/>
          <w:iCs/>
          <w:color w:val="000000" w:themeColor="text1"/>
          <w:sz w:val="24"/>
          <w14:textFill>
            <w14:solidFill>
              <w14:schemeClr w14:val="tx1"/>
            </w14:solidFill>
          </w14:textFill>
        </w:rPr>
        <w:t>导师是研究生培养的第一责任人。导师根据河北大学研究生培养及学位论文要求，制定每个学生的培养计划，使学生既具备宽广的学术基础，又获得专业理论研究的能力，在学科前沿和学科应用领域有较强的科研创新能力和学业建树。</w:t>
      </w:r>
    </w:p>
    <w:p w14:paraId="200E2DF4">
      <w:pPr>
        <w:spacing w:line="360" w:lineRule="auto"/>
        <w:ind w:firstLine="480" w:firstLineChars="200"/>
        <w:rPr>
          <w:rFonts w:asciiTheme="minorEastAsia" w:hAnsiTheme="minorEastAsia" w:eastAsiaTheme="minorEastAsia"/>
          <w:bCs/>
          <w:iCs/>
          <w:color w:val="000000" w:themeColor="text1"/>
          <w:sz w:val="24"/>
          <w14:textFill>
            <w14:solidFill>
              <w14:schemeClr w14:val="tx1"/>
            </w14:solidFill>
          </w14:textFill>
        </w:rPr>
      </w:pPr>
      <w:r>
        <w:rPr>
          <w:rFonts w:hint="eastAsia" w:asciiTheme="minorEastAsia" w:hAnsiTheme="minorEastAsia" w:eastAsiaTheme="minorEastAsia"/>
          <w:bCs/>
          <w:iCs/>
          <w:color w:val="000000" w:themeColor="text1"/>
          <w:sz w:val="24"/>
          <w14:textFill>
            <w14:solidFill>
              <w14:schemeClr w14:val="tx1"/>
            </w14:solidFill>
          </w14:textFill>
        </w:rPr>
        <w:t>成立包括导师在内的指导小组。指导小组和导师对学生进行全面培养，发挥集体培养的优势，指导研究生的课程学习、科学研究及品德教育等。</w:t>
      </w:r>
    </w:p>
    <w:p w14:paraId="1AA93136">
      <w:pPr>
        <w:spacing w:line="360" w:lineRule="auto"/>
        <w:ind w:firstLine="560" w:firstLineChars="200"/>
        <w:rPr>
          <w:rFonts w:eastAsia="黑体"/>
          <w:bCs/>
          <w:sz w:val="28"/>
          <w:szCs w:val="28"/>
        </w:rPr>
      </w:pPr>
      <w:r>
        <w:rPr>
          <w:rFonts w:eastAsia="黑体"/>
          <w:bCs/>
          <w:sz w:val="28"/>
          <w:szCs w:val="28"/>
        </w:rPr>
        <w:t>七、中期筛选</w:t>
      </w:r>
    </w:p>
    <w:p w14:paraId="67D1A2F5">
      <w:pPr>
        <w:spacing w:line="360" w:lineRule="auto"/>
        <w:ind w:firstLine="480" w:firstLineChars="200"/>
        <w:rPr>
          <w:rFonts w:eastAsiaTheme="minorEastAsia"/>
          <w:bCs/>
          <w:sz w:val="24"/>
        </w:rPr>
      </w:pPr>
      <w:bookmarkStart w:id="0" w:name="_Toc59002625"/>
      <w:r>
        <w:rPr>
          <w:rFonts w:eastAsiaTheme="minorEastAsia"/>
          <w:bCs/>
          <w:sz w:val="24"/>
        </w:rPr>
        <w:t>在完成培养方案规定的课程学习、考核成绩合格、获得规定的学分后，</w:t>
      </w:r>
      <w:bookmarkEnd w:id="0"/>
      <w:r>
        <w:rPr>
          <w:rFonts w:eastAsiaTheme="minorEastAsia"/>
          <w:bCs/>
          <w:sz w:val="24"/>
        </w:rPr>
        <w:t>按照《河北大学研究生中期筛选管理办法》（校政字〔2021〕15号）的相关规定，组织开展中期筛选工作。</w:t>
      </w:r>
    </w:p>
    <w:p w14:paraId="70656FA3">
      <w:pPr>
        <w:spacing w:line="360" w:lineRule="auto"/>
        <w:ind w:firstLine="560" w:firstLineChars="200"/>
        <w:rPr>
          <w:rFonts w:eastAsia="黑体"/>
          <w:bCs/>
          <w:sz w:val="28"/>
          <w:szCs w:val="28"/>
        </w:rPr>
      </w:pPr>
      <w:r>
        <w:rPr>
          <w:rFonts w:hint="eastAsia" w:eastAsia="黑体"/>
          <w:bCs/>
          <w:sz w:val="28"/>
          <w:szCs w:val="28"/>
        </w:rPr>
        <w:t>八</w:t>
      </w:r>
      <w:r>
        <w:rPr>
          <w:rFonts w:eastAsia="黑体"/>
          <w:bCs/>
          <w:sz w:val="28"/>
          <w:szCs w:val="28"/>
        </w:rPr>
        <w:t>、学位（毕业）论文</w:t>
      </w:r>
    </w:p>
    <w:p w14:paraId="7E78A9DC">
      <w:pPr>
        <w:widowControl/>
        <w:spacing w:line="360" w:lineRule="auto"/>
        <w:ind w:firstLine="480"/>
        <w:jc w:val="left"/>
        <w:rPr>
          <w:i/>
          <w:color w:val="FF0000"/>
          <w:kern w:val="0"/>
          <w:sz w:val="18"/>
          <w:szCs w:val="18"/>
        </w:rPr>
      </w:pPr>
      <w:r>
        <w:rPr>
          <w:bCs/>
          <w:color w:val="222222"/>
          <w:kern w:val="0"/>
          <w:sz w:val="24"/>
        </w:rPr>
        <w:t>1.总体要求：</w:t>
      </w:r>
      <w:r>
        <w:rPr>
          <w:color w:val="000000" w:themeColor="text1"/>
          <w:kern w:val="0"/>
          <w:sz w:val="24"/>
          <w14:textFill>
            <w14:solidFill>
              <w14:schemeClr w14:val="tx1"/>
            </w14:solidFill>
          </w14:textFill>
        </w:rPr>
        <w:t>按照《河北大学关于开展2025版研究生培养方案修订工作的指导意见》（校政字</w:t>
      </w:r>
      <w:r>
        <w:rPr>
          <w:rFonts w:eastAsiaTheme="minorEastAsia"/>
          <w:bCs/>
          <w:sz w:val="24"/>
        </w:rPr>
        <w:t>〔2025〕</w:t>
      </w:r>
      <w:r>
        <w:rPr>
          <w:rFonts w:hint="eastAsia" w:eastAsiaTheme="minorEastAsia"/>
          <w:bCs/>
          <w:sz w:val="24"/>
        </w:rPr>
        <w:t>9</w:t>
      </w:r>
      <w:r>
        <w:rPr>
          <w:rFonts w:eastAsiaTheme="minorEastAsia"/>
          <w:bCs/>
          <w:sz w:val="24"/>
        </w:rPr>
        <w:t>号</w:t>
      </w:r>
      <w:r>
        <w:rPr>
          <w:color w:val="000000" w:themeColor="text1"/>
          <w:kern w:val="0"/>
          <w:sz w:val="24"/>
          <w14:textFill>
            <w14:solidFill>
              <w14:schemeClr w14:val="tx1"/>
            </w14:solidFill>
          </w14:textFill>
        </w:rPr>
        <w:t>）规定，硕士研究生论文开题与答辩时间间隔原则上不少于12个月。</w:t>
      </w:r>
      <w:r>
        <w:rPr>
          <w:rFonts w:hint="eastAsia"/>
          <w:color w:val="000000" w:themeColor="text1"/>
          <w:kern w:val="0"/>
          <w:sz w:val="24"/>
          <w14:textFill>
            <w14:solidFill>
              <w14:schemeClr w14:val="tx1"/>
            </w14:solidFill>
          </w14:textFill>
        </w:rPr>
        <w:t>学术硕士研究生必须在导师指导下独立完成学位（毕业）论文。学位（毕业）论文应表明作者较好的掌握了本学科的基础理论、专门知识和基本技能，并取得一定水平的科研成果，不得抄袭和剽窃他人成果。</w:t>
      </w:r>
    </w:p>
    <w:p w14:paraId="7619619E">
      <w:pPr>
        <w:widowControl/>
        <w:spacing w:line="360" w:lineRule="auto"/>
        <w:ind w:firstLine="480"/>
        <w:jc w:val="left"/>
        <w:rPr>
          <w:iCs/>
          <w:kern w:val="0"/>
          <w:sz w:val="18"/>
          <w:szCs w:val="18"/>
        </w:rPr>
      </w:pPr>
      <w:r>
        <w:rPr>
          <w:bCs/>
          <w:color w:val="222222"/>
          <w:kern w:val="0"/>
          <w:sz w:val="24"/>
        </w:rPr>
        <w:t>2.开题：</w:t>
      </w:r>
      <w:r>
        <w:rPr>
          <w:iCs/>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问题。</w:t>
      </w:r>
    </w:p>
    <w:p w14:paraId="46C2DE9D">
      <w:pPr>
        <w:widowControl/>
        <w:spacing w:line="360" w:lineRule="auto"/>
        <w:ind w:firstLine="480"/>
        <w:jc w:val="left"/>
        <w:rPr>
          <w:iCs/>
          <w:kern w:val="0"/>
          <w:sz w:val="18"/>
          <w:szCs w:val="18"/>
        </w:rPr>
      </w:pPr>
      <w:r>
        <w:rPr>
          <w:iCs/>
          <w:kern w:val="0"/>
          <w:sz w:val="24"/>
        </w:rPr>
        <w:t>原则上在入学后第3学期（最迟不超过第4学期）完成开题。开题由3-5名具有高级专业技术职务人员参加，以学术报告的方式进行。</w:t>
      </w:r>
    </w:p>
    <w:p w14:paraId="3CE2FC62">
      <w:pPr>
        <w:widowControl/>
        <w:spacing w:line="360" w:lineRule="auto"/>
        <w:ind w:firstLine="480"/>
        <w:jc w:val="left"/>
        <w:rPr>
          <w:i/>
          <w:color w:val="FF0000"/>
          <w:kern w:val="0"/>
          <w:sz w:val="24"/>
        </w:rPr>
      </w:pPr>
      <w:r>
        <w:rPr>
          <w:bCs/>
          <w:color w:val="222222"/>
          <w:kern w:val="0"/>
          <w:sz w:val="24"/>
        </w:rPr>
        <w:t>3.中期进展报告：</w:t>
      </w:r>
      <w:r>
        <w:rPr>
          <w:iCs/>
          <w:kern w:val="0"/>
          <w:sz w:val="24"/>
        </w:rPr>
        <w:t>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6AF92326">
      <w:pPr>
        <w:widowControl/>
        <w:spacing w:line="360" w:lineRule="auto"/>
        <w:ind w:firstLine="480"/>
        <w:jc w:val="left"/>
        <w:rPr>
          <w:kern w:val="0"/>
          <w:sz w:val="24"/>
        </w:rPr>
      </w:pPr>
      <w:r>
        <w:rPr>
          <w:bCs/>
          <w:kern w:val="0"/>
          <w:sz w:val="24"/>
        </w:rPr>
        <w:t>4.学位申请：</w:t>
      </w:r>
      <w:r>
        <w:rPr>
          <w:kern w:val="0"/>
          <w:sz w:val="24"/>
        </w:rPr>
        <w:t>达到学位授予条件的申请人，经导师同意后，应于答辩前三个月，向所属学位评定分委员会提出学位申请，提交学位申请材料。</w:t>
      </w:r>
    </w:p>
    <w:p w14:paraId="72C66A0E">
      <w:pPr>
        <w:widowControl/>
        <w:spacing w:line="360" w:lineRule="auto"/>
        <w:ind w:firstLine="480"/>
        <w:jc w:val="left"/>
        <w:rPr>
          <w:kern w:val="0"/>
          <w:sz w:val="24"/>
        </w:rPr>
      </w:pPr>
      <w:r>
        <w:rPr>
          <w:bCs/>
          <w:kern w:val="0"/>
          <w:sz w:val="24"/>
        </w:rPr>
        <w:t>5.预答辩：</w:t>
      </w:r>
      <w:r>
        <w:rPr>
          <w:kern w:val="0"/>
          <w:sz w:val="24"/>
        </w:rPr>
        <w:t>学位申请人须进行学位论文预答辩。预答辩通过者，方可进入学位论文评阅、学位论文答辩等环节。学位（毕业）论文预答辩在正式答辩前3个月进行。</w:t>
      </w:r>
    </w:p>
    <w:p w14:paraId="40DF81AA">
      <w:pPr>
        <w:widowControl/>
        <w:spacing w:line="360" w:lineRule="auto"/>
        <w:ind w:firstLine="480"/>
        <w:jc w:val="left"/>
        <w:rPr>
          <w:kern w:val="0"/>
          <w:sz w:val="24"/>
        </w:rPr>
      </w:pPr>
      <w:r>
        <w:rPr>
          <w:bCs/>
          <w:kern w:val="0"/>
          <w:sz w:val="24"/>
        </w:rPr>
        <w:t>6.论文评阅：</w:t>
      </w:r>
      <w:r>
        <w:rPr>
          <w:kern w:val="0"/>
          <w:sz w:val="24"/>
        </w:rPr>
        <w:t>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校政字〔2025〕8号）执行。</w:t>
      </w:r>
    </w:p>
    <w:p w14:paraId="597E23DC">
      <w:pPr>
        <w:widowControl/>
        <w:spacing w:line="360" w:lineRule="auto"/>
        <w:ind w:firstLine="480"/>
        <w:jc w:val="left"/>
        <w:rPr>
          <w:rFonts w:eastAsiaTheme="minorEastAsia"/>
          <w:sz w:val="24"/>
        </w:rPr>
      </w:pPr>
      <w:r>
        <w:rPr>
          <w:bCs/>
          <w:kern w:val="0"/>
          <w:sz w:val="24"/>
        </w:rPr>
        <w:t>7.答辩：学位（毕业）论文答辩按照</w:t>
      </w:r>
      <w:r>
        <w:rPr>
          <w:kern w:val="0"/>
          <w:sz w:val="24"/>
        </w:rPr>
        <w:t>《河北大学博士、硕士学位授予工作实施细则》（校政字〔2025〕7号）执行。</w:t>
      </w:r>
    </w:p>
    <w:p w14:paraId="5732853D">
      <w:pPr>
        <w:spacing w:line="360" w:lineRule="auto"/>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482E5897">
      <w:pPr>
        <w:spacing w:line="360" w:lineRule="auto"/>
        <w:ind w:firstLine="480" w:firstLineChars="200"/>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3509741E">
      <w:pPr>
        <w:spacing w:line="360" w:lineRule="auto"/>
        <w:ind w:firstLine="480" w:firstLineChars="200"/>
        <w:rPr>
          <w:rFonts w:eastAsiaTheme="minorEastAsia"/>
          <w:color w:val="000000"/>
          <w:sz w:val="24"/>
        </w:rPr>
      </w:pPr>
      <w:r>
        <w:rPr>
          <w:rFonts w:eastAsiaTheme="minorEastAsia"/>
          <w:bCs/>
          <w:sz w:val="24"/>
        </w:rPr>
        <w:t>2. 学术活动。研究生</w:t>
      </w:r>
      <w:r>
        <w:rPr>
          <w:rFonts w:eastAsiaTheme="minorEastAsia"/>
          <w:color w:val="000000"/>
          <w:sz w:val="24"/>
        </w:rPr>
        <w:t>在读期间参加不少于</w:t>
      </w:r>
      <w:r>
        <w:rPr>
          <w:rFonts w:eastAsiaTheme="minorEastAsia"/>
          <w:iCs/>
          <w:sz w:val="24"/>
        </w:rPr>
        <w:t>10</w:t>
      </w:r>
      <w:r>
        <w:rPr>
          <w:rFonts w:eastAsiaTheme="minorEastAsia"/>
          <w:color w:val="000000"/>
          <w:sz w:val="24"/>
        </w:rPr>
        <w:t>次学术活动，并撰写学术报告小结；以主讲人或宣讲人身份，参加在校内外举行的学术报告或学术讲座不少于</w:t>
      </w:r>
      <w:r>
        <w:rPr>
          <w:rFonts w:eastAsiaTheme="minorEastAsia"/>
          <w:iCs/>
          <w:sz w:val="24"/>
        </w:rPr>
        <w:t>1</w:t>
      </w:r>
      <w:r>
        <w:rPr>
          <w:rFonts w:eastAsiaTheme="minorEastAsia"/>
          <w:color w:val="000000"/>
          <w:sz w:val="24"/>
        </w:rPr>
        <w:t>次。</w:t>
      </w:r>
    </w:p>
    <w:p w14:paraId="2FF4E08E">
      <w:pPr>
        <w:spacing w:line="360" w:lineRule="auto"/>
        <w:ind w:firstLine="480" w:firstLineChars="200"/>
        <w:rPr>
          <w:rFonts w:eastAsiaTheme="minorEastAsia"/>
          <w:bCs/>
          <w:sz w:val="24"/>
        </w:rPr>
      </w:pPr>
      <w:r>
        <w:rPr>
          <w:rFonts w:eastAsiaTheme="minorEastAsia"/>
          <w:color w:val="000000"/>
          <w:sz w:val="24"/>
        </w:rPr>
        <w:t>3. 符合提前毕业条件的研究生，可按照学校相关规定</w:t>
      </w:r>
      <w:r>
        <w:rPr>
          <w:rFonts w:eastAsiaTheme="minorEastAsia"/>
          <w:bCs/>
          <w:sz w:val="24"/>
        </w:rPr>
        <w:t>申请</w:t>
      </w:r>
      <w:r>
        <w:rPr>
          <w:rFonts w:eastAsiaTheme="minorEastAsia"/>
          <w:color w:val="000000"/>
          <w:sz w:val="24"/>
        </w:rPr>
        <w:t>提前毕业。</w:t>
      </w:r>
    </w:p>
    <w:p w14:paraId="60577CED">
      <w:pPr>
        <w:spacing w:line="360" w:lineRule="auto"/>
        <w:ind w:firstLine="480" w:firstLineChars="200"/>
        <w:rPr>
          <w:rFonts w:eastAsiaTheme="minorEastAsia"/>
          <w:bCs/>
          <w:sz w:val="24"/>
        </w:rPr>
      </w:pPr>
      <w:r>
        <w:rPr>
          <w:rFonts w:eastAsiaTheme="minorEastAsia"/>
          <w:bCs/>
          <w:sz w:val="24"/>
        </w:rPr>
        <w:t>4. 论文答辩。学位（毕业）论文经专家评审合格、通过学位（毕业）答辩，符合毕业资格审查后，准予毕业。</w:t>
      </w:r>
    </w:p>
    <w:p w14:paraId="17608C08">
      <w:pPr>
        <w:spacing w:line="360" w:lineRule="auto"/>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6DE8D303">
      <w:pPr>
        <w:spacing w:line="360" w:lineRule="auto"/>
        <w:ind w:firstLine="480" w:firstLineChars="200"/>
        <w:jc w:val="left"/>
        <w:rPr>
          <w:rFonts w:eastAsiaTheme="minorEastAsia"/>
          <w:color w:val="000000"/>
          <w:sz w:val="24"/>
        </w:rPr>
      </w:pPr>
      <w:r>
        <w:rPr>
          <w:rFonts w:hint="eastAsia" w:eastAsiaTheme="minorEastAsia"/>
          <w:color w:val="000000"/>
          <w:sz w:val="24"/>
        </w:rPr>
        <w:t>硕士研究生在攻读硕士学位期间，取得的创新性成果可为学术论文、专著、科研项目、科研奖励等多种形式。鼓励硕士研究生参与科研活动，产出创新性成果，但不做硬性要求。</w:t>
      </w:r>
    </w:p>
    <w:p w14:paraId="17F41E91">
      <w:pPr>
        <w:spacing w:line="360" w:lineRule="auto"/>
        <w:ind w:firstLine="560" w:firstLineChars="200"/>
        <w:rPr>
          <w:rFonts w:eastAsia="黑体"/>
          <w:bCs/>
          <w:sz w:val="28"/>
          <w:szCs w:val="28"/>
        </w:rPr>
      </w:pPr>
      <w:r>
        <w:rPr>
          <w:rFonts w:eastAsia="黑体"/>
          <w:bCs/>
          <w:sz w:val="28"/>
          <w:szCs w:val="28"/>
        </w:rPr>
        <w:t>十一、学位授予</w:t>
      </w:r>
    </w:p>
    <w:p w14:paraId="0B45598D">
      <w:pPr>
        <w:spacing w:line="360" w:lineRule="auto"/>
        <w:ind w:firstLine="480" w:firstLineChars="200"/>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rPr>
        <w:t>满足本学院制定的创新性成果要求，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的有关规定，达到学校学位授予标准，经学校学位评定委员会审议，授予硕士学位。</w:t>
      </w:r>
    </w:p>
    <w:p w14:paraId="7E892486">
      <w:pPr>
        <w:spacing w:line="360" w:lineRule="auto"/>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6E4B329F">
      <w:pPr>
        <w:spacing w:line="360" w:lineRule="auto"/>
        <w:ind w:firstLine="480" w:firstLineChars="200"/>
        <w:rPr>
          <w:rFonts w:eastAsiaTheme="minorEastAsia"/>
          <w:sz w:val="24"/>
        </w:rPr>
      </w:pPr>
      <w:r>
        <w:rPr>
          <w:rFonts w:eastAsiaTheme="minorEastAsia"/>
          <w:sz w:val="24"/>
        </w:rPr>
        <w:t>本专业最低毕业学分为</w:t>
      </w:r>
      <w:r>
        <w:rPr>
          <w:rFonts w:hint="eastAsia" w:eastAsiaTheme="minorEastAsia"/>
          <w:sz w:val="24"/>
        </w:rPr>
        <w:t>25学</w:t>
      </w:r>
      <w:r>
        <w:rPr>
          <w:rFonts w:eastAsiaTheme="minorEastAsia"/>
          <w:sz w:val="24"/>
        </w:rPr>
        <w:t>分，其中学位课</w:t>
      </w:r>
      <w:r>
        <w:rPr>
          <w:rFonts w:hint="eastAsia" w:eastAsiaTheme="minorEastAsia"/>
          <w:sz w:val="24"/>
        </w:rPr>
        <w:t>15</w:t>
      </w:r>
      <w:r>
        <w:rPr>
          <w:rFonts w:eastAsiaTheme="minorEastAsia"/>
          <w:sz w:val="24"/>
        </w:rPr>
        <w:t>学分，非学位课</w:t>
      </w:r>
      <w:r>
        <w:rPr>
          <w:rFonts w:hint="eastAsia" w:eastAsiaTheme="minorEastAsia"/>
          <w:sz w:val="24"/>
        </w:rPr>
        <w:t>8</w:t>
      </w:r>
      <w:r>
        <w:rPr>
          <w:rFonts w:eastAsiaTheme="minorEastAsia"/>
          <w:sz w:val="24"/>
        </w:rPr>
        <w:t>学分，必修环节</w:t>
      </w:r>
      <w:r>
        <w:rPr>
          <w:rFonts w:hint="eastAsia" w:eastAsiaTheme="minorEastAsia"/>
          <w:sz w:val="24"/>
        </w:rPr>
        <w:t>2</w:t>
      </w:r>
      <w:r>
        <w:rPr>
          <w:rFonts w:eastAsiaTheme="minorEastAsia"/>
          <w:sz w:val="24"/>
        </w:rPr>
        <w:t>分。</w:t>
      </w:r>
    </w:p>
    <w:p w14:paraId="55E1E709">
      <w:pPr>
        <w:spacing w:line="360" w:lineRule="auto"/>
        <w:ind w:firstLine="480" w:firstLineChars="200"/>
        <w:rPr>
          <w:color w:val="000000"/>
          <w:sz w:val="24"/>
        </w:rPr>
      </w:pPr>
      <w:r>
        <w:rPr>
          <w:rFonts w:eastAsiaTheme="minorEastAsia"/>
          <w:color w:val="000000"/>
          <w:sz w:val="24"/>
        </w:rPr>
        <w:t>课程考试不设补考环节，</w:t>
      </w:r>
      <w:r>
        <w:rPr>
          <w:color w:val="000000"/>
          <w:sz w:val="24"/>
        </w:rPr>
        <w:t>考试成绩低于60分的需重修。</w:t>
      </w:r>
    </w:p>
    <w:p w14:paraId="426B1538">
      <w:pPr>
        <w:spacing w:line="360" w:lineRule="auto"/>
        <w:ind w:firstLine="480" w:firstLineChars="200"/>
        <w:rPr>
          <w:rFonts w:eastAsiaTheme="minorEastAsia"/>
          <w:bCs/>
          <w:color w:val="000000" w:themeColor="text1"/>
          <w:sz w:val="24"/>
          <w14:textFill>
            <w14:solidFill>
              <w14:schemeClr w14:val="tx1"/>
            </w14:solidFill>
          </w14:textFill>
        </w:rPr>
      </w:pPr>
      <w:r>
        <w:rPr>
          <w:rFonts w:hint="eastAsia" w:eastAsiaTheme="minorEastAsia"/>
          <w:bCs/>
          <w:color w:val="000000" w:themeColor="text1"/>
          <w:sz w:val="24"/>
          <w14:textFill>
            <w14:solidFill>
              <w14:schemeClr w14:val="tx1"/>
            </w14:solidFill>
          </w14:textFill>
        </w:rPr>
        <w:t>非历史学专业的跨考生（中国近现代史方向）需跟随本科学生修习中国通史2—4（任选两门），要求在第一学年修习完成并获得合格成绩。</w:t>
      </w:r>
    </w:p>
    <w:p w14:paraId="65CD46EA">
      <w:pPr>
        <w:spacing w:line="360" w:lineRule="auto"/>
        <w:ind w:firstLine="480" w:firstLineChars="200"/>
        <w:rPr>
          <w:rFonts w:eastAsiaTheme="minorEastAsia"/>
          <w:bCs/>
          <w:color w:val="000000" w:themeColor="text1"/>
          <w:sz w:val="24"/>
          <w14:textFill>
            <w14:solidFill>
              <w14:schemeClr w14:val="tx1"/>
            </w14:solidFill>
          </w14:textFill>
        </w:rPr>
      </w:pPr>
      <w:r>
        <w:rPr>
          <w:rFonts w:hint="eastAsia" w:eastAsiaTheme="minorEastAsia"/>
          <w:bCs/>
          <w:color w:val="000000" w:themeColor="text1"/>
          <w:sz w:val="24"/>
          <w14:textFill>
            <w14:solidFill>
              <w14:schemeClr w14:val="tx1"/>
            </w14:solidFill>
          </w14:textFill>
        </w:rPr>
        <w:t>非历史学专业的跨考生（中国专门史、史学理论与史学史方向）需跟随本科学生修习中国通史1—3（任选两门），要求在第一学年修习完成并获得合格成绩。</w:t>
      </w:r>
    </w:p>
    <w:p w14:paraId="1C2EAA88">
      <w:pPr>
        <w:spacing w:line="360" w:lineRule="auto"/>
        <w:rPr>
          <w:rFonts w:ascii="宋体" w:hAnsi="宋体" w:cs="宋体"/>
          <w:color w:val="000000"/>
          <w:sz w:val="24"/>
        </w:rPr>
      </w:pPr>
      <w:r>
        <w:rPr>
          <w:rFonts w:hint="eastAsia"/>
          <w:color w:val="000000"/>
          <w:sz w:val="24"/>
        </w:rPr>
        <w:t xml:space="preserve">    对于培养方案内确定的课程，应另行编写课程教学大纲。主要包括教学目标、课程内容、教学要求、预修课程、考核方式、参考书目等。</w:t>
      </w:r>
    </w:p>
    <w:p w14:paraId="00DEF9E6">
      <w:pPr>
        <w:spacing w:line="360" w:lineRule="auto"/>
        <w:rPr>
          <w:color w:val="FF0000"/>
          <w:sz w:val="24"/>
        </w:rPr>
      </w:pPr>
      <w:r>
        <w:rPr>
          <w:rFonts w:eastAsiaTheme="minorEastAsia"/>
          <w:color w:val="000000"/>
          <w:sz w:val="24"/>
        </w:rPr>
        <w:t xml:space="preserve">   </w:t>
      </w:r>
      <w:r>
        <w:rPr>
          <w:rFonts w:hint="eastAsia" w:eastAsiaTheme="minorEastAsia"/>
          <w:color w:val="000000"/>
          <w:sz w:val="24"/>
        </w:rPr>
        <w:t xml:space="preserve"> 研究生课程考试不设补考环节，</w:t>
      </w:r>
      <w:r>
        <w:rPr>
          <w:color w:val="000000"/>
          <w:sz w:val="24"/>
        </w:rPr>
        <w:t>考试成绩</w:t>
      </w:r>
      <w:r>
        <w:rPr>
          <w:rFonts w:hint="eastAsia"/>
          <w:color w:val="000000"/>
          <w:sz w:val="24"/>
        </w:rPr>
        <w:t>低于60分的需重修。</w:t>
      </w:r>
    </w:p>
    <w:p w14:paraId="000551D7">
      <w:pPr>
        <w:spacing w:line="360" w:lineRule="auto"/>
      </w:pPr>
      <w:r>
        <w:rPr>
          <w:rFonts w:eastAsiaTheme="minorEastAsia"/>
          <w:color w:val="000000"/>
          <w:sz w:val="24"/>
        </w:rPr>
        <w:t xml:space="preserve">   </w:t>
      </w:r>
      <w:r>
        <w:rPr>
          <w:rFonts w:hint="eastAsia" w:eastAsiaTheme="minorEastAsia"/>
          <w:color w:val="000000"/>
          <w:sz w:val="24"/>
        </w:rPr>
        <w:t xml:space="preserve"> </w:t>
      </w:r>
      <w:r>
        <w:rPr>
          <w:rFonts w:hint="eastAsia" w:ascii="宋体" w:hAnsi="宋体"/>
          <w:color w:val="000000"/>
          <w:sz w:val="24"/>
        </w:rPr>
        <w:t>课程考试采用笔试、读书报告、论文的形式，重点考察学生对所学课程掌握的程度及运用知识的能力，</w:t>
      </w:r>
      <w:r>
        <w:rPr>
          <w:rFonts w:hint="eastAsia"/>
          <w:color w:val="000000"/>
          <w:sz w:val="24"/>
        </w:rPr>
        <w:t>考试成绩均按百分成绩评定。</w:t>
      </w:r>
    </w:p>
    <w:p w14:paraId="4F55D88E">
      <w:pPr>
        <w:spacing w:line="360" w:lineRule="auto"/>
        <w:ind w:firstLine="482" w:firstLineChars="200"/>
        <w:jc w:val="center"/>
        <w:rPr>
          <w:rFonts w:eastAsiaTheme="minorEastAsia"/>
          <w:b/>
          <w:bCs/>
          <w:sz w:val="24"/>
        </w:rPr>
      </w:pPr>
    </w:p>
    <w:p w14:paraId="2B61936F">
      <w:pPr>
        <w:spacing w:line="360" w:lineRule="auto"/>
        <w:ind w:firstLine="482" w:firstLineChars="200"/>
        <w:jc w:val="center"/>
        <w:rPr>
          <w:rFonts w:eastAsiaTheme="minorEastAsia"/>
          <w:b/>
          <w:bCs/>
          <w:sz w:val="24"/>
        </w:rPr>
      </w:pPr>
      <w:r>
        <w:rPr>
          <w:rFonts w:hint="eastAsia" w:eastAsiaTheme="minorEastAsia"/>
          <w:b/>
          <w:bCs/>
          <w:sz w:val="24"/>
        </w:rPr>
        <w:t>中国史</w:t>
      </w:r>
      <w:r>
        <w:rPr>
          <w:rFonts w:eastAsiaTheme="minorEastAsia"/>
          <w:b/>
          <w:bCs/>
          <w:sz w:val="24"/>
        </w:rPr>
        <w:t>专业学术学位硕士研究生课程及培养环节设置一览表</w:t>
      </w:r>
    </w:p>
    <w:tbl>
      <w:tblPr>
        <w:tblStyle w:val="12"/>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709"/>
        <w:gridCol w:w="1045"/>
      </w:tblGrid>
      <w:tr w14:paraId="2C2AC66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5961C69D">
            <w:pPr>
              <w:spacing w:line="360" w:lineRule="auto"/>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课程类别</w:t>
            </w:r>
          </w:p>
        </w:tc>
        <w:tc>
          <w:tcPr>
            <w:tcW w:w="3516" w:type="dxa"/>
            <w:vAlign w:val="center"/>
          </w:tcPr>
          <w:p w14:paraId="170D6535">
            <w:pPr>
              <w:spacing w:line="360" w:lineRule="auto"/>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课程说明</w:t>
            </w:r>
          </w:p>
        </w:tc>
        <w:tc>
          <w:tcPr>
            <w:tcW w:w="1081" w:type="dxa"/>
            <w:vAlign w:val="center"/>
          </w:tcPr>
          <w:p w14:paraId="77F05281">
            <w:pPr>
              <w:spacing w:line="360" w:lineRule="auto"/>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课程编号</w:t>
            </w:r>
          </w:p>
        </w:tc>
        <w:tc>
          <w:tcPr>
            <w:tcW w:w="709" w:type="dxa"/>
            <w:vAlign w:val="center"/>
          </w:tcPr>
          <w:p w14:paraId="599A1E2A">
            <w:pPr>
              <w:spacing w:line="360" w:lineRule="auto"/>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学分</w:t>
            </w:r>
          </w:p>
        </w:tc>
        <w:tc>
          <w:tcPr>
            <w:tcW w:w="709" w:type="dxa"/>
            <w:vAlign w:val="center"/>
          </w:tcPr>
          <w:p w14:paraId="0884227A">
            <w:pPr>
              <w:spacing w:line="360" w:lineRule="auto"/>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学期</w:t>
            </w:r>
          </w:p>
        </w:tc>
        <w:tc>
          <w:tcPr>
            <w:tcW w:w="1045" w:type="dxa"/>
            <w:vAlign w:val="center"/>
          </w:tcPr>
          <w:p w14:paraId="502B6767">
            <w:pPr>
              <w:spacing w:line="360" w:lineRule="auto"/>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备注</w:t>
            </w:r>
          </w:p>
        </w:tc>
      </w:tr>
      <w:tr w14:paraId="2E8E100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0009BA5B">
            <w:pPr>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学位课</w:t>
            </w:r>
          </w:p>
        </w:tc>
        <w:tc>
          <w:tcPr>
            <w:tcW w:w="1226" w:type="dxa"/>
            <w:vMerge w:val="restart"/>
            <w:vAlign w:val="center"/>
          </w:tcPr>
          <w:p w14:paraId="103EE83D">
            <w:pPr>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公共必修课</w:t>
            </w:r>
          </w:p>
          <w:p w14:paraId="586021F5">
            <w:pPr>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4</w:t>
            </w:r>
            <w:r>
              <w:rPr>
                <w:b/>
                <w:color w:val="000000" w:themeColor="text1"/>
                <w:sz w:val="18"/>
                <w:szCs w:val="18"/>
                <w14:textFill>
                  <w14:solidFill>
                    <w14:schemeClr w14:val="tx1"/>
                  </w14:solidFill>
                </w14:textFill>
              </w:rPr>
              <w:t>学分）</w:t>
            </w:r>
          </w:p>
        </w:tc>
        <w:tc>
          <w:tcPr>
            <w:tcW w:w="3516" w:type="dxa"/>
            <w:vAlign w:val="center"/>
          </w:tcPr>
          <w:p w14:paraId="7B03AB88">
            <w:pPr>
              <w:spacing w:line="360" w:lineRule="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新时代中国特色社会主义理论与实践</w:t>
            </w:r>
          </w:p>
        </w:tc>
        <w:tc>
          <w:tcPr>
            <w:tcW w:w="1081" w:type="dxa"/>
            <w:vAlign w:val="center"/>
          </w:tcPr>
          <w:p w14:paraId="56D86DE0">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TS0000001</w:t>
            </w:r>
          </w:p>
        </w:tc>
        <w:tc>
          <w:tcPr>
            <w:tcW w:w="709" w:type="dxa"/>
            <w:vAlign w:val="center"/>
          </w:tcPr>
          <w:p w14:paraId="47FC12C0">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2C682A91">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3335B5D9">
            <w:pPr>
              <w:spacing w:line="360" w:lineRule="auto"/>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131A33D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1B091630">
            <w:pPr>
              <w:spacing w:line="360" w:lineRule="auto"/>
              <w:jc w:val="center"/>
              <w:rPr>
                <w:b/>
                <w:color w:val="000000" w:themeColor="text1"/>
                <w:sz w:val="18"/>
                <w:szCs w:val="18"/>
                <w14:textFill>
                  <w14:solidFill>
                    <w14:schemeClr w14:val="tx1"/>
                  </w14:solidFill>
                </w14:textFill>
              </w:rPr>
            </w:pPr>
          </w:p>
        </w:tc>
        <w:tc>
          <w:tcPr>
            <w:tcW w:w="1226" w:type="dxa"/>
            <w:vMerge w:val="continue"/>
            <w:vAlign w:val="center"/>
          </w:tcPr>
          <w:p w14:paraId="46A4F3C6">
            <w:pPr>
              <w:spacing w:line="360" w:lineRule="auto"/>
              <w:jc w:val="center"/>
              <w:rPr>
                <w:b/>
                <w:color w:val="000000" w:themeColor="text1"/>
                <w:sz w:val="18"/>
                <w:szCs w:val="18"/>
                <w14:textFill>
                  <w14:solidFill>
                    <w14:schemeClr w14:val="tx1"/>
                  </w14:solidFill>
                </w14:textFill>
              </w:rPr>
            </w:pPr>
          </w:p>
        </w:tc>
        <w:tc>
          <w:tcPr>
            <w:tcW w:w="3516" w:type="dxa"/>
            <w:vAlign w:val="center"/>
          </w:tcPr>
          <w:p w14:paraId="4128BF95">
            <w:pPr>
              <w:spacing w:line="360" w:lineRule="auto"/>
              <w:rPr>
                <w:sz w:val="18"/>
                <w:szCs w:val="18"/>
              </w:rPr>
            </w:pPr>
            <w:r>
              <w:rPr>
                <w:sz w:val="18"/>
                <w:szCs w:val="18"/>
              </w:rPr>
              <w:t>通用学术英语</w:t>
            </w:r>
          </w:p>
        </w:tc>
        <w:tc>
          <w:tcPr>
            <w:tcW w:w="1081" w:type="dxa"/>
            <w:vAlign w:val="center"/>
          </w:tcPr>
          <w:p w14:paraId="534A8A00">
            <w:pPr>
              <w:spacing w:line="360" w:lineRule="auto"/>
              <w:jc w:val="center"/>
              <w:rPr>
                <w:sz w:val="18"/>
                <w:szCs w:val="18"/>
              </w:rPr>
            </w:pPr>
            <w:r>
              <w:rPr>
                <w:sz w:val="18"/>
                <w:szCs w:val="18"/>
              </w:rPr>
              <w:t>TS0000002</w:t>
            </w:r>
          </w:p>
        </w:tc>
        <w:tc>
          <w:tcPr>
            <w:tcW w:w="709" w:type="dxa"/>
            <w:vAlign w:val="center"/>
          </w:tcPr>
          <w:p w14:paraId="6D9CF7CA">
            <w:pPr>
              <w:spacing w:line="360" w:lineRule="auto"/>
              <w:jc w:val="center"/>
              <w:rPr>
                <w:sz w:val="18"/>
                <w:szCs w:val="18"/>
              </w:rPr>
            </w:pPr>
            <w:r>
              <w:rPr>
                <w:sz w:val="18"/>
                <w:szCs w:val="18"/>
              </w:rPr>
              <w:t>2</w:t>
            </w:r>
          </w:p>
        </w:tc>
        <w:tc>
          <w:tcPr>
            <w:tcW w:w="709" w:type="dxa"/>
            <w:vAlign w:val="center"/>
          </w:tcPr>
          <w:p w14:paraId="39DAFFC3">
            <w:pPr>
              <w:spacing w:line="360" w:lineRule="auto"/>
              <w:jc w:val="center"/>
              <w:rPr>
                <w:sz w:val="18"/>
                <w:szCs w:val="18"/>
              </w:rPr>
            </w:pPr>
            <w:r>
              <w:rPr>
                <w:sz w:val="18"/>
                <w:szCs w:val="18"/>
              </w:rPr>
              <w:t>1</w:t>
            </w:r>
          </w:p>
        </w:tc>
        <w:tc>
          <w:tcPr>
            <w:tcW w:w="1045" w:type="dxa"/>
            <w:vAlign w:val="center"/>
          </w:tcPr>
          <w:p w14:paraId="2192AD97">
            <w:pPr>
              <w:spacing w:line="360" w:lineRule="auto"/>
              <w:jc w:val="center"/>
              <w:rPr>
                <w:sz w:val="18"/>
                <w:szCs w:val="18"/>
              </w:rPr>
            </w:pPr>
            <w:r>
              <w:rPr>
                <w:rFonts w:hint="eastAsia"/>
                <w:sz w:val="18"/>
                <w:szCs w:val="18"/>
              </w:rPr>
              <w:t>考查</w:t>
            </w:r>
          </w:p>
        </w:tc>
      </w:tr>
      <w:tr w14:paraId="1BED4C6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6F43FC4C">
            <w:pPr>
              <w:spacing w:line="360" w:lineRule="auto"/>
              <w:jc w:val="center"/>
              <w:rPr>
                <w:b/>
                <w:color w:val="000000" w:themeColor="text1"/>
                <w:sz w:val="18"/>
                <w:szCs w:val="18"/>
                <w14:textFill>
                  <w14:solidFill>
                    <w14:schemeClr w14:val="tx1"/>
                  </w14:solidFill>
                </w14:textFill>
              </w:rPr>
            </w:pPr>
          </w:p>
        </w:tc>
        <w:tc>
          <w:tcPr>
            <w:tcW w:w="1226" w:type="dxa"/>
            <w:vMerge w:val="restart"/>
            <w:vAlign w:val="center"/>
          </w:tcPr>
          <w:p w14:paraId="1E32E21A">
            <w:pPr>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学科基础课</w:t>
            </w:r>
          </w:p>
          <w:p w14:paraId="2118C7E7">
            <w:pPr>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5</w:t>
            </w:r>
            <w:r>
              <w:rPr>
                <w:b/>
                <w:color w:val="000000" w:themeColor="text1"/>
                <w:sz w:val="18"/>
                <w:szCs w:val="18"/>
                <w14:textFill>
                  <w14:solidFill>
                    <w14:schemeClr w14:val="tx1"/>
                  </w14:solidFill>
                </w14:textFill>
              </w:rPr>
              <w:t>学分）</w:t>
            </w:r>
          </w:p>
        </w:tc>
        <w:tc>
          <w:tcPr>
            <w:tcW w:w="3516" w:type="dxa"/>
            <w:vAlign w:val="center"/>
          </w:tcPr>
          <w:p w14:paraId="4EB9B532">
            <w:pPr>
              <w:spacing w:line="360" w:lineRule="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学术道德与论文写作</w:t>
            </w:r>
          </w:p>
        </w:tc>
        <w:tc>
          <w:tcPr>
            <w:tcW w:w="1081" w:type="dxa"/>
            <w:vAlign w:val="center"/>
          </w:tcPr>
          <w:p w14:paraId="4569158E">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XS1903003</w:t>
            </w:r>
          </w:p>
        </w:tc>
        <w:tc>
          <w:tcPr>
            <w:tcW w:w="709" w:type="dxa"/>
            <w:vAlign w:val="center"/>
          </w:tcPr>
          <w:p w14:paraId="6B6CD2FB">
            <w:pPr>
              <w:spacing w:line="360" w:lineRule="auto"/>
              <w:jc w:val="center"/>
              <w:rPr>
                <w:iCs/>
              </w:rPr>
            </w:pPr>
            <w:r>
              <w:rPr>
                <w:rFonts w:hint="eastAsia"/>
                <w:iCs/>
                <w:sz w:val="18"/>
                <w:szCs w:val="18"/>
              </w:rPr>
              <w:t>2</w:t>
            </w:r>
          </w:p>
        </w:tc>
        <w:tc>
          <w:tcPr>
            <w:tcW w:w="709" w:type="dxa"/>
            <w:vAlign w:val="center"/>
          </w:tcPr>
          <w:p w14:paraId="48E6E4B0">
            <w:pPr>
              <w:spacing w:line="360" w:lineRule="auto"/>
              <w:jc w:val="center"/>
              <w:rPr>
                <w:sz w:val="18"/>
                <w:szCs w:val="18"/>
              </w:rPr>
            </w:pPr>
            <w:r>
              <w:rPr>
                <w:rFonts w:hint="eastAsia"/>
                <w:sz w:val="18"/>
                <w:szCs w:val="18"/>
              </w:rPr>
              <w:t>1</w:t>
            </w:r>
          </w:p>
        </w:tc>
        <w:tc>
          <w:tcPr>
            <w:tcW w:w="1045" w:type="dxa"/>
            <w:vAlign w:val="center"/>
          </w:tcPr>
          <w:p w14:paraId="5CE0175E">
            <w:pPr>
              <w:spacing w:line="360" w:lineRule="auto"/>
              <w:jc w:val="center"/>
              <w:rPr>
                <w:i/>
                <w:color w:val="FF0000"/>
                <w:sz w:val="18"/>
                <w:szCs w:val="18"/>
              </w:rPr>
            </w:pPr>
          </w:p>
        </w:tc>
      </w:tr>
      <w:tr w14:paraId="4390A9B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5DB016BE">
            <w:pPr>
              <w:spacing w:line="360" w:lineRule="auto"/>
              <w:jc w:val="center"/>
              <w:rPr>
                <w:b/>
                <w:color w:val="000000" w:themeColor="text1"/>
                <w:sz w:val="18"/>
                <w:szCs w:val="18"/>
                <w14:textFill>
                  <w14:solidFill>
                    <w14:schemeClr w14:val="tx1"/>
                  </w14:solidFill>
                </w14:textFill>
              </w:rPr>
            </w:pPr>
          </w:p>
        </w:tc>
        <w:tc>
          <w:tcPr>
            <w:tcW w:w="1226" w:type="dxa"/>
            <w:vMerge w:val="continue"/>
            <w:vAlign w:val="center"/>
          </w:tcPr>
          <w:p w14:paraId="476551D6">
            <w:pPr>
              <w:spacing w:line="360" w:lineRule="auto"/>
              <w:jc w:val="center"/>
              <w:rPr>
                <w:b/>
                <w:color w:val="000000" w:themeColor="text1"/>
                <w:sz w:val="18"/>
                <w:szCs w:val="18"/>
                <w14:textFill>
                  <w14:solidFill>
                    <w14:schemeClr w14:val="tx1"/>
                  </w14:solidFill>
                </w14:textFill>
              </w:rPr>
            </w:pPr>
          </w:p>
        </w:tc>
        <w:tc>
          <w:tcPr>
            <w:tcW w:w="3516" w:type="dxa"/>
            <w:vAlign w:val="center"/>
          </w:tcPr>
          <w:p w14:paraId="15015E47">
            <w:pPr>
              <w:adjustRightInd w:val="0"/>
              <w:snapToGrid w:val="0"/>
              <w:spacing w:line="360" w:lineRule="auto"/>
              <w:rPr>
                <w:iCs/>
                <w:sz w:val="18"/>
                <w:szCs w:val="18"/>
              </w:rPr>
            </w:pPr>
            <w:r>
              <w:rPr>
                <w:rFonts w:hint="eastAsia"/>
                <w:color w:val="000000" w:themeColor="text1"/>
                <w:sz w:val="18"/>
                <w:szCs w:val="18"/>
                <w14:textFill>
                  <w14:solidFill>
                    <w14:schemeClr w14:val="tx1"/>
                  </w14:solidFill>
                </w14:textFill>
              </w:rPr>
              <w:t>中国史研究的理论与方法</w:t>
            </w:r>
          </w:p>
        </w:tc>
        <w:tc>
          <w:tcPr>
            <w:tcW w:w="1081" w:type="dxa"/>
            <w:vAlign w:val="center"/>
          </w:tcPr>
          <w:p w14:paraId="708A93F8">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XS1903004</w:t>
            </w:r>
          </w:p>
        </w:tc>
        <w:tc>
          <w:tcPr>
            <w:tcW w:w="709" w:type="dxa"/>
            <w:vAlign w:val="center"/>
          </w:tcPr>
          <w:p w14:paraId="0F5B8A8E">
            <w:pPr>
              <w:spacing w:line="360" w:lineRule="auto"/>
              <w:jc w:val="center"/>
              <w:rPr>
                <w:iCs/>
              </w:rPr>
            </w:pPr>
            <w:r>
              <w:rPr>
                <w:rFonts w:hint="eastAsia"/>
                <w:iCs/>
                <w:sz w:val="18"/>
                <w:szCs w:val="18"/>
              </w:rPr>
              <w:t>2</w:t>
            </w:r>
          </w:p>
        </w:tc>
        <w:tc>
          <w:tcPr>
            <w:tcW w:w="709" w:type="dxa"/>
            <w:vAlign w:val="center"/>
          </w:tcPr>
          <w:p w14:paraId="45DF2DFF">
            <w:pPr>
              <w:spacing w:line="360" w:lineRule="auto"/>
              <w:jc w:val="center"/>
              <w:rPr>
                <w:sz w:val="18"/>
                <w:szCs w:val="18"/>
              </w:rPr>
            </w:pPr>
            <w:r>
              <w:rPr>
                <w:rFonts w:hint="eastAsia"/>
                <w:sz w:val="18"/>
                <w:szCs w:val="18"/>
              </w:rPr>
              <w:t>1</w:t>
            </w:r>
          </w:p>
        </w:tc>
        <w:tc>
          <w:tcPr>
            <w:tcW w:w="1045" w:type="dxa"/>
            <w:vAlign w:val="center"/>
          </w:tcPr>
          <w:p w14:paraId="1DF46342">
            <w:pPr>
              <w:spacing w:line="360" w:lineRule="auto"/>
              <w:jc w:val="center"/>
              <w:rPr>
                <w:color w:val="FF0000"/>
                <w:sz w:val="18"/>
                <w:szCs w:val="18"/>
              </w:rPr>
            </w:pPr>
          </w:p>
        </w:tc>
      </w:tr>
      <w:tr w14:paraId="1E35704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78604221">
            <w:pPr>
              <w:spacing w:line="360" w:lineRule="auto"/>
              <w:jc w:val="center"/>
              <w:rPr>
                <w:b/>
                <w:color w:val="000000" w:themeColor="text1"/>
                <w:sz w:val="18"/>
                <w:szCs w:val="18"/>
                <w14:textFill>
                  <w14:solidFill>
                    <w14:schemeClr w14:val="tx1"/>
                  </w14:solidFill>
                </w14:textFill>
              </w:rPr>
            </w:pPr>
          </w:p>
        </w:tc>
        <w:tc>
          <w:tcPr>
            <w:tcW w:w="1226" w:type="dxa"/>
            <w:vMerge w:val="continue"/>
            <w:vAlign w:val="center"/>
          </w:tcPr>
          <w:p w14:paraId="0BC50279">
            <w:pPr>
              <w:spacing w:line="360" w:lineRule="auto"/>
              <w:jc w:val="center"/>
              <w:rPr>
                <w:b/>
                <w:color w:val="000000" w:themeColor="text1"/>
                <w:sz w:val="18"/>
                <w:szCs w:val="18"/>
                <w14:textFill>
                  <w14:solidFill>
                    <w14:schemeClr w14:val="tx1"/>
                  </w14:solidFill>
                </w14:textFill>
              </w:rPr>
            </w:pPr>
          </w:p>
        </w:tc>
        <w:tc>
          <w:tcPr>
            <w:tcW w:w="3516" w:type="dxa"/>
            <w:shd w:val="clear" w:color="auto" w:fill="auto"/>
          </w:tcPr>
          <w:p w14:paraId="5CE09884">
            <w:pPr>
              <w:spacing w:line="360" w:lineRule="auto"/>
              <w:rPr>
                <w:iCs/>
                <w:sz w:val="18"/>
                <w:szCs w:val="18"/>
              </w:rPr>
            </w:pPr>
            <w:r>
              <w:rPr>
                <w:rFonts w:hint="eastAsia"/>
                <w:iCs/>
                <w:sz w:val="18"/>
                <w:szCs w:val="18"/>
              </w:rPr>
              <w:t>数字史学理论与实践</w:t>
            </w:r>
          </w:p>
        </w:tc>
        <w:tc>
          <w:tcPr>
            <w:tcW w:w="1081" w:type="dxa"/>
            <w:shd w:val="clear" w:color="auto" w:fill="auto"/>
            <w:vAlign w:val="center"/>
          </w:tcPr>
          <w:p w14:paraId="7D512FDC">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XS1903005</w:t>
            </w:r>
          </w:p>
        </w:tc>
        <w:tc>
          <w:tcPr>
            <w:tcW w:w="709" w:type="dxa"/>
            <w:shd w:val="clear" w:color="auto" w:fill="auto"/>
            <w:vAlign w:val="center"/>
          </w:tcPr>
          <w:p w14:paraId="45777974">
            <w:pPr>
              <w:spacing w:line="360" w:lineRule="auto"/>
              <w:jc w:val="center"/>
              <w:rPr>
                <w:iCs/>
                <w:sz w:val="18"/>
                <w:szCs w:val="18"/>
              </w:rPr>
            </w:pPr>
            <w:r>
              <w:rPr>
                <w:rFonts w:hint="eastAsia"/>
                <w:color w:val="000000" w:themeColor="text1"/>
                <w:sz w:val="18"/>
                <w:szCs w:val="18"/>
                <w14:textFill>
                  <w14:solidFill>
                    <w14:schemeClr w14:val="tx1"/>
                  </w14:solidFill>
                </w14:textFill>
              </w:rPr>
              <w:t>1</w:t>
            </w:r>
          </w:p>
        </w:tc>
        <w:tc>
          <w:tcPr>
            <w:tcW w:w="709" w:type="dxa"/>
            <w:vAlign w:val="center"/>
          </w:tcPr>
          <w:p w14:paraId="66BA918F">
            <w:pPr>
              <w:spacing w:line="360" w:lineRule="auto"/>
              <w:jc w:val="center"/>
              <w:rPr>
                <w:sz w:val="18"/>
                <w:szCs w:val="18"/>
              </w:rPr>
            </w:pPr>
            <w:r>
              <w:rPr>
                <w:rFonts w:hint="eastAsia"/>
                <w:sz w:val="18"/>
                <w:szCs w:val="18"/>
              </w:rPr>
              <w:t>1</w:t>
            </w:r>
          </w:p>
        </w:tc>
        <w:tc>
          <w:tcPr>
            <w:tcW w:w="1045" w:type="dxa"/>
            <w:vAlign w:val="center"/>
          </w:tcPr>
          <w:p w14:paraId="416EF145">
            <w:pPr>
              <w:spacing w:line="360" w:lineRule="auto"/>
              <w:jc w:val="center"/>
              <w:rPr>
                <w:i/>
                <w:color w:val="FF0000"/>
                <w:sz w:val="18"/>
                <w:szCs w:val="18"/>
              </w:rPr>
            </w:pPr>
          </w:p>
        </w:tc>
      </w:tr>
      <w:tr w14:paraId="256381B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2645F0F5">
            <w:pPr>
              <w:spacing w:line="360" w:lineRule="auto"/>
              <w:jc w:val="center"/>
              <w:rPr>
                <w:b/>
                <w:color w:val="000000" w:themeColor="text1"/>
                <w:sz w:val="18"/>
                <w:szCs w:val="18"/>
                <w14:textFill>
                  <w14:solidFill>
                    <w14:schemeClr w14:val="tx1"/>
                  </w14:solidFill>
                </w14:textFill>
              </w:rPr>
            </w:pPr>
          </w:p>
        </w:tc>
        <w:tc>
          <w:tcPr>
            <w:tcW w:w="1226" w:type="dxa"/>
            <w:vMerge w:val="restart"/>
            <w:vAlign w:val="center"/>
          </w:tcPr>
          <w:p w14:paraId="6CEC468F">
            <w:pPr>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专业必修课</w:t>
            </w:r>
          </w:p>
          <w:p w14:paraId="0CCACC7E">
            <w:pPr>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6</w:t>
            </w:r>
            <w:r>
              <w:rPr>
                <w:b/>
                <w:color w:val="000000" w:themeColor="text1"/>
                <w:sz w:val="18"/>
                <w:szCs w:val="18"/>
                <w14:textFill>
                  <w14:solidFill>
                    <w14:schemeClr w14:val="tx1"/>
                  </w14:solidFill>
                </w14:textFill>
              </w:rPr>
              <w:t>学分）</w:t>
            </w:r>
          </w:p>
        </w:tc>
        <w:tc>
          <w:tcPr>
            <w:tcW w:w="3516" w:type="dxa"/>
            <w:shd w:val="clear" w:color="auto" w:fill="auto"/>
            <w:vAlign w:val="center"/>
          </w:tcPr>
          <w:p w14:paraId="5F0D540C">
            <w:pPr>
              <w:adjustRightInd w:val="0"/>
              <w:snapToGrid w:val="0"/>
              <w:spacing w:line="360" w:lineRule="auto"/>
              <w:rPr>
                <w:iCs/>
                <w:sz w:val="18"/>
                <w:szCs w:val="18"/>
              </w:rPr>
            </w:pPr>
            <w:r>
              <w:rPr>
                <w:rFonts w:hint="eastAsia"/>
                <w:iCs/>
                <w:sz w:val="18"/>
                <w:szCs w:val="18"/>
              </w:rPr>
              <w:t>中国历史文献与史料学</w:t>
            </w:r>
          </w:p>
        </w:tc>
        <w:tc>
          <w:tcPr>
            <w:tcW w:w="1081" w:type="dxa"/>
            <w:shd w:val="clear" w:color="auto" w:fill="auto"/>
            <w:vAlign w:val="center"/>
          </w:tcPr>
          <w:p w14:paraId="558416A6">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XS1903006</w:t>
            </w:r>
          </w:p>
        </w:tc>
        <w:tc>
          <w:tcPr>
            <w:tcW w:w="709" w:type="dxa"/>
            <w:shd w:val="clear" w:color="auto" w:fill="auto"/>
            <w:vAlign w:val="center"/>
          </w:tcPr>
          <w:p w14:paraId="34D9F63E">
            <w:pPr>
              <w:spacing w:line="360" w:lineRule="auto"/>
              <w:jc w:val="center"/>
              <w:rPr>
                <w:iCs/>
                <w:sz w:val="18"/>
                <w:szCs w:val="18"/>
              </w:rPr>
            </w:pPr>
            <w:r>
              <w:rPr>
                <w:rFonts w:hint="eastAsia"/>
                <w:iCs/>
                <w:sz w:val="18"/>
                <w:szCs w:val="18"/>
              </w:rPr>
              <w:t>3</w:t>
            </w:r>
          </w:p>
        </w:tc>
        <w:tc>
          <w:tcPr>
            <w:tcW w:w="709" w:type="dxa"/>
            <w:shd w:val="clear" w:color="auto" w:fill="auto"/>
            <w:vAlign w:val="center"/>
          </w:tcPr>
          <w:p w14:paraId="2E754EC8">
            <w:pPr>
              <w:spacing w:line="360" w:lineRule="auto"/>
              <w:jc w:val="center"/>
              <w:rPr>
                <w:sz w:val="18"/>
                <w:szCs w:val="18"/>
              </w:rPr>
            </w:pPr>
            <w:r>
              <w:rPr>
                <w:rFonts w:hint="eastAsia"/>
                <w:sz w:val="18"/>
                <w:szCs w:val="18"/>
              </w:rPr>
              <w:t>1</w:t>
            </w:r>
          </w:p>
        </w:tc>
        <w:tc>
          <w:tcPr>
            <w:tcW w:w="1045" w:type="dxa"/>
            <w:vAlign w:val="center"/>
          </w:tcPr>
          <w:p w14:paraId="5CA71545">
            <w:pPr>
              <w:adjustRightInd w:val="0"/>
              <w:snapToGrid w:val="0"/>
              <w:spacing w:line="360" w:lineRule="auto"/>
              <w:rPr>
                <w:color w:val="FF0000"/>
                <w:sz w:val="18"/>
                <w:szCs w:val="18"/>
              </w:rPr>
            </w:pPr>
          </w:p>
        </w:tc>
      </w:tr>
      <w:tr w14:paraId="630AB9A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F14F242">
            <w:pPr>
              <w:spacing w:line="360" w:lineRule="auto"/>
              <w:jc w:val="center"/>
              <w:rPr>
                <w:b/>
                <w:color w:val="000000" w:themeColor="text1"/>
                <w:sz w:val="18"/>
                <w:szCs w:val="18"/>
                <w14:textFill>
                  <w14:solidFill>
                    <w14:schemeClr w14:val="tx1"/>
                  </w14:solidFill>
                </w14:textFill>
              </w:rPr>
            </w:pPr>
          </w:p>
        </w:tc>
        <w:tc>
          <w:tcPr>
            <w:tcW w:w="1226" w:type="dxa"/>
            <w:vMerge w:val="continue"/>
            <w:vAlign w:val="center"/>
          </w:tcPr>
          <w:p w14:paraId="6B92153F">
            <w:pPr>
              <w:spacing w:line="360" w:lineRule="auto"/>
              <w:jc w:val="center"/>
              <w:rPr>
                <w:b/>
                <w:color w:val="000000" w:themeColor="text1"/>
                <w:sz w:val="18"/>
                <w:szCs w:val="18"/>
                <w:highlight w:val="yellow"/>
                <w14:textFill>
                  <w14:solidFill>
                    <w14:schemeClr w14:val="tx1"/>
                  </w14:solidFill>
                </w14:textFill>
              </w:rPr>
            </w:pPr>
          </w:p>
        </w:tc>
        <w:tc>
          <w:tcPr>
            <w:tcW w:w="3516" w:type="dxa"/>
            <w:shd w:val="clear" w:color="auto" w:fill="auto"/>
            <w:vAlign w:val="center"/>
          </w:tcPr>
          <w:p w14:paraId="6D3ED359">
            <w:pPr>
              <w:adjustRightInd w:val="0"/>
              <w:snapToGrid w:val="0"/>
              <w:spacing w:line="360" w:lineRule="auto"/>
              <w:rPr>
                <w:iCs/>
                <w:sz w:val="18"/>
                <w:szCs w:val="18"/>
              </w:rPr>
            </w:pPr>
            <w:r>
              <w:rPr>
                <w:rFonts w:hint="eastAsia"/>
                <w:iCs/>
                <w:sz w:val="18"/>
                <w:szCs w:val="18"/>
              </w:rPr>
              <w:t>中国史研究前沿</w:t>
            </w:r>
          </w:p>
        </w:tc>
        <w:tc>
          <w:tcPr>
            <w:tcW w:w="1081" w:type="dxa"/>
            <w:shd w:val="clear" w:color="auto" w:fill="auto"/>
            <w:vAlign w:val="center"/>
          </w:tcPr>
          <w:p w14:paraId="4BC5F9BF">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XS1903001</w:t>
            </w:r>
          </w:p>
        </w:tc>
        <w:tc>
          <w:tcPr>
            <w:tcW w:w="709" w:type="dxa"/>
            <w:shd w:val="clear" w:color="auto" w:fill="auto"/>
            <w:vAlign w:val="center"/>
          </w:tcPr>
          <w:p w14:paraId="0B8EDC86">
            <w:pPr>
              <w:spacing w:line="360" w:lineRule="auto"/>
              <w:jc w:val="center"/>
              <w:rPr>
                <w:iCs/>
                <w:sz w:val="18"/>
                <w:szCs w:val="18"/>
              </w:rPr>
            </w:pPr>
            <w:r>
              <w:rPr>
                <w:rFonts w:hint="eastAsia"/>
                <w:iCs/>
                <w:sz w:val="18"/>
                <w:szCs w:val="18"/>
              </w:rPr>
              <w:t>3</w:t>
            </w:r>
          </w:p>
        </w:tc>
        <w:tc>
          <w:tcPr>
            <w:tcW w:w="709" w:type="dxa"/>
            <w:shd w:val="clear" w:color="auto" w:fill="auto"/>
            <w:vAlign w:val="center"/>
          </w:tcPr>
          <w:p w14:paraId="4D088982">
            <w:pPr>
              <w:spacing w:line="360" w:lineRule="auto"/>
              <w:jc w:val="center"/>
              <w:rPr>
                <w:sz w:val="18"/>
                <w:szCs w:val="18"/>
              </w:rPr>
            </w:pPr>
            <w:r>
              <w:rPr>
                <w:rFonts w:hint="eastAsia"/>
                <w:sz w:val="18"/>
                <w:szCs w:val="18"/>
              </w:rPr>
              <w:t>1</w:t>
            </w:r>
          </w:p>
        </w:tc>
        <w:tc>
          <w:tcPr>
            <w:tcW w:w="1045" w:type="dxa"/>
            <w:vAlign w:val="center"/>
          </w:tcPr>
          <w:p w14:paraId="52410932">
            <w:pPr>
              <w:adjustRightInd w:val="0"/>
              <w:snapToGrid w:val="0"/>
              <w:spacing w:line="360" w:lineRule="auto"/>
              <w:rPr>
                <w:color w:val="FF0000"/>
                <w:sz w:val="18"/>
                <w:szCs w:val="18"/>
              </w:rPr>
            </w:pPr>
          </w:p>
        </w:tc>
      </w:tr>
      <w:tr w14:paraId="261949C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3E8049B9">
            <w:pPr>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非学位课</w:t>
            </w:r>
          </w:p>
        </w:tc>
        <w:tc>
          <w:tcPr>
            <w:tcW w:w="1226" w:type="dxa"/>
            <w:vMerge w:val="restart"/>
            <w:vAlign w:val="center"/>
          </w:tcPr>
          <w:p w14:paraId="5A99023E">
            <w:pPr>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公共通识课</w:t>
            </w:r>
          </w:p>
          <w:p w14:paraId="3AF7DBAA">
            <w:pPr>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（2学分）</w:t>
            </w:r>
          </w:p>
        </w:tc>
        <w:tc>
          <w:tcPr>
            <w:tcW w:w="3516" w:type="dxa"/>
            <w:vAlign w:val="center"/>
          </w:tcPr>
          <w:p w14:paraId="51B2EC1D">
            <w:pPr>
              <w:spacing w:line="360" w:lineRule="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《习近平谈治国理政》研读</w:t>
            </w:r>
          </w:p>
        </w:tc>
        <w:tc>
          <w:tcPr>
            <w:tcW w:w="1081" w:type="dxa"/>
            <w:tcBorders>
              <w:top w:val="single" w:color="auto" w:sz="4" w:space="0"/>
            </w:tcBorders>
            <w:vAlign w:val="center"/>
          </w:tcPr>
          <w:p w14:paraId="5818E8D4">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TT0000101</w:t>
            </w:r>
          </w:p>
        </w:tc>
        <w:tc>
          <w:tcPr>
            <w:tcW w:w="709" w:type="dxa"/>
            <w:vAlign w:val="center"/>
          </w:tcPr>
          <w:p w14:paraId="4EA8F41E">
            <w:pPr>
              <w:spacing w:line="360" w:lineRule="auto"/>
              <w:jc w:val="center"/>
              <w:rPr>
                <w:iCs/>
                <w:color w:val="000000" w:themeColor="text1"/>
                <w:sz w:val="18"/>
                <w:szCs w:val="18"/>
                <w14:textFill>
                  <w14:solidFill>
                    <w14:schemeClr w14:val="tx1"/>
                  </w14:solidFill>
                </w14:textFill>
              </w:rPr>
            </w:pPr>
            <w:r>
              <w:rPr>
                <w:iCs/>
                <w:color w:val="000000" w:themeColor="text1"/>
                <w:sz w:val="18"/>
                <w:szCs w:val="18"/>
                <w14:textFill>
                  <w14:solidFill>
                    <w14:schemeClr w14:val="tx1"/>
                  </w14:solidFill>
                </w14:textFill>
              </w:rPr>
              <w:t>1</w:t>
            </w:r>
          </w:p>
        </w:tc>
        <w:tc>
          <w:tcPr>
            <w:tcW w:w="709" w:type="dxa"/>
            <w:vAlign w:val="center"/>
          </w:tcPr>
          <w:p w14:paraId="42A9FA57">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0DF5B479">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54103B4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332FCCCE">
            <w:pPr>
              <w:spacing w:line="360" w:lineRule="auto"/>
              <w:jc w:val="center"/>
              <w:rPr>
                <w:b/>
                <w:color w:val="000000" w:themeColor="text1"/>
                <w:sz w:val="18"/>
                <w:szCs w:val="18"/>
                <w14:textFill>
                  <w14:solidFill>
                    <w14:schemeClr w14:val="tx1"/>
                  </w14:solidFill>
                </w14:textFill>
              </w:rPr>
            </w:pPr>
          </w:p>
        </w:tc>
        <w:tc>
          <w:tcPr>
            <w:tcW w:w="1226" w:type="dxa"/>
            <w:vMerge w:val="continue"/>
            <w:vAlign w:val="center"/>
          </w:tcPr>
          <w:p w14:paraId="4BD0C431">
            <w:pPr>
              <w:spacing w:line="360" w:lineRule="auto"/>
              <w:jc w:val="center"/>
              <w:rPr>
                <w:b/>
                <w:color w:val="000000" w:themeColor="text1"/>
                <w:sz w:val="18"/>
                <w:szCs w:val="18"/>
                <w14:textFill>
                  <w14:solidFill>
                    <w14:schemeClr w14:val="tx1"/>
                  </w14:solidFill>
                </w14:textFill>
              </w:rPr>
            </w:pPr>
          </w:p>
        </w:tc>
        <w:tc>
          <w:tcPr>
            <w:tcW w:w="3516" w:type="dxa"/>
            <w:vAlign w:val="center"/>
          </w:tcPr>
          <w:p w14:paraId="23035EF9">
            <w:pPr>
              <w:spacing w:line="360" w:lineRule="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马克思主义与社会科学方法论</w:t>
            </w:r>
          </w:p>
        </w:tc>
        <w:tc>
          <w:tcPr>
            <w:tcW w:w="1081" w:type="dxa"/>
            <w:vAlign w:val="center"/>
          </w:tcPr>
          <w:p w14:paraId="535F41C2">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TS0000101</w:t>
            </w:r>
          </w:p>
        </w:tc>
        <w:tc>
          <w:tcPr>
            <w:tcW w:w="709" w:type="dxa"/>
            <w:vAlign w:val="center"/>
          </w:tcPr>
          <w:p w14:paraId="086A9E60">
            <w:pPr>
              <w:spacing w:line="360" w:lineRule="auto"/>
              <w:jc w:val="center"/>
              <w:rPr>
                <w:iCs/>
                <w:color w:val="000000" w:themeColor="text1"/>
                <w:sz w:val="18"/>
                <w:szCs w:val="18"/>
                <w14:textFill>
                  <w14:solidFill>
                    <w14:schemeClr w14:val="tx1"/>
                  </w14:solidFill>
                </w14:textFill>
              </w:rPr>
            </w:pPr>
            <w:r>
              <w:rPr>
                <w:iCs/>
                <w:color w:val="000000" w:themeColor="text1"/>
                <w:sz w:val="18"/>
                <w:szCs w:val="18"/>
                <w14:textFill>
                  <w14:solidFill>
                    <w14:schemeClr w14:val="tx1"/>
                  </w14:solidFill>
                </w14:textFill>
              </w:rPr>
              <w:t>1</w:t>
            </w:r>
          </w:p>
        </w:tc>
        <w:tc>
          <w:tcPr>
            <w:tcW w:w="709" w:type="dxa"/>
            <w:vAlign w:val="center"/>
          </w:tcPr>
          <w:p w14:paraId="7D4A75C1">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1045" w:type="dxa"/>
            <w:vAlign w:val="center"/>
          </w:tcPr>
          <w:p w14:paraId="2C9465C0">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66EBC75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DB489D7">
            <w:pPr>
              <w:spacing w:line="360" w:lineRule="auto"/>
              <w:rPr>
                <w:b/>
                <w:color w:val="000000" w:themeColor="text1"/>
                <w:sz w:val="18"/>
                <w:szCs w:val="18"/>
                <w14:textFill>
                  <w14:solidFill>
                    <w14:schemeClr w14:val="tx1"/>
                  </w14:solidFill>
                </w14:textFill>
              </w:rPr>
            </w:pPr>
          </w:p>
        </w:tc>
        <w:tc>
          <w:tcPr>
            <w:tcW w:w="1226" w:type="dxa"/>
            <w:vMerge w:val="restart"/>
            <w:vAlign w:val="center"/>
          </w:tcPr>
          <w:p w14:paraId="0F783C78">
            <w:pPr>
              <w:adjustRightInd w:val="0"/>
              <w:snapToGrid w:val="0"/>
              <w:spacing w:line="360" w:lineRule="auto"/>
              <w:jc w:val="center"/>
              <w:rPr>
                <w:b/>
                <w:sz w:val="18"/>
                <w:szCs w:val="18"/>
              </w:rPr>
            </w:pPr>
            <w:r>
              <w:rPr>
                <w:rFonts w:hint="eastAsia"/>
                <w:b/>
                <w:sz w:val="18"/>
                <w:szCs w:val="18"/>
              </w:rPr>
              <w:t>中国近现代史</w:t>
            </w:r>
            <w:r>
              <w:rPr>
                <w:b/>
                <w:sz w:val="18"/>
                <w:szCs w:val="18"/>
              </w:rPr>
              <w:t>方向</w:t>
            </w:r>
          </w:p>
          <w:p w14:paraId="0C69DDA7">
            <w:pPr>
              <w:adjustRightInd w:val="0"/>
              <w:snapToGrid w:val="0"/>
              <w:spacing w:line="360" w:lineRule="auto"/>
              <w:jc w:val="center"/>
              <w:rPr>
                <w:b/>
                <w:sz w:val="18"/>
                <w:szCs w:val="18"/>
              </w:rPr>
            </w:pPr>
            <w:r>
              <w:rPr>
                <w:b/>
                <w:sz w:val="18"/>
                <w:szCs w:val="18"/>
              </w:rPr>
              <w:t>选修课</w:t>
            </w:r>
          </w:p>
        </w:tc>
        <w:tc>
          <w:tcPr>
            <w:tcW w:w="3516" w:type="dxa"/>
            <w:vAlign w:val="center"/>
          </w:tcPr>
          <w:p w14:paraId="1380AA1B">
            <w:pPr>
              <w:spacing w:line="360" w:lineRule="auto"/>
              <w:rPr>
                <w:iCs/>
                <w:sz w:val="18"/>
                <w:szCs w:val="18"/>
              </w:rPr>
            </w:pPr>
            <w:r>
              <w:rPr>
                <w:rFonts w:hint="eastAsia"/>
                <w:iCs/>
                <w:sz w:val="18"/>
                <w:szCs w:val="18"/>
              </w:rPr>
              <w:t>中国近现代社会史</w:t>
            </w:r>
          </w:p>
        </w:tc>
        <w:tc>
          <w:tcPr>
            <w:tcW w:w="1081" w:type="dxa"/>
            <w:shd w:val="clear" w:color="auto" w:fill="auto"/>
            <w:vAlign w:val="center"/>
          </w:tcPr>
          <w:p w14:paraId="7B0C000D">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XS1903227</w:t>
            </w:r>
          </w:p>
        </w:tc>
        <w:tc>
          <w:tcPr>
            <w:tcW w:w="709" w:type="dxa"/>
            <w:shd w:val="clear" w:color="auto" w:fill="auto"/>
            <w:vAlign w:val="center"/>
          </w:tcPr>
          <w:p w14:paraId="5F23E8DB">
            <w:pPr>
              <w:spacing w:line="360" w:lineRule="auto"/>
              <w:jc w:val="center"/>
              <w:rPr>
                <w:iCs/>
              </w:rPr>
            </w:pPr>
            <w:r>
              <w:rPr>
                <w:rFonts w:hint="eastAsia"/>
                <w:iCs/>
                <w:sz w:val="18"/>
                <w:szCs w:val="18"/>
              </w:rPr>
              <w:t>2</w:t>
            </w:r>
          </w:p>
        </w:tc>
        <w:tc>
          <w:tcPr>
            <w:tcW w:w="709" w:type="dxa"/>
            <w:shd w:val="clear" w:color="auto" w:fill="auto"/>
            <w:vAlign w:val="center"/>
          </w:tcPr>
          <w:p w14:paraId="08B44124">
            <w:pPr>
              <w:spacing w:line="360" w:lineRule="auto"/>
              <w:jc w:val="center"/>
              <w:rPr>
                <w:color w:val="FF0000"/>
              </w:rPr>
            </w:pPr>
            <w:r>
              <w:rPr>
                <w:color w:val="000000" w:themeColor="text1"/>
                <w:sz w:val="18"/>
                <w:szCs w:val="18"/>
                <w14:textFill>
                  <w14:solidFill>
                    <w14:schemeClr w14:val="tx1"/>
                  </w14:solidFill>
                </w14:textFill>
              </w:rPr>
              <w:t>2</w:t>
            </w:r>
          </w:p>
        </w:tc>
        <w:tc>
          <w:tcPr>
            <w:tcW w:w="1045" w:type="dxa"/>
            <w:vMerge w:val="restart"/>
            <w:vAlign w:val="center"/>
          </w:tcPr>
          <w:p w14:paraId="47C112F4">
            <w:pPr>
              <w:adjustRightInd w:val="0"/>
              <w:snapToGrid w:val="0"/>
              <w:spacing w:line="360" w:lineRule="auto"/>
              <w:jc w:val="center"/>
              <w:rPr>
                <w:sz w:val="18"/>
                <w:szCs w:val="18"/>
              </w:rPr>
            </w:pPr>
            <w:r>
              <w:rPr>
                <w:sz w:val="18"/>
                <w:szCs w:val="18"/>
              </w:rPr>
              <w:t>本方向研究生至少选修</w:t>
            </w:r>
          </w:p>
          <w:p w14:paraId="7755AD38">
            <w:pPr>
              <w:adjustRightInd w:val="0"/>
              <w:snapToGrid w:val="0"/>
              <w:spacing w:line="360" w:lineRule="auto"/>
              <w:jc w:val="center"/>
              <w:rPr>
                <w:sz w:val="18"/>
                <w:szCs w:val="18"/>
              </w:rPr>
            </w:pPr>
            <w:r>
              <w:rPr>
                <w:rFonts w:hint="eastAsia"/>
                <w:sz w:val="18"/>
                <w:szCs w:val="18"/>
              </w:rPr>
              <w:t>6</w:t>
            </w:r>
            <w:r>
              <w:rPr>
                <w:sz w:val="18"/>
                <w:szCs w:val="18"/>
              </w:rPr>
              <w:t>学分</w:t>
            </w:r>
          </w:p>
        </w:tc>
      </w:tr>
      <w:tr w14:paraId="35BD6CC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E25B65A">
            <w:pPr>
              <w:spacing w:line="360" w:lineRule="auto"/>
              <w:rPr>
                <w:b/>
                <w:color w:val="000000" w:themeColor="text1"/>
                <w:sz w:val="18"/>
                <w:szCs w:val="18"/>
                <w14:textFill>
                  <w14:solidFill>
                    <w14:schemeClr w14:val="tx1"/>
                  </w14:solidFill>
                </w14:textFill>
              </w:rPr>
            </w:pPr>
          </w:p>
        </w:tc>
        <w:tc>
          <w:tcPr>
            <w:tcW w:w="1226" w:type="dxa"/>
            <w:vMerge w:val="continue"/>
            <w:vAlign w:val="center"/>
          </w:tcPr>
          <w:p w14:paraId="14D96BCF">
            <w:pPr>
              <w:adjustRightInd w:val="0"/>
              <w:snapToGrid w:val="0"/>
              <w:spacing w:line="360" w:lineRule="auto"/>
              <w:jc w:val="center"/>
              <w:rPr>
                <w:b/>
                <w:sz w:val="18"/>
                <w:szCs w:val="18"/>
              </w:rPr>
            </w:pPr>
          </w:p>
        </w:tc>
        <w:tc>
          <w:tcPr>
            <w:tcW w:w="3516" w:type="dxa"/>
            <w:vAlign w:val="center"/>
          </w:tcPr>
          <w:p w14:paraId="0ADA01CD">
            <w:pPr>
              <w:spacing w:line="360" w:lineRule="auto"/>
              <w:rPr>
                <w:iCs/>
                <w:sz w:val="18"/>
                <w:szCs w:val="18"/>
              </w:rPr>
            </w:pPr>
            <w:r>
              <w:rPr>
                <w:rFonts w:hint="eastAsia"/>
                <w:iCs/>
                <w:sz w:val="18"/>
                <w:szCs w:val="18"/>
              </w:rPr>
              <w:t>中国近现代经济史</w:t>
            </w:r>
          </w:p>
        </w:tc>
        <w:tc>
          <w:tcPr>
            <w:tcW w:w="1081" w:type="dxa"/>
            <w:shd w:val="clear" w:color="auto" w:fill="auto"/>
            <w:vAlign w:val="center"/>
          </w:tcPr>
          <w:p w14:paraId="5113C1AA">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XS1903228</w:t>
            </w:r>
          </w:p>
        </w:tc>
        <w:tc>
          <w:tcPr>
            <w:tcW w:w="709" w:type="dxa"/>
            <w:shd w:val="clear" w:color="auto" w:fill="auto"/>
            <w:vAlign w:val="center"/>
          </w:tcPr>
          <w:p w14:paraId="4143B304">
            <w:pPr>
              <w:spacing w:line="360" w:lineRule="auto"/>
              <w:jc w:val="center"/>
              <w:rPr>
                <w:iCs/>
              </w:rPr>
            </w:pPr>
            <w:r>
              <w:rPr>
                <w:rFonts w:hint="eastAsia"/>
                <w:iCs/>
                <w:sz w:val="18"/>
                <w:szCs w:val="18"/>
              </w:rPr>
              <w:t>2</w:t>
            </w:r>
          </w:p>
        </w:tc>
        <w:tc>
          <w:tcPr>
            <w:tcW w:w="709" w:type="dxa"/>
            <w:shd w:val="clear" w:color="auto" w:fill="auto"/>
            <w:vAlign w:val="center"/>
          </w:tcPr>
          <w:p w14:paraId="77A1D228">
            <w:pPr>
              <w:spacing w:line="360" w:lineRule="auto"/>
              <w:jc w:val="center"/>
              <w:rPr>
                <w:color w:val="FF0000"/>
              </w:rPr>
            </w:pPr>
            <w:r>
              <w:rPr>
                <w:color w:val="000000" w:themeColor="text1"/>
                <w:sz w:val="18"/>
                <w:szCs w:val="18"/>
                <w14:textFill>
                  <w14:solidFill>
                    <w14:schemeClr w14:val="tx1"/>
                  </w14:solidFill>
                </w14:textFill>
              </w:rPr>
              <w:t>2</w:t>
            </w:r>
          </w:p>
        </w:tc>
        <w:tc>
          <w:tcPr>
            <w:tcW w:w="1045" w:type="dxa"/>
            <w:vMerge w:val="continue"/>
            <w:vAlign w:val="center"/>
          </w:tcPr>
          <w:p w14:paraId="0E8F0B50">
            <w:pPr>
              <w:adjustRightInd w:val="0"/>
              <w:snapToGrid w:val="0"/>
              <w:spacing w:line="360" w:lineRule="auto"/>
              <w:jc w:val="center"/>
              <w:rPr>
                <w:sz w:val="18"/>
                <w:szCs w:val="18"/>
              </w:rPr>
            </w:pPr>
          </w:p>
        </w:tc>
      </w:tr>
      <w:tr w14:paraId="524A192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A1AC030">
            <w:pPr>
              <w:spacing w:line="360" w:lineRule="auto"/>
              <w:rPr>
                <w:b/>
                <w:color w:val="000000" w:themeColor="text1"/>
                <w:sz w:val="18"/>
                <w:szCs w:val="18"/>
                <w14:textFill>
                  <w14:solidFill>
                    <w14:schemeClr w14:val="tx1"/>
                  </w14:solidFill>
                </w14:textFill>
              </w:rPr>
            </w:pPr>
          </w:p>
        </w:tc>
        <w:tc>
          <w:tcPr>
            <w:tcW w:w="1226" w:type="dxa"/>
            <w:vMerge w:val="continue"/>
            <w:vAlign w:val="center"/>
          </w:tcPr>
          <w:p w14:paraId="77F33908">
            <w:pPr>
              <w:adjustRightInd w:val="0"/>
              <w:snapToGrid w:val="0"/>
              <w:spacing w:line="360" w:lineRule="auto"/>
              <w:jc w:val="center"/>
              <w:rPr>
                <w:b/>
                <w:sz w:val="18"/>
                <w:szCs w:val="18"/>
              </w:rPr>
            </w:pPr>
          </w:p>
        </w:tc>
        <w:tc>
          <w:tcPr>
            <w:tcW w:w="3516" w:type="dxa"/>
            <w:vAlign w:val="center"/>
          </w:tcPr>
          <w:p w14:paraId="48DFDB98">
            <w:pPr>
              <w:spacing w:line="360" w:lineRule="auto"/>
              <w:rPr>
                <w:iCs/>
                <w:sz w:val="18"/>
                <w:szCs w:val="18"/>
              </w:rPr>
            </w:pPr>
            <w:r>
              <w:rPr>
                <w:rFonts w:hint="eastAsia"/>
                <w:iCs/>
                <w:sz w:val="18"/>
                <w:szCs w:val="18"/>
              </w:rPr>
              <w:t>中国近现代文化史</w:t>
            </w:r>
          </w:p>
        </w:tc>
        <w:tc>
          <w:tcPr>
            <w:tcW w:w="1081" w:type="dxa"/>
            <w:shd w:val="clear" w:color="auto" w:fill="auto"/>
            <w:vAlign w:val="center"/>
          </w:tcPr>
          <w:p w14:paraId="4EF84171">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XS1903229</w:t>
            </w:r>
          </w:p>
        </w:tc>
        <w:tc>
          <w:tcPr>
            <w:tcW w:w="709" w:type="dxa"/>
            <w:shd w:val="clear" w:color="auto" w:fill="auto"/>
            <w:vAlign w:val="center"/>
          </w:tcPr>
          <w:p w14:paraId="24F3631F">
            <w:pPr>
              <w:spacing w:line="360" w:lineRule="auto"/>
              <w:jc w:val="center"/>
              <w:rPr>
                <w:iCs/>
                <w:sz w:val="18"/>
                <w:szCs w:val="18"/>
              </w:rPr>
            </w:pPr>
            <w:r>
              <w:rPr>
                <w:rFonts w:hint="eastAsia"/>
                <w:iCs/>
                <w:sz w:val="18"/>
                <w:szCs w:val="18"/>
              </w:rPr>
              <w:t>2</w:t>
            </w:r>
          </w:p>
        </w:tc>
        <w:tc>
          <w:tcPr>
            <w:tcW w:w="709" w:type="dxa"/>
            <w:shd w:val="clear" w:color="auto" w:fill="auto"/>
            <w:vAlign w:val="center"/>
          </w:tcPr>
          <w:p w14:paraId="282E5249">
            <w:pPr>
              <w:spacing w:line="360" w:lineRule="auto"/>
              <w:jc w:val="center"/>
              <w:rPr>
                <w:i/>
                <w:color w:val="FF0000"/>
                <w:sz w:val="18"/>
                <w:szCs w:val="18"/>
              </w:rPr>
            </w:pPr>
            <w:r>
              <w:rPr>
                <w:color w:val="000000" w:themeColor="text1"/>
                <w:sz w:val="18"/>
                <w:szCs w:val="18"/>
                <w14:textFill>
                  <w14:solidFill>
                    <w14:schemeClr w14:val="tx1"/>
                  </w14:solidFill>
                </w14:textFill>
              </w:rPr>
              <w:t>2</w:t>
            </w:r>
          </w:p>
        </w:tc>
        <w:tc>
          <w:tcPr>
            <w:tcW w:w="1045" w:type="dxa"/>
            <w:vMerge w:val="continue"/>
            <w:vAlign w:val="center"/>
          </w:tcPr>
          <w:p w14:paraId="676CC18C">
            <w:pPr>
              <w:adjustRightInd w:val="0"/>
              <w:snapToGrid w:val="0"/>
              <w:spacing w:line="360" w:lineRule="auto"/>
              <w:jc w:val="center"/>
              <w:rPr>
                <w:sz w:val="18"/>
                <w:szCs w:val="18"/>
              </w:rPr>
            </w:pPr>
          </w:p>
        </w:tc>
      </w:tr>
      <w:tr w14:paraId="0EF1690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FB50D8A">
            <w:pPr>
              <w:spacing w:line="360" w:lineRule="auto"/>
              <w:rPr>
                <w:b/>
                <w:color w:val="000000" w:themeColor="text1"/>
                <w:sz w:val="18"/>
                <w:szCs w:val="18"/>
                <w14:textFill>
                  <w14:solidFill>
                    <w14:schemeClr w14:val="tx1"/>
                  </w14:solidFill>
                </w14:textFill>
              </w:rPr>
            </w:pPr>
          </w:p>
        </w:tc>
        <w:tc>
          <w:tcPr>
            <w:tcW w:w="1226" w:type="dxa"/>
            <w:vMerge w:val="continue"/>
            <w:vAlign w:val="center"/>
          </w:tcPr>
          <w:p w14:paraId="6F3D1B24">
            <w:pPr>
              <w:adjustRightInd w:val="0"/>
              <w:snapToGrid w:val="0"/>
              <w:spacing w:line="360" w:lineRule="auto"/>
              <w:jc w:val="center"/>
              <w:rPr>
                <w:b/>
                <w:sz w:val="18"/>
                <w:szCs w:val="18"/>
              </w:rPr>
            </w:pPr>
          </w:p>
        </w:tc>
        <w:tc>
          <w:tcPr>
            <w:tcW w:w="3516" w:type="dxa"/>
            <w:vAlign w:val="center"/>
          </w:tcPr>
          <w:p w14:paraId="2A6F6786">
            <w:pPr>
              <w:spacing w:line="360" w:lineRule="auto"/>
              <w:rPr>
                <w:iCs/>
                <w:sz w:val="18"/>
                <w:szCs w:val="18"/>
              </w:rPr>
            </w:pPr>
            <w:r>
              <w:rPr>
                <w:rFonts w:hint="eastAsia"/>
                <w:iCs/>
                <w:sz w:val="18"/>
                <w:szCs w:val="18"/>
              </w:rPr>
              <w:t>近现代中外交流史</w:t>
            </w:r>
          </w:p>
        </w:tc>
        <w:tc>
          <w:tcPr>
            <w:tcW w:w="1081" w:type="dxa"/>
            <w:shd w:val="clear" w:color="auto" w:fill="auto"/>
            <w:vAlign w:val="center"/>
          </w:tcPr>
          <w:p w14:paraId="30E0671D">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XS1903230</w:t>
            </w:r>
          </w:p>
        </w:tc>
        <w:tc>
          <w:tcPr>
            <w:tcW w:w="709" w:type="dxa"/>
            <w:shd w:val="clear" w:color="auto" w:fill="auto"/>
            <w:vAlign w:val="center"/>
          </w:tcPr>
          <w:p w14:paraId="5D6180D0">
            <w:pPr>
              <w:spacing w:line="360" w:lineRule="auto"/>
              <w:jc w:val="center"/>
              <w:rPr>
                <w:iCs/>
                <w:sz w:val="18"/>
                <w:szCs w:val="18"/>
              </w:rPr>
            </w:pPr>
            <w:r>
              <w:rPr>
                <w:rFonts w:hint="eastAsia"/>
                <w:iCs/>
                <w:sz w:val="18"/>
                <w:szCs w:val="18"/>
              </w:rPr>
              <w:t>2</w:t>
            </w:r>
          </w:p>
        </w:tc>
        <w:tc>
          <w:tcPr>
            <w:tcW w:w="709" w:type="dxa"/>
            <w:shd w:val="clear" w:color="auto" w:fill="auto"/>
            <w:vAlign w:val="center"/>
          </w:tcPr>
          <w:p w14:paraId="1C9B1186">
            <w:pPr>
              <w:spacing w:line="360" w:lineRule="auto"/>
              <w:jc w:val="center"/>
              <w:rPr>
                <w:i/>
                <w:color w:val="FF0000"/>
                <w:sz w:val="18"/>
                <w:szCs w:val="18"/>
              </w:rPr>
            </w:pPr>
            <w:r>
              <w:rPr>
                <w:color w:val="000000" w:themeColor="text1"/>
                <w:sz w:val="18"/>
                <w:szCs w:val="18"/>
                <w14:textFill>
                  <w14:solidFill>
                    <w14:schemeClr w14:val="tx1"/>
                  </w14:solidFill>
                </w14:textFill>
              </w:rPr>
              <w:t>2</w:t>
            </w:r>
          </w:p>
        </w:tc>
        <w:tc>
          <w:tcPr>
            <w:tcW w:w="1045" w:type="dxa"/>
            <w:vMerge w:val="continue"/>
            <w:vAlign w:val="center"/>
          </w:tcPr>
          <w:p w14:paraId="449E0133">
            <w:pPr>
              <w:adjustRightInd w:val="0"/>
              <w:snapToGrid w:val="0"/>
              <w:spacing w:line="360" w:lineRule="auto"/>
              <w:jc w:val="center"/>
              <w:rPr>
                <w:sz w:val="18"/>
                <w:szCs w:val="18"/>
              </w:rPr>
            </w:pPr>
          </w:p>
        </w:tc>
      </w:tr>
      <w:tr w14:paraId="6DF2DD7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DE54AEC">
            <w:pPr>
              <w:spacing w:line="360" w:lineRule="auto"/>
              <w:rPr>
                <w:b/>
                <w:color w:val="000000" w:themeColor="text1"/>
                <w:sz w:val="18"/>
                <w:szCs w:val="18"/>
                <w14:textFill>
                  <w14:solidFill>
                    <w14:schemeClr w14:val="tx1"/>
                  </w14:solidFill>
                </w14:textFill>
              </w:rPr>
            </w:pPr>
          </w:p>
        </w:tc>
        <w:tc>
          <w:tcPr>
            <w:tcW w:w="1226" w:type="dxa"/>
            <w:vMerge w:val="continue"/>
            <w:vAlign w:val="center"/>
          </w:tcPr>
          <w:p w14:paraId="5FD575CB">
            <w:pPr>
              <w:adjustRightInd w:val="0"/>
              <w:snapToGrid w:val="0"/>
              <w:spacing w:line="360" w:lineRule="auto"/>
              <w:jc w:val="center"/>
              <w:rPr>
                <w:b/>
                <w:sz w:val="18"/>
                <w:szCs w:val="18"/>
              </w:rPr>
            </w:pPr>
          </w:p>
        </w:tc>
        <w:tc>
          <w:tcPr>
            <w:tcW w:w="3516" w:type="dxa"/>
            <w:vAlign w:val="center"/>
          </w:tcPr>
          <w:p w14:paraId="1B14E6F5">
            <w:pPr>
              <w:spacing w:line="360" w:lineRule="auto"/>
              <w:rPr>
                <w:iCs/>
                <w:sz w:val="18"/>
                <w:szCs w:val="18"/>
              </w:rPr>
            </w:pPr>
            <w:r>
              <w:rPr>
                <w:rFonts w:hint="eastAsia"/>
                <w:iCs/>
                <w:sz w:val="18"/>
                <w:szCs w:val="18"/>
              </w:rPr>
              <w:t>中华人民共和国史专题</w:t>
            </w:r>
          </w:p>
        </w:tc>
        <w:tc>
          <w:tcPr>
            <w:tcW w:w="1081" w:type="dxa"/>
            <w:vAlign w:val="center"/>
          </w:tcPr>
          <w:p w14:paraId="0BED024C">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XS1903231</w:t>
            </w:r>
          </w:p>
        </w:tc>
        <w:tc>
          <w:tcPr>
            <w:tcW w:w="709" w:type="dxa"/>
            <w:vAlign w:val="center"/>
          </w:tcPr>
          <w:p w14:paraId="1E7DE76B">
            <w:pPr>
              <w:spacing w:line="360" w:lineRule="auto"/>
              <w:jc w:val="center"/>
              <w:rPr>
                <w:iCs/>
              </w:rPr>
            </w:pPr>
            <w:r>
              <w:rPr>
                <w:rFonts w:hint="eastAsia"/>
                <w:iCs/>
                <w:sz w:val="18"/>
                <w:szCs w:val="18"/>
              </w:rPr>
              <w:t>2</w:t>
            </w:r>
          </w:p>
        </w:tc>
        <w:tc>
          <w:tcPr>
            <w:tcW w:w="709" w:type="dxa"/>
            <w:vAlign w:val="center"/>
          </w:tcPr>
          <w:p w14:paraId="5F23A420">
            <w:pPr>
              <w:spacing w:line="360" w:lineRule="auto"/>
              <w:jc w:val="center"/>
              <w:rPr>
                <w:color w:val="FF0000"/>
              </w:rPr>
            </w:pPr>
            <w:r>
              <w:rPr>
                <w:color w:val="000000" w:themeColor="text1"/>
                <w:sz w:val="18"/>
                <w:szCs w:val="18"/>
                <w14:textFill>
                  <w14:solidFill>
                    <w14:schemeClr w14:val="tx1"/>
                  </w14:solidFill>
                </w14:textFill>
              </w:rPr>
              <w:t>2</w:t>
            </w:r>
          </w:p>
        </w:tc>
        <w:tc>
          <w:tcPr>
            <w:tcW w:w="1045" w:type="dxa"/>
            <w:vMerge w:val="continue"/>
            <w:vAlign w:val="center"/>
          </w:tcPr>
          <w:p w14:paraId="755C3890">
            <w:pPr>
              <w:adjustRightInd w:val="0"/>
              <w:snapToGrid w:val="0"/>
              <w:spacing w:line="360" w:lineRule="auto"/>
              <w:jc w:val="center"/>
              <w:rPr>
                <w:sz w:val="18"/>
                <w:szCs w:val="18"/>
              </w:rPr>
            </w:pPr>
          </w:p>
        </w:tc>
      </w:tr>
      <w:tr w14:paraId="03094F9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8F3EF56">
            <w:pPr>
              <w:spacing w:line="360" w:lineRule="auto"/>
              <w:rPr>
                <w:b/>
                <w:color w:val="000000" w:themeColor="text1"/>
                <w:sz w:val="18"/>
                <w:szCs w:val="18"/>
                <w14:textFill>
                  <w14:solidFill>
                    <w14:schemeClr w14:val="tx1"/>
                  </w14:solidFill>
                </w14:textFill>
              </w:rPr>
            </w:pPr>
          </w:p>
        </w:tc>
        <w:tc>
          <w:tcPr>
            <w:tcW w:w="1226" w:type="dxa"/>
            <w:vMerge w:val="continue"/>
            <w:vAlign w:val="center"/>
          </w:tcPr>
          <w:p w14:paraId="6FCFC49E">
            <w:pPr>
              <w:adjustRightInd w:val="0"/>
              <w:snapToGrid w:val="0"/>
              <w:spacing w:line="360" w:lineRule="auto"/>
              <w:jc w:val="center"/>
              <w:rPr>
                <w:b/>
                <w:sz w:val="18"/>
                <w:szCs w:val="18"/>
              </w:rPr>
            </w:pPr>
          </w:p>
        </w:tc>
        <w:tc>
          <w:tcPr>
            <w:tcW w:w="3516" w:type="dxa"/>
            <w:shd w:val="clear" w:color="auto" w:fill="auto"/>
            <w:vAlign w:val="center"/>
          </w:tcPr>
          <w:p w14:paraId="7C631259">
            <w:pPr>
              <w:spacing w:line="360" w:lineRule="auto"/>
              <w:rPr>
                <w:iCs/>
                <w:sz w:val="18"/>
                <w:szCs w:val="18"/>
              </w:rPr>
            </w:pPr>
            <w:r>
              <w:rPr>
                <w:rFonts w:hint="eastAsia"/>
                <w:iCs/>
                <w:sz w:val="18"/>
                <w:szCs w:val="18"/>
              </w:rPr>
              <w:t>华北区域史研究</w:t>
            </w:r>
          </w:p>
        </w:tc>
        <w:tc>
          <w:tcPr>
            <w:tcW w:w="1081" w:type="dxa"/>
            <w:shd w:val="clear" w:color="auto" w:fill="auto"/>
            <w:vAlign w:val="center"/>
          </w:tcPr>
          <w:p w14:paraId="5F76A808">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XS1903209</w:t>
            </w:r>
          </w:p>
        </w:tc>
        <w:tc>
          <w:tcPr>
            <w:tcW w:w="709" w:type="dxa"/>
            <w:shd w:val="clear" w:color="auto" w:fill="auto"/>
            <w:vAlign w:val="center"/>
          </w:tcPr>
          <w:p w14:paraId="451EDC84">
            <w:pPr>
              <w:spacing w:line="360" w:lineRule="auto"/>
              <w:jc w:val="center"/>
              <w:rPr>
                <w:iCs/>
                <w:sz w:val="18"/>
                <w:szCs w:val="18"/>
              </w:rPr>
            </w:pPr>
            <w:r>
              <w:rPr>
                <w:rFonts w:hint="eastAsia"/>
                <w:iCs/>
                <w:sz w:val="18"/>
                <w:szCs w:val="18"/>
              </w:rPr>
              <w:t>2</w:t>
            </w:r>
          </w:p>
        </w:tc>
        <w:tc>
          <w:tcPr>
            <w:tcW w:w="709" w:type="dxa"/>
            <w:shd w:val="clear" w:color="auto" w:fill="auto"/>
            <w:vAlign w:val="center"/>
          </w:tcPr>
          <w:p w14:paraId="3FA351F8">
            <w:pPr>
              <w:spacing w:line="360" w:lineRule="auto"/>
              <w:jc w:val="center"/>
              <w:rPr>
                <w:i/>
                <w:color w:val="FF0000"/>
                <w:sz w:val="18"/>
                <w:szCs w:val="18"/>
              </w:rPr>
            </w:pPr>
            <w:r>
              <w:rPr>
                <w:color w:val="000000" w:themeColor="text1"/>
                <w:sz w:val="18"/>
                <w:szCs w:val="18"/>
                <w14:textFill>
                  <w14:solidFill>
                    <w14:schemeClr w14:val="tx1"/>
                  </w14:solidFill>
                </w14:textFill>
              </w:rPr>
              <w:t>2</w:t>
            </w:r>
          </w:p>
        </w:tc>
        <w:tc>
          <w:tcPr>
            <w:tcW w:w="1045" w:type="dxa"/>
            <w:vMerge w:val="continue"/>
            <w:vAlign w:val="center"/>
          </w:tcPr>
          <w:p w14:paraId="2DEF26AE">
            <w:pPr>
              <w:adjustRightInd w:val="0"/>
              <w:snapToGrid w:val="0"/>
              <w:spacing w:line="360" w:lineRule="auto"/>
              <w:jc w:val="center"/>
              <w:rPr>
                <w:sz w:val="18"/>
                <w:szCs w:val="18"/>
              </w:rPr>
            </w:pPr>
          </w:p>
        </w:tc>
      </w:tr>
      <w:tr w14:paraId="6D8D09D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6D40F01">
            <w:pPr>
              <w:spacing w:line="360" w:lineRule="auto"/>
              <w:rPr>
                <w:b/>
                <w:color w:val="000000" w:themeColor="text1"/>
                <w:sz w:val="18"/>
                <w:szCs w:val="18"/>
                <w14:textFill>
                  <w14:solidFill>
                    <w14:schemeClr w14:val="tx1"/>
                  </w14:solidFill>
                </w14:textFill>
              </w:rPr>
            </w:pPr>
          </w:p>
        </w:tc>
        <w:tc>
          <w:tcPr>
            <w:tcW w:w="1226" w:type="dxa"/>
            <w:vMerge w:val="restart"/>
            <w:vAlign w:val="center"/>
          </w:tcPr>
          <w:p w14:paraId="31FEC669">
            <w:pPr>
              <w:adjustRightInd w:val="0"/>
              <w:snapToGrid w:val="0"/>
              <w:spacing w:line="360" w:lineRule="auto"/>
              <w:jc w:val="center"/>
              <w:rPr>
                <w:b/>
                <w:sz w:val="18"/>
                <w:szCs w:val="18"/>
              </w:rPr>
            </w:pPr>
            <w:r>
              <w:rPr>
                <w:rFonts w:hint="eastAsia"/>
                <w:b/>
                <w:sz w:val="18"/>
                <w:szCs w:val="18"/>
              </w:rPr>
              <w:t>中国专门史方向</w:t>
            </w:r>
          </w:p>
          <w:p w14:paraId="03A73B42">
            <w:pPr>
              <w:adjustRightInd w:val="0"/>
              <w:snapToGrid w:val="0"/>
              <w:spacing w:line="360" w:lineRule="auto"/>
              <w:jc w:val="center"/>
              <w:rPr>
                <w:b/>
                <w:sz w:val="18"/>
                <w:szCs w:val="18"/>
              </w:rPr>
            </w:pPr>
            <w:r>
              <w:rPr>
                <w:b/>
                <w:sz w:val="18"/>
                <w:szCs w:val="18"/>
              </w:rPr>
              <w:t>选修课</w:t>
            </w:r>
          </w:p>
        </w:tc>
        <w:tc>
          <w:tcPr>
            <w:tcW w:w="3516" w:type="dxa"/>
            <w:vAlign w:val="center"/>
          </w:tcPr>
          <w:p w14:paraId="36BC4E3C">
            <w:pPr>
              <w:spacing w:line="360" w:lineRule="auto"/>
              <w:rPr>
                <w:iCs/>
                <w:sz w:val="18"/>
                <w:szCs w:val="18"/>
              </w:rPr>
            </w:pPr>
            <w:r>
              <w:rPr>
                <w:rFonts w:hint="eastAsia"/>
                <w:iCs/>
                <w:sz w:val="18"/>
                <w:szCs w:val="18"/>
              </w:rPr>
              <w:t>文化史专题</w:t>
            </w:r>
          </w:p>
        </w:tc>
        <w:tc>
          <w:tcPr>
            <w:tcW w:w="1081" w:type="dxa"/>
            <w:vAlign w:val="center"/>
          </w:tcPr>
          <w:p w14:paraId="77782AC7">
            <w:pPr>
              <w:spacing w:line="360" w:lineRule="auto"/>
              <w:jc w:val="center"/>
              <w:rPr>
                <w:i/>
                <w:color w:val="FF0000"/>
                <w:sz w:val="18"/>
                <w:szCs w:val="18"/>
              </w:rPr>
            </w:pPr>
            <w:r>
              <w:rPr>
                <w:color w:val="000000" w:themeColor="text1"/>
                <w:sz w:val="18"/>
                <w:szCs w:val="18"/>
                <w14:textFill>
                  <w14:solidFill>
                    <w14:schemeClr w14:val="tx1"/>
                  </w14:solidFill>
                </w14:textFill>
              </w:rPr>
              <w:t>XS1903232</w:t>
            </w:r>
          </w:p>
        </w:tc>
        <w:tc>
          <w:tcPr>
            <w:tcW w:w="709" w:type="dxa"/>
            <w:shd w:val="clear" w:color="auto" w:fill="auto"/>
            <w:vAlign w:val="center"/>
          </w:tcPr>
          <w:p w14:paraId="651CBF71">
            <w:pPr>
              <w:spacing w:line="360" w:lineRule="auto"/>
              <w:jc w:val="center"/>
              <w:rPr>
                <w:iCs/>
              </w:rPr>
            </w:pPr>
            <w:r>
              <w:rPr>
                <w:rFonts w:hint="eastAsia"/>
                <w:iCs/>
                <w:sz w:val="18"/>
                <w:szCs w:val="18"/>
              </w:rPr>
              <w:t>2</w:t>
            </w:r>
          </w:p>
        </w:tc>
        <w:tc>
          <w:tcPr>
            <w:tcW w:w="709" w:type="dxa"/>
            <w:shd w:val="clear" w:color="auto" w:fill="auto"/>
            <w:vAlign w:val="center"/>
          </w:tcPr>
          <w:p w14:paraId="031AAFAF">
            <w:pPr>
              <w:spacing w:line="360" w:lineRule="auto"/>
              <w:jc w:val="center"/>
              <w:rPr>
                <w:color w:val="FF0000"/>
              </w:rPr>
            </w:pPr>
            <w:r>
              <w:rPr>
                <w:color w:val="000000" w:themeColor="text1"/>
                <w:sz w:val="18"/>
                <w:szCs w:val="18"/>
                <w14:textFill>
                  <w14:solidFill>
                    <w14:schemeClr w14:val="tx1"/>
                  </w14:solidFill>
                </w14:textFill>
              </w:rPr>
              <w:t>2</w:t>
            </w:r>
          </w:p>
        </w:tc>
        <w:tc>
          <w:tcPr>
            <w:tcW w:w="1045" w:type="dxa"/>
            <w:vMerge w:val="restart"/>
            <w:vAlign w:val="center"/>
          </w:tcPr>
          <w:p w14:paraId="5B418246">
            <w:pPr>
              <w:adjustRightInd w:val="0"/>
              <w:snapToGrid w:val="0"/>
              <w:spacing w:line="360" w:lineRule="auto"/>
              <w:jc w:val="center"/>
              <w:rPr>
                <w:sz w:val="18"/>
                <w:szCs w:val="18"/>
              </w:rPr>
            </w:pPr>
            <w:r>
              <w:rPr>
                <w:sz w:val="18"/>
                <w:szCs w:val="18"/>
              </w:rPr>
              <w:t>本方向研究生至少选修</w:t>
            </w:r>
          </w:p>
          <w:p w14:paraId="3B796452">
            <w:pPr>
              <w:adjustRightInd w:val="0"/>
              <w:snapToGrid w:val="0"/>
              <w:spacing w:line="360" w:lineRule="auto"/>
              <w:jc w:val="center"/>
              <w:rPr>
                <w:sz w:val="18"/>
                <w:szCs w:val="18"/>
              </w:rPr>
            </w:pPr>
            <w:r>
              <w:rPr>
                <w:rFonts w:hint="eastAsia"/>
                <w:sz w:val="18"/>
                <w:szCs w:val="18"/>
              </w:rPr>
              <w:t>6</w:t>
            </w:r>
            <w:r>
              <w:rPr>
                <w:sz w:val="18"/>
                <w:szCs w:val="18"/>
              </w:rPr>
              <w:t>学分</w:t>
            </w:r>
          </w:p>
        </w:tc>
      </w:tr>
      <w:tr w14:paraId="0CBE6BF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D840F41">
            <w:pPr>
              <w:spacing w:line="360" w:lineRule="auto"/>
              <w:rPr>
                <w:b/>
                <w:color w:val="000000" w:themeColor="text1"/>
                <w:sz w:val="18"/>
                <w:szCs w:val="18"/>
                <w14:textFill>
                  <w14:solidFill>
                    <w14:schemeClr w14:val="tx1"/>
                  </w14:solidFill>
                </w14:textFill>
              </w:rPr>
            </w:pPr>
          </w:p>
        </w:tc>
        <w:tc>
          <w:tcPr>
            <w:tcW w:w="1226" w:type="dxa"/>
            <w:vMerge w:val="continue"/>
            <w:vAlign w:val="center"/>
          </w:tcPr>
          <w:p w14:paraId="025D110A">
            <w:pPr>
              <w:adjustRightInd w:val="0"/>
              <w:snapToGrid w:val="0"/>
              <w:spacing w:line="360" w:lineRule="auto"/>
              <w:jc w:val="center"/>
              <w:rPr>
                <w:b/>
                <w:sz w:val="18"/>
                <w:szCs w:val="18"/>
              </w:rPr>
            </w:pPr>
          </w:p>
        </w:tc>
        <w:tc>
          <w:tcPr>
            <w:tcW w:w="3516" w:type="dxa"/>
            <w:vAlign w:val="center"/>
          </w:tcPr>
          <w:p w14:paraId="7F10A656">
            <w:pPr>
              <w:spacing w:line="360" w:lineRule="auto"/>
              <w:rPr>
                <w:iCs/>
                <w:sz w:val="18"/>
                <w:szCs w:val="18"/>
              </w:rPr>
            </w:pPr>
            <w:r>
              <w:rPr>
                <w:rFonts w:hint="eastAsia"/>
                <w:iCs/>
                <w:sz w:val="18"/>
                <w:szCs w:val="18"/>
              </w:rPr>
              <w:t>经济史专题</w:t>
            </w:r>
          </w:p>
        </w:tc>
        <w:tc>
          <w:tcPr>
            <w:tcW w:w="1081" w:type="dxa"/>
            <w:vAlign w:val="center"/>
          </w:tcPr>
          <w:p w14:paraId="44CA28A4">
            <w:pPr>
              <w:spacing w:line="360" w:lineRule="auto"/>
              <w:jc w:val="center"/>
              <w:rPr>
                <w:i/>
                <w:color w:val="FF0000"/>
                <w:sz w:val="18"/>
                <w:szCs w:val="18"/>
              </w:rPr>
            </w:pPr>
            <w:r>
              <w:rPr>
                <w:color w:val="000000" w:themeColor="text1"/>
                <w:sz w:val="18"/>
                <w:szCs w:val="18"/>
                <w14:textFill>
                  <w14:solidFill>
                    <w14:schemeClr w14:val="tx1"/>
                  </w14:solidFill>
                </w14:textFill>
              </w:rPr>
              <w:t>XS1903233</w:t>
            </w:r>
          </w:p>
        </w:tc>
        <w:tc>
          <w:tcPr>
            <w:tcW w:w="709" w:type="dxa"/>
            <w:shd w:val="clear" w:color="auto" w:fill="auto"/>
            <w:vAlign w:val="center"/>
          </w:tcPr>
          <w:p w14:paraId="45060070">
            <w:pPr>
              <w:spacing w:line="360" w:lineRule="auto"/>
              <w:jc w:val="center"/>
              <w:rPr>
                <w:iCs/>
                <w:sz w:val="18"/>
                <w:szCs w:val="18"/>
              </w:rPr>
            </w:pPr>
            <w:r>
              <w:rPr>
                <w:rFonts w:hint="eastAsia"/>
                <w:iCs/>
                <w:sz w:val="18"/>
                <w:szCs w:val="18"/>
              </w:rPr>
              <w:t>2</w:t>
            </w:r>
          </w:p>
        </w:tc>
        <w:tc>
          <w:tcPr>
            <w:tcW w:w="709" w:type="dxa"/>
            <w:shd w:val="clear" w:color="auto" w:fill="auto"/>
            <w:vAlign w:val="center"/>
          </w:tcPr>
          <w:p w14:paraId="4A430BA0">
            <w:pPr>
              <w:spacing w:line="360" w:lineRule="auto"/>
              <w:jc w:val="center"/>
              <w:rPr>
                <w:i/>
                <w:color w:val="FF0000"/>
                <w:sz w:val="18"/>
                <w:szCs w:val="18"/>
              </w:rPr>
            </w:pPr>
            <w:r>
              <w:rPr>
                <w:color w:val="000000" w:themeColor="text1"/>
                <w:sz w:val="18"/>
                <w:szCs w:val="18"/>
                <w14:textFill>
                  <w14:solidFill>
                    <w14:schemeClr w14:val="tx1"/>
                  </w14:solidFill>
                </w14:textFill>
              </w:rPr>
              <w:t>2</w:t>
            </w:r>
          </w:p>
        </w:tc>
        <w:tc>
          <w:tcPr>
            <w:tcW w:w="1045" w:type="dxa"/>
            <w:vMerge w:val="continue"/>
            <w:vAlign w:val="center"/>
          </w:tcPr>
          <w:p w14:paraId="35944211">
            <w:pPr>
              <w:adjustRightInd w:val="0"/>
              <w:snapToGrid w:val="0"/>
              <w:spacing w:line="360" w:lineRule="auto"/>
              <w:jc w:val="center"/>
              <w:rPr>
                <w:sz w:val="18"/>
                <w:szCs w:val="18"/>
              </w:rPr>
            </w:pPr>
          </w:p>
        </w:tc>
      </w:tr>
      <w:tr w14:paraId="59E2D3E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C524F1A">
            <w:pPr>
              <w:spacing w:line="360" w:lineRule="auto"/>
              <w:rPr>
                <w:b/>
                <w:color w:val="000000" w:themeColor="text1"/>
                <w:sz w:val="18"/>
                <w:szCs w:val="18"/>
                <w14:textFill>
                  <w14:solidFill>
                    <w14:schemeClr w14:val="tx1"/>
                  </w14:solidFill>
                </w14:textFill>
              </w:rPr>
            </w:pPr>
          </w:p>
        </w:tc>
        <w:tc>
          <w:tcPr>
            <w:tcW w:w="1226" w:type="dxa"/>
            <w:vMerge w:val="continue"/>
            <w:vAlign w:val="center"/>
          </w:tcPr>
          <w:p w14:paraId="22B2BECA">
            <w:pPr>
              <w:adjustRightInd w:val="0"/>
              <w:snapToGrid w:val="0"/>
              <w:spacing w:line="360" w:lineRule="auto"/>
              <w:jc w:val="center"/>
              <w:rPr>
                <w:b/>
                <w:sz w:val="18"/>
                <w:szCs w:val="18"/>
              </w:rPr>
            </w:pPr>
          </w:p>
        </w:tc>
        <w:tc>
          <w:tcPr>
            <w:tcW w:w="3516" w:type="dxa"/>
            <w:vAlign w:val="center"/>
          </w:tcPr>
          <w:p w14:paraId="3E4E1257">
            <w:pPr>
              <w:spacing w:line="360" w:lineRule="auto"/>
              <w:rPr>
                <w:iCs/>
                <w:sz w:val="18"/>
                <w:szCs w:val="18"/>
              </w:rPr>
            </w:pPr>
            <w:r>
              <w:rPr>
                <w:rFonts w:hint="eastAsia"/>
                <w:iCs/>
                <w:sz w:val="18"/>
                <w:szCs w:val="18"/>
              </w:rPr>
              <w:t>清史研究专题</w:t>
            </w:r>
          </w:p>
        </w:tc>
        <w:tc>
          <w:tcPr>
            <w:tcW w:w="1081" w:type="dxa"/>
            <w:vAlign w:val="center"/>
          </w:tcPr>
          <w:p w14:paraId="54226DF8">
            <w:pPr>
              <w:spacing w:line="360" w:lineRule="auto"/>
              <w:jc w:val="center"/>
              <w:rPr>
                <w:color w:val="FF0000"/>
                <w:sz w:val="18"/>
                <w:szCs w:val="18"/>
              </w:rPr>
            </w:pPr>
            <w:r>
              <w:rPr>
                <w:color w:val="000000" w:themeColor="text1"/>
                <w:sz w:val="18"/>
                <w:szCs w:val="18"/>
                <w14:textFill>
                  <w14:solidFill>
                    <w14:schemeClr w14:val="tx1"/>
                  </w14:solidFill>
                </w14:textFill>
              </w:rPr>
              <w:t>XS1903215</w:t>
            </w:r>
          </w:p>
        </w:tc>
        <w:tc>
          <w:tcPr>
            <w:tcW w:w="709" w:type="dxa"/>
            <w:vAlign w:val="center"/>
          </w:tcPr>
          <w:p w14:paraId="47E19F2E">
            <w:pPr>
              <w:spacing w:line="360" w:lineRule="auto"/>
              <w:jc w:val="center"/>
              <w:rPr>
                <w:iCs/>
              </w:rPr>
            </w:pPr>
            <w:r>
              <w:rPr>
                <w:rFonts w:hint="eastAsia"/>
                <w:iCs/>
                <w:sz w:val="18"/>
                <w:szCs w:val="18"/>
              </w:rPr>
              <w:t>2</w:t>
            </w:r>
          </w:p>
        </w:tc>
        <w:tc>
          <w:tcPr>
            <w:tcW w:w="709" w:type="dxa"/>
            <w:vAlign w:val="center"/>
          </w:tcPr>
          <w:p w14:paraId="35A48A9E">
            <w:pPr>
              <w:spacing w:line="360" w:lineRule="auto"/>
              <w:jc w:val="center"/>
              <w:rPr>
                <w:color w:val="FF0000"/>
              </w:rPr>
            </w:pPr>
            <w:r>
              <w:rPr>
                <w:color w:val="000000" w:themeColor="text1"/>
                <w:sz w:val="18"/>
                <w:szCs w:val="18"/>
                <w14:textFill>
                  <w14:solidFill>
                    <w14:schemeClr w14:val="tx1"/>
                  </w14:solidFill>
                </w14:textFill>
              </w:rPr>
              <w:t>2</w:t>
            </w:r>
          </w:p>
        </w:tc>
        <w:tc>
          <w:tcPr>
            <w:tcW w:w="1045" w:type="dxa"/>
            <w:vMerge w:val="continue"/>
            <w:vAlign w:val="center"/>
          </w:tcPr>
          <w:p w14:paraId="701E6A59">
            <w:pPr>
              <w:adjustRightInd w:val="0"/>
              <w:snapToGrid w:val="0"/>
              <w:spacing w:line="360" w:lineRule="auto"/>
              <w:jc w:val="center"/>
              <w:rPr>
                <w:sz w:val="18"/>
                <w:szCs w:val="18"/>
              </w:rPr>
            </w:pPr>
          </w:p>
        </w:tc>
      </w:tr>
      <w:tr w14:paraId="1F99900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DE79988">
            <w:pPr>
              <w:spacing w:line="360" w:lineRule="auto"/>
              <w:rPr>
                <w:b/>
                <w:color w:val="000000" w:themeColor="text1"/>
                <w:sz w:val="18"/>
                <w:szCs w:val="18"/>
                <w14:textFill>
                  <w14:solidFill>
                    <w14:schemeClr w14:val="tx1"/>
                  </w14:solidFill>
                </w14:textFill>
              </w:rPr>
            </w:pPr>
          </w:p>
        </w:tc>
        <w:tc>
          <w:tcPr>
            <w:tcW w:w="1226" w:type="dxa"/>
            <w:vMerge w:val="continue"/>
            <w:vAlign w:val="center"/>
          </w:tcPr>
          <w:p w14:paraId="68F9F016">
            <w:pPr>
              <w:adjustRightInd w:val="0"/>
              <w:snapToGrid w:val="0"/>
              <w:spacing w:line="360" w:lineRule="auto"/>
              <w:jc w:val="center"/>
              <w:rPr>
                <w:b/>
                <w:sz w:val="18"/>
                <w:szCs w:val="18"/>
              </w:rPr>
            </w:pPr>
          </w:p>
        </w:tc>
        <w:tc>
          <w:tcPr>
            <w:tcW w:w="3516" w:type="dxa"/>
            <w:vAlign w:val="center"/>
          </w:tcPr>
          <w:p w14:paraId="577C7B98">
            <w:pPr>
              <w:spacing w:line="360" w:lineRule="auto"/>
              <w:rPr>
                <w:iCs/>
                <w:sz w:val="18"/>
                <w:szCs w:val="18"/>
              </w:rPr>
            </w:pPr>
            <w:r>
              <w:rPr>
                <w:rFonts w:hint="eastAsia"/>
                <w:iCs/>
                <w:sz w:val="18"/>
                <w:szCs w:val="18"/>
              </w:rPr>
              <w:t>边疆史研究专题</w:t>
            </w:r>
          </w:p>
        </w:tc>
        <w:tc>
          <w:tcPr>
            <w:tcW w:w="1081" w:type="dxa"/>
            <w:vAlign w:val="center"/>
          </w:tcPr>
          <w:p w14:paraId="5D9E5CDE">
            <w:pPr>
              <w:spacing w:line="360" w:lineRule="auto"/>
              <w:jc w:val="center"/>
              <w:rPr>
                <w:color w:val="FF0000"/>
                <w:sz w:val="18"/>
                <w:szCs w:val="18"/>
              </w:rPr>
            </w:pPr>
            <w:r>
              <w:rPr>
                <w:color w:val="000000" w:themeColor="text1"/>
                <w:sz w:val="18"/>
                <w:szCs w:val="18"/>
                <w14:textFill>
                  <w14:solidFill>
                    <w14:schemeClr w14:val="tx1"/>
                  </w14:solidFill>
                </w14:textFill>
              </w:rPr>
              <w:t>XS1903234</w:t>
            </w:r>
          </w:p>
        </w:tc>
        <w:tc>
          <w:tcPr>
            <w:tcW w:w="709" w:type="dxa"/>
            <w:vAlign w:val="center"/>
          </w:tcPr>
          <w:p w14:paraId="1F5DAB02">
            <w:pPr>
              <w:spacing w:line="360" w:lineRule="auto"/>
              <w:jc w:val="center"/>
              <w:rPr>
                <w:iCs/>
              </w:rPr>
            </w:pPr>
            <w:r>
              <w:rPr>
                <w:rFonts w:hint="eastAsia"/>
                <w:iCs/>
                <w:sz w:val="18"/>
                <w:szCs w:val="18"/>
              </w:rPr>
              <w:t>2</w:t>
            </w:r>
          </w:p>
        </w:tc>
        <w:tc>
          <w:tcPr>
            <w:tcW w:w="709" w:type="dxa"/>
            <w:vAlign w:val="center"/>
          </w:tcPr>
          <w:p w14:paraId="677636F4">
            <w:pPr>
              <w:spacing w:line="360" w:lineRule="auto"/>
              <w:jc w:val="center"/>
              <w:rPr>
                <w:color w:val="FF0000"/>
              </w:rPr>
            </w:pPr>
            <w:r>
              <w:rPr>
                <w:color w:val="000000" w:themeColor="text1"/>
                <w:sz w:val="18"/>
                <w:szCs w:val="18"/>
                <w14:textFill>
                  <w14:solidFill>
                    <w14:schemeClr w14:val="tx1"/>
                  </w14:solidFill>
                </w14:textFill>
              </w:rPr>
              <w:t>2</w:t>
            </w:r>
          </w:p>
        </w:tc>
        <w:tc>
          <w:tcPr>
            <w:tcW w:w="1045" w:type="dxa"/>
            <w:vMerge w:val="continue"/>
            <w:vAlign w:val="center"/>
          </w:tcPr>
          <w:p w14:paraId="3D271691">
            <w:pPr>
              <w:adjustRightInd w:val="0"/>
              <w:snapToGrid w:val="0"/>
              <w:spacing w:line="360" w:lineRule="auto"/>
              <w:jc w:val="center"/>
              <w:rPr>
                <w:sz w:val="18"/>
                <w:szCs w:val="18"/>
              </w:rPr>
            </w:pPr>
          </w:p>
        </w:tc>
      </w:tr>
      <w:tr w14:paraId="3C2CFA7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4820E42">
            <w:pPr>
              <w:spacing w:line="360" w:lineRule="auto"/>
              <w:rPr>
                <w:b/>
                <w:color w:val="000000" w:themeColor="text1"/>
                <w:sz w:val="18"/>
                <w:szCs w:val="18"/>
                <w14:textFill>
                  <w14:solidFill>
                    <w14:schemeClr w14:val="tx1"/>
                  </w14:solidFill>
                </w14:textFill>
              </w:rPr>
            </w:pPr>
          </w:p>
        </w:tc>
        <w:tc>
          <w:tcPr>
            <w:tcW w:w="1226" w:type="dxa"/>
            <w:vMerge w:val="continue"/>
            <w:vAlign w:val="center"/>
          </w:tcPr>
          <w:p w14:paraId="20860926">
            <w:pPr>
              <w:adjustRightInd w:val="0"/>
              <w:snapToGrid w:val="0"/>
              <w:spacing w:line="360" w:lineRule="auto"/>
              <w:jc w:val="center"/>
              <w:rPr>
                <w:b/>
                <w:sz w:val="18"/>
                <w:szCs w:val="18"/>
              </w:rPr>
            </w:pPr>
          </w:p>
        </w:tc>
        <w:tc>
          <w:tcPr>
            <w:tcW w:w="3516" w:type="dxa"/>
            <w:vAlign w:val="center"/>
          </w:tcPr>
          <w:p w14:paraId="0B9EAFAC">
            <w:pPr>
              <w:spacing w:line="360" w:lineRule="auto"/>
              <w:rPr>
                <w:iCs/>
                <w:sz w:val="18"/>
                <w:szCs w:val="18"/>
              </w:rPr>
            </w:pPr>
            <w:r>
              <w:rPr>
                <w:rFonts w:hint="eastAsia"/>
                <w:iCs/>
                <w:sz w:val="18"/>
                <w:szCs w:val="18"/>
              </w:rPr>
              <w:t>根据地史研究专题</w:t>
            </w:r>
          </w:p>
        </w:tc>
        <w:tc>
          <w:tcPr>
            <w:tcW w:w="1081" w:type="dxa"/>
            <w:vAlign w:val="center"/>
          </w:tcPr>
          <w:p w14:paraId="6FDB20E8">
            <w:pPr>
              <w:spacing w:line="360" w:lineRule="auto"/>
              <w:jc w:val="center"/>
              <w:rPr>
                <w:i/>
                <w:color w:val="FF0000"/>
                <w:sz w:val="18"/>
                <w:szCs w:val="18"/>
              </w:rPr>
            </w:pPr>
            <w:r>
              <w:rPr>
                <w:color w:val="000000" w:themeColor="text1"/>
                <w:sz w:val="18"/>
                <w:szCs w:val="18"/>
                <w14:textFill>
                  <w14:solidFill>
                    <w14:schemeClr w14:val="tx1"/>
                  </w14:solidFill>
                </w14:textFill>
              </w:rPr>
              <w:t>XS1903235</w:t>
            </w:r>
          </w:p>
        </w:tc>
        <w:tc>
          <w:tcPr>
            <w:tcW w:w="709" w:type="dxa"/>
            <w:vAlign w:val="center"/>
          </w:tcPr>
          <w:p w14:paraId="3C8A0D99">
            <w:pPr>
              <w:spacing w:line="360" w:lineRule="auto"/>
              <w:jc w:val="center"/>
              <w:rPr>
                <w:iCs/>
                <w:sz w:val="18"/>
                <w:szCs w:val="18"/>
              </w:rPr>
            </w:pPr>
            <w:r>
              <w:rPr>
                <w:rFonts w:hint="eastAsia"/>
                <w:iCs/>
                <w:sz w:val="18"/>
                <w:szCs w:val="18"/>
              </w:rPr>
              <w:t>2</w:t>
            </w:r>
          </w:p>
        </w:tc>
        <w:tc>
          <w:tcPr>
            <w:tcW w:w="709" w:type="dxa"/>
            <w:vAlign w:val="center"/>
          </w:tcPr>
          <w:p w14:paraId="440B0765">
            <w:pPr>
              <w:spacing w:line="360" w:lineRule="auto"/>
              <w:jc w:val="center"/>
              <w:rPr>
                <w:i/>
                <w:color w:val="FF0000"/>
                <w:sz w:val="18"/>
                <w:szCs w:val="18"/>
              </w:rPr>
            </w:pPr>
            <w:r>
              <w:rPr>
                <w:color w:val="000000" w:themeColor="text1"/>
                <w:sz w:val="18"/>
                <w:szCs w:val="18"/>
                <w14:textFill>
                  <w14:solidFill>
                    <w14:schemeClr w14:val="tx1"/>
                  </w14:solidFill>
                </w14:textFill>
              </w:rPr>
              <w:t>2</w:t>
            </w:r>
          </w:p>
        </w:tc>
        <w:tc>
          <w:tcPr>
            <w:tcW w:w="1045" w:type="dxa"/>
            <w:vMerge w:val="continue"/>
            <w:vAlign w:val="center"/>
          </w:tcPr>
          <w:p w14:paraId="532FC5E9">
            <w:pPr>
              <w:adjustRightInd w:val="0"/>
              <w:snapToGrid w:val="0"/>
              <w:spacing w:line="360" w:lineRule="auto"/>
              <w:jc w:val="center"/>
              <w:rPr>
                <w:sz w:val="18"/>
                <w:szCs w:val="18"/>
              </w:rPr>
            </w:pPr>
          </w:p>
        </w:tc>
      </w:tr>
      <w:tr w14:paraId="32A50BD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4" w:hRule="atLeast"/>
          <w:jc w:val="center"/>
        </w:trPr>
        <w:tc>
          <w:tcPr>
            <w:tcW w:w="571" w:type="dxa"/>
            <w:vMerge w:val="continue"/>
          </w:tcPr>
          <w:p w14:paraId="0C2DC032">
            <w:pPr>
              <w:spacing w:line="360" w:lineRule="auto"/>
              <w:rPr>
                <w:b/>
                <w:color w:val="000000" w:themeColor="text1"/>
                <w:sz w:val="18"/>
                <w:szCs w:val="18"/>
                <w14:textFill>
                  <w14:solidFill>
                    <w14:schemeClr w14:val="tx1"/>
                  </w14:solidFill>
                </w14:textFill>
              </w:rPr>
            </w:pPr>
          </w:p>
        </w:tc>
        <w:tc>
          <w:tcPr>
            <w:tcW w:w="1226" w:type="dxa"/>
            <w:vMerge w:val="restart"/>
            <w:vAlign w:val="center"/>
          </w:tcPr>
          <w:p w14:paraId="4232B707">
            <w:pPr>
              <w:adjustRightInd w:val="0"/>
              <w:snapToGrid w:val="0"/>
              <w:jc w:val="center"/>
              <w:rPr>
                <w:b/>
                <w:sz w:val="18"/>
                <w:szCs w:val="18"/>
              </w:rPr>
            </w:pPr>
            <w:r>
              <w:rPr>
                <w:rFonts w:hint="eastAsia"/>
                <w:b/>
                <w:sz w:val="18"/>
                <w:szCs w:val="18"/>
              </w:rPr>
              <w:t>史学理论与史学史</w:t>
            </w:r>
            <w:r>
              <w:rPr>
                <w:b/>
                <w:sz w:val="18"/>
                <w:szCs w:val="18"/>
              </w:rPr>
              <w:t>方向</w:t>
            </w:r>
          </w:p>
          <w:p w14:paraId="6977A379">
            <w:pPr>
              <w:adjustRightInd w:val="0"/>
              <w:snapToGrid w:val="0"/>
              <w:jc w:val="center"/>
              <w:rPr>
                <w:b/>
                <w:sz w:val="18"/>
                <w:szCs w:val="18"/>
              </w:rPr>
            </w:pPr>
            <w:r>
              <w:rPr>
                <w:b/>
                <w:sz w:val="18"/>
                <w:szCs w:val="18"/>
              </w:rPr>
              <w:t>选修课</w:t>
            </w:r>
          </w:p>
        </w:tc>
        <w:tc>
          <w:tcPr>
            <w:tcW w:w="3516" w:type="dxa"/>
            <w:shd w:val="clear" w:color="auto" w:fill="auto"/>
            <w:vAlign w:val="center"/>
          </w:tcPr>
          <w:p w14:paraId="3CD3E1B1">
            <w:pPr>
              <w:spacing w:line="360" w:lineRule="auto"/>
              <w:rPr>
                <w:color w:val="000000"/>
                <w:sz w:val="18"/>
                <w:szCs w:val="18"/>
              </w:rPr>
            </w:pPr>
            <w:r>
              <w:rPr>
                <w:color w:val="000000"/>
                <w:sz w:val="18"/>
                <w:szCs w:val="18"/>
              </w:rPr>
              <w:t>中国史学史</w:t>
            </w:r>
          </w:p>
        </w:tc>
        <w:tc>
          <w:tcPr>
            <w:tcW w:w="1081" w:type="dxa"/>
            <w:shd w:val="clear" w:color="auto" w:fill="auto"/>
            <w:vAlign w:val="center"/>
          </w:tcPr>
          <w:p w14:paraId="3308372B">
            <w:pPr>
              <w:spacing w:line="360" w:lineRule="auto"/>
              <w:jc w:val="center"/>
              <w:rPr>
                <w:color w:val="FF0000"/>
                <w:sz w:val="18"/>
                <w:szCs w:val="18"/>
              </w:rPr>
            </w:pPr>
            <w:r>
              <w:rPr>
                <w:color w:val="000000" w:themeColor="text1"/>
                <w:sz w:val="18"/>
                <w:szCs w:val="18"/>
                <w14:textFill>
                  <w14:solidFill>
                    <w14:schemeClr w14:val="tx1"/>
                  </w14:solidFill>
                </w14:textFill>
              </w:rPr>
              <w:t>XS1903236</w:t>
            </w:r>
          </w:p>
        </w:tc>
        <w:tc>
          <w:tcPr>
            <w:tcW w:w="709" w:type="dxa"/>
            <w:vAlign w:val="center"/>
          </w:tcPr>
          <w:p w14:paraId="336ADAEF">
            <w:pPr>
              <w:spacing w:line="360" w:lineRule="auto"/>
              <w:jc w:val="center"/>
              <w:rPr>
                <w:iCs/>
                <w:sz w:val="18"/>
                <w:szCs w:val="18"/>
              </w:rPr>
            </w:pPr>
            <w:r>
              <w:rPr>
                <w:rFonts w:hint="eastAsia"/>
                <w:iCs/>
                <w:sz w:val="18"/>
                <w:szCs w:val="18"/>
              </w:rPr>
              <w:t>2</w:t>
            </w:r>
          </w:p>
        </w:tc>
        <w:tc>
          <w:tcPr>
            <w:tcW w:w="709" w:type="dxa"/>
            <w:vAlign w:val="center"/>
          </w:tcPr>
          <w:p w14:paraId="78243380">
            <w:pPr>
              <w:spacing w:line="360" w:lineRule="auto"/>
              <w:jc w:val="center"/>
              <w:rPr>
                <w:i/>
                <w:color w:val="FF0000"/>
                <w:sz w:val="18"/>
                <w:szCs w:val="18"/>
              </w:rPr>
            </w:pPr>
            <w:r>
              <w:rPr>
                <w:color w:val="000000" w:themeColor="text1"/>
                <w:sz w:val="18"/>
                <w:szCs w:val="18"/>
                <w14:textFill>
                  <w14:solidFill>
                    <w14:schemeClr w14:val="tx1"/>
                  </w14:solidFill>
                </w14:textFill>
              </w:rPr>
              <w:t>2</w:t>
            </w:r>
          </w:p>
        </w:tc>
        <w:tc>
          <w:tcPr>
            <w:tcW w:w="1045" w:type="dxa"/>
            <w:vMerge w:val="restart"/>
            <w:vAlign w:val="center"/>
          </w:tcPr>
          <w:p w14:paraId="7B2ACC7E">
            <w:pPr>
              <w:adjustRightInd w:val="0"/>
              <w:snapToGrid w:val="0"/>
              <w:spacing w:line="360" w:lineRule="auto"/>
              <w:jc w:val="center"/>
              <w:rPr>
                <w:sz w:val="18"/>
                <w:szCs w:val="18"/>
              </w:rPr>
            </w:pPr>
            <w:r>
              <w:rPr>
                <w:sz w:val="18"/>
                <w:szCs w:val="18"/>
              </w:rPr>
              <w:t>本方向研究生至少选修</w:t>
            </w:r>
          </w:p>
          <w:p w14:paraId="2414C76F">
            <w:pPr>
              <w:spacing w:line="360" w:lineRule="auto"/>
              <w:jc w:val="center"/>
              <w:rPr>
                <w:sz w:val="18"/>
                <w:szCs w:val="18"/>
              </w:rPr>
            </w:pPr>
            <w:r>
              <w:rPr>
                <w:rFonts w:hint="eastAsia"/>
                <w:sz w:val="18"/>
                <w:szCs w:val="18"/>
              </w:rPr>
              <w:t>6</w:t>
            </w:r>
            <w:r>
              <w:rPr>
                <w:sz w:val="18"/>
                <w:szCs w:val="18"/>
              </w:rPr>
              <w:t>学分</w:t>
            </w:r>
          </w:p>
        </w:tc>
      </w:tr>
      <w:tr w14:paraId="6E4AB82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4" w:hRule="atLeast"/>
          <w:jc w:val="center"/>
        </w:trPr>
        <w:tc>
          <w:tcPr>
            <w:tcW w:w="571" w:type="dxa"/>
            <w:vMerge w:val="continue"/>
          </w:tcPr>
          <w:p w14:paraId="0AF62DDD">
            <w:pPr>
              <w:spacing w:line="360" w:lineRule="auto"/>
              <w:rPr>
                <w:b/>
                <w:color w:val="000000" w:themeColor="text1"/>
                <w:sz w:val="18"/>
                <w:szCs w:val="18"/>
                <w14:textFill>
                  <w14:solidFill>
                    <w14:schemeClr w14:val="tx1"/>
                  </w14:solidFill>
                </w14:textFill>
              </w:rPr>
            </w:pPr>
          </w:p>
        </w:tc>
        <w:tc>
          <w:tcPr>
            <w:tcW w:w="1226" w:type="dxa"/>
            <w:vMerge w:val="continue"/>
          </w:tcPr>
          <w:p w14:paraId="21F377E6">
            <w:pPr>
              <w:spacing w:line="360" w:lineRule="auto"/>
              <w:jc w:val="center"/>
              <w:rPr>
                <w:b/>
                <w:color w:val="000000" w:themeColor="text1"/>
                <w:sz w:val="18"/>
                <w:szCs w:val="18"/>
                <w14:textFill>
                  <w14:solidFill>
                    <w14:schemeClr w14:val="tx1"/>
                  </w14:solidFill>
                </w14:textFill>
              </w:rPr>
            </w:pPr>
          </w:p>
        </w:tc>
        <w:tc>
          <w:tcPr>
            <w:tcW w:w="3516" w:type="dxa"/>
            <w:shd w:val="clear" w:color="auto" w:fill="auto"/>
            <w:vAlign w:val="center"/>
          </w:tcPr>
          <w:p w14:paraId="3F3845FF">
            <w:pPr>
              <w:spacing w:line="360" w:lineRule="auto"/>
              <w:rPr>
                <w:color w:val="000000"/>
                <w:sz w:val="18"/>
                <w:szCs w:val="18"/>
              </w:rPr>
            </w:pPr>
            <w:r>
              <w:rPr>
                <w:rFonts w:hint="eastAsia"/>
                <w:color w:val="000000"/>
                <w:sz w:val="18"/>
                <w:szCs w:val="18"/>
              </w:rPr>
              <w:t>中国史学名著研究</w:t>
            </w:r>
          </w:p>
        </w:tc>
        <w:tc>
          <w:tcPr>
            <w:tcW w:w="1081" w:type="dxa"/>
            <w:shd w:val="clear" w:color="auto" w:fill="auto"/>
            <w:vAlign w:val="center"/>
          </w:tcPr>
          <w:p w14:paraId="75F5A459">
            <w:pPr>
              <w:spacing w:line="360" w:lineRule="auto"/>
              <w:jc w:val="center"/>
              <w:rPr>
                <w:i/>
                <w:color w:val="FF0000"/>
                <w:sz w:val="18"/>
                <w:szCs w:val="18"/>
              </w:rPr>
            </w:pPr>
            <w:r>
              <w:rPr>
                <w:color w:val="000000" w:themeColor="text1"/>
                <w:sz w:val="18"/>
                <w:szCs w:val="18"/>
                <w14:textFill>
                  <w14:solidFill>
                    <w14:schemeClr w14:val="tx1"/>
                  </w14:solidFill>
                </w14:textFill>
              </w:rPr>
              <w:t>XS1903220</w:t>
            </w:r>
          </w:p>
        </w:tc>
        <w:tc>
          <w:tcPr>
            <w:tcW w:w="709" w:type="dxa"/>
            <w:vAlign w:val="center"/>
          </w:tcPr>
          <w:p w14:paraId="72DDF12C">
            <w:pPr>
              <w:spacing w:line="360" w:lineRule="auto"/>
              <w:jc w:val="center"/>
              <w:rPr>
                <w:iCs/>
                <w:sz w:val="18"/>
                <w:szCs w:val="18"/>
              </w:rPr>
            </w:pPr>
            <w:r>
              <w:rPr>
                <w:rFonts w:hint="eastAsia"/>
                <w:iCs/>
                <w:sz w:val="18"/>
                <w:szCs w:val="18"/>
              </w:rPr>
              <w:t>2</w:t>
            </w:r>
          </w:p>
        </w:tc>
        <w:tc>
          <w:tcPr>
            <w:tcW w:w="709" w:type="dxa"/>
            <w:vAlign w:val="center"/>
          </w:tcPr>
          <w:p w14:paraId="4867DFA9">
            <w:pPr>
              <w:spacing w:line="360" w:lineRule="auto"/>
              <w:jc w:val="center"/>
              <w:rPr>
                <w:i/>
                <w:color w:val="FF0000"/>
                <w:sz w:val="18"/>
                <w:szCs w:val="18"/>
              </w:rPr>
            </w:pPr>
            <w:r>
              <w:rPr>
                <w:color w:val="000000" w:themeColor="text1"/>
                <w:sz w:val="18"/>
                <w:szCs w:val="18"/>
                <w14:textFill>
                  <w14:solidFill>
                    <w14:schemeClr w14:val="tx1"/>
                  </w14:solidFill>
                </w14:textFill>
              </w:rPr>
              <w:t>2</w:t>
            </w:r>
          </w:p>
        </w:tc>
        <w:tc>
          <w:tcPr>
            <w:tcW w:w="1045" w:type="dxa"/>
            <w:vMerge w:val="continue"/>
            <w:vAlign w:val="center"/>
          </w:tcPr>
          <w:p w14:paraId="3F016C34">
            <w:pPr>
              <w:spacing w:line="360" w:lineRule="auto"/>
              <w:jc w:val="center"/>
              <w:rPr>
                <w:color w:val="000000" w:themeColor="text1"/>
                <w:sz w:val="18"/>
                <w:szCs w:val="18"/>
                <w14:textFill>
                  <w14:solidFill>
                    <w14:schemeClr w14:val="tx1"/>
                  </w14:solidFill>
                </w14:textFill>
              </w:rPr>
            </w:pPr>
          </w:p>
        </w:tc>
      </w:tr>
      <w:tr w14:paraId="68B34A6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4" w:hRule="atLeast"/>
          <w:jc w:val="center"/>
        </w:trPr>
        <w:tc>
          <w:tcPr>
            <w:tcW w:w="571" w:type="dxa"/>
            <w:vMerge w:val="continue"/>
          </w:tcPr>
          <w:p w14:paraId="5D9B763B">
            <w:pPr>
              <w:spacing w:line="360" w:lineRule="auto"/>
              <w:rPr>
                <w:b/>
                <w:color w:val="000000" w:themeColor="text1"/>
                <w:sz w:val="18"/>
                <w:szCs w:val="18"/>
                <w14:textFill>
                  <w14:solidFill>
                    <w14:schemeClr w14:val="tx1"/>
                  </w14:solidFill>
                </w14:textFill>
              </w:rPr>
            </w:pPr>
          </w:p>
        </w:tc>
        <w:tc>
          <w:tcPr>
            <w:tcW w:w="1226" w:type="dxa"/>
            <w:vMerge w:val="continue"/>
          </w:tcPr>
          <w:p w14:paraId="1E249542">
            <w:pPr>
              <w:spacing w:line="360" w:lineRule="auto"/>
              <w:jc w:val="center"/>
              <w:rPr>
                <w:b/>
                <w:color w:val="000000" w:themeColor="text1"/>
                <w:sz w:val="18"/>
                <w:szCs w:val="18"/>
                <w14:textFill>
                  <w14:solidFill>
                    <w14:schemeClr w14:val="tx1"/>
                  </w14:solidFill>
                </w14:textFill>
              </w:rPr>
            </w:pPr>
          </w:p>
        </w:tc>
        <w:tc>
          <w:tcPr>
            <w:tcW w:w="3516" w:type="dxa"/>
            <w:shd w:val="clear" w:color="auto" w:fill="auto"/>
            <w:vAlign w:val="center"/>
          </w:tcPr>
          <w:p w14:paraId="766D11EC">
            <w:pPr>
              <w:spacing w:line="360" w:lineRule="auto"/>
              <w:rPr>
                <w:color w:val="000000"/>
                <w:sz w:val="18"/>
                <w:szCs w:val="18"/>
              </w:rPr>
            </w:pPr>
            <w:r>
              <w:rPr>
                <w:rFonts w:hint="eastAsia"/>
                <w:color w:val="000000"/>
                <w:sz w:val="18"/>
                <w:szCs w:val="18"/>
              </w:rPr>
              <w:t>中国马克思主义史学发展史</w:t>
            </w:r>
          </w:p>
        </w:tc>
        <w:tc>
          <w:tcPr>
            <w:tcW w:w="1081" w:type="dxa"/>
            <w:shd w:val="clear" w:color="auto" w:fill="auto"/>
            <w:vAlign w:val="center"/>
          </w:tcPr>
          <w:p w14:paraId="2C59C9B0">
            <w:pPr>
              <w:spacing w:line="360" w:lineRule="auto"/>
              <w:jc w:val="center"/>
              <w:rPr>
                <w:color w:val="FF0000"/>
                <w:sz w:val="18"/>
                <w:szCs w:val="18"/>
              </w:rPr>
            </w:pPr>
            <w:r>
              <w:rPr>
                <w:color w:val="000000" w:themeColor="text1"/>
                <w:sz w:val="18"/>
                <w:szCs w:val="18"/>
                <w14:textFill>
                  <w14:solidFill>
                    <w14:schemeClr w14:val="tx1"/>
                  </w14:solidFill>
                </w14:textFill>
              </w:rPr>
              <w:t>XS1903222</w:t>
            </w:r>
          </w:p>
        </w:tc>
        <w:tc>
          <w:tcPr>
            <w:tcW w:w="709" w:type="dxa"/>
            <w:vAlign w:val="center"/>
          </w:tcPr>
          <w:p w14:paraId="1BF44E1D">
            <w:pPr>
              <w:spacing w:line="360" w:lineRule="auto"/>
              <w:jc w:val="center"/>
              <w:rPr>
                <w:iCs/>
                <w:sz w:val="18"/>
                <w:szCs w:val="18"/>
              </w:rPr>
            </w:pPr>
            <w:r>
              <w:rPr>
                <w:rFonts w:hint="eastAsia"/>
                <w:iCs/>
                <w:sz w:val="18"/>
                <w:szCs w:val="18"/>
              </w:rPr>
              <w:t>2</w:t>
            </w:r>
          </w:p>
        </w:tc>
        <w:tc>
          <w:tcPr>
            <w:tcW w:w="709" w:type="dxa"/>
            <w:vAlign w:val="center"/>
          </w:tcPr>
          <w:p w14:paraId="398DF59A">
            <w:pPr>
              <w:spacing w:line="360" w:lineRule="auto"/>
              <w:jc w:val="center"/>
              <w:rPr>
                <w:i/>
                <w:color w:val="FF0000"/>
                <w:sz w:val="18"/>
                <w:szCs w:val="18"/>
              </w:rPr>
            </w:pPr>
            <w:r>
              <w:rPr>
                <w:color w:val="000000" w:themeColor="text1"/>
                <w:sz w:val="18"/>
                <w:szCs w:val="18"/>
                <w14:textFill>
                  <w14:solidFill>
                    <w14:schemeClr w14:val="tx1"/>
                  </w14:solidFill>
                </w14:textFill>
              </w:rPr>
              <w:t>2</w:t>
            </w:r>
          </w:p>
        </w:tc>
        <w:tc>
          <w:tcPr>
            <w:tcW w:w="1045" w:type="dxa"/>
            <w:vMerge w:val="continue"/>
            <w:vAlign w:val="center"/>
          </w:tcPr>
          <w:p w14:paraId="1D0937E6">
            <w:pPr>
              <w:spacing w:line="360" w:lineRule="auto"/>
              <w:jc w:val="center"/>
              <w:rPr>
                <w:color w:val="000000" w:themeColor="text1"/>
                <w:sz w:val="18"/>
                <w:szCs w:val="18"/>
                <w14:textFill>
                  <w14:solidFill>
                    <w14:schemeClr w14:val="tx1"/>
                  </w14:solidFill>
                </w14:textFill>
              </w:rPr>
            </w:pPr>
          </w:p>
        </w:tc>
      </w:tr>
      <w:tr w14:paraId="68222BE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4" w:hRule="atLeast"/>
          <w:jc w:val="center"/>
        </w:trPr>
        <w:tc>
          <w:tcPr>
            <w:tcW w:w="571" w:type="dxa"/>
            <w:vMerge w:val="continue"/>
          </w:tcPr>
          <w:p w14:paraId="22517787">
            <w:pPr>
              <w:spacing w:line="360" w:lineRule="auto"/>
              <w:rPr>
                <w:b/>
                <w:color w:val="000000" w:themeColor="text1"/>
                <w:sz w:val="18"/>
                <w:szCs w:val="18"/>
                <w14:textFill>
                  <w14:solidFill>
                    <w14:schemeClr w14:val="tx1"/>
                  </w14:solidFill>
                </w14:textFill>
              </w:rPr>
            </w:pPr>
          </w:p>
        </w:tc>
        <w:tc>
          <w:tcPr>
            <w:tcW w:w="1226" w:type="dxa"/>
            <w:vMerge w:val="continue"/>
          </w:tcPr>
          <w:p w14:paraId="36124C97">
            <w:pPr>
              <w:spacing w:line="360" w:lineRule="auto"/>
              <w:jc w:val="center"/>
              <w:rPr>
                <w:b/>
                <w:color w:val="000000" w:themeColor="text1"/>
                <w:sz w:val="18"/>
                <w:szCs w:val="18"/>
                <w14:textFill>
                  <w14:solidFill>
                    <w14:schemeClr w14:val="tx1"/>
                  </w14:solidFill>
                </w14:textFill>
              </w:rPr>
            </w:pPr>
          </w:p>
        </w:tc>
        <w:tc>
          <w:tcPr>
            <w:tcW w:w="3516" w:type="dxa"/>
            <w:shd w:val="clear" w:color="auto" w:fill="auto"/>
            <w:vAlign w:val="center"/>
          </w:tcPr>
          <w:p w14:paraId="26B1354C">
            <w:pPr>
              <w:spacing w:line="360" w:lineRule="auto"/>
              <w:rPr>
                <w:color w:val="000000"/>
                <w:sz w:val="18"/>
                <w:szCs w:val="18"/>
              </w:rPr>
            </w:pPr>
            <w:r>
              <w:rPr>
                <w:rFonts w:hint="eastAsia"/>
                <w:sz w:val="18"/>
                <w:szCs w:val="18"/>
              </w:rPr>
              <w:t>西方史学史</w:t>
            </w:r>
          </w:p>
        </w:tc>
        <w:tc>
          <w:tcPr>
            <w:tcW w:w="1081" w:type="dxa"/>
            <w:shd w:val="clear" w:color="auto" w:fill="auto"/>
            <w:vAlign w:val="center"/>
          </w:tcPr>
          <w:p w14:paraId="1A63AA84">
            <w:pPr>
              <w:spacing w:line="360" w:lineRule="auto"/>
              <w:jc w:val="center"/>
              <w:rPr>
                <w:i/>
                <w:color w:val="FF0000"/>
                <w:sz w:val="18"/>
                <w:szCs w:val="18"/>
              </w:rPr>
            </w:pPr>
            <w:r>
              <w:rPr>
                <w:color w:val="000000" w:themeColor="text1"/>
                <w:sz w:val="18"/>
                <w:szCs w:val="18"/>
                <w14:textFill>
                  <w14:solidFill>
                    <w14:schemeClr w14:val="tx1"/>
                  </w14:solidFill>
                </w14:textFill>
              </w:rPr>
              <w:t>XS1903223</w:t>
            </w:r>
          </w:p>
        </w:tc>
        <w:tc>
          <w:tcPr>
            <w:tcW w:w="709" w:type="dxa"/>
          </w:tcPr>
          <w:p w14:paraId="6985228C">
            <w:pPr>
              <w:spacing w:line="360" w:lineRule="auto"/>
              <w:jc w:val="center"/>
              <w:rPr>
                <w:iCs/>
                <w:sz w:val="18"/>
                <w:szCs w:val="18"/>
              </w:rPr>
            </w:pPr>
            <w:r>
              <w:rPr>
                <w:rFonts w:hint="eastAsia"/>
                <w:iCs/>
                <w:sz w:val="18"/>
                <w:szCs w:val="18"/>
              </w:rPr>
              <w:t>2</w:t>
            </w:r>
          </w:p>
        </w:tc>
        <w:tc>
          <w:tcPr>
            <w:tcW w:w="709" w:type="dxa"/>
            <w:vAlign w:val="center"/>
          </w:tcPr>
          <w:p w14:paraId="63C3BEF2">
            <w:pPr>
              <w:spacing w:line="360" w:lineRule="auto"/>
              <w:jc w:val="center"/>
              <w:rPr>
                <w:i/>
                <w:color w:val="FF0000"/>
                <w:sz w:val="18"/>
                <w:szCs w:val="18"/>
              </w:rPr>
            </w:pPr>
            <w:r>
              <w:rPr>
                <w:color w:val="000000" w:themeColor="text1"/>
                <w:sz w:val="18"/>
                <w:szCs w:val="18"/>
                <w14:textFill>
                  <w14:solidFill>
                    <w14:schemeClr w14:val="tx1"/>
                  </w14:solidFill>
                </w14:textFill>
              </w:rPr>
              <w:t>2</w:t>
            </w:r>
          </w:p>
        </w:tc>
        <w:tc>
          <w:tcPr>
            <w:tcW w:w="1045" w:type="dxa"/>
            <w:vMerge w:val="continue"/>
            <w:vAlign w:val="center"/>
          </w:tcPr>
          <w:p w14:paraId="216158BA">
            <w:pPr>
              <w:spacing w:line="360" w:lineRule="auto"/>
              <w:jc w:val="center"/>
              <w:rPr>
                <w:color w:val="000000" w:themeColor="text1"/>
                <w:sz w:val="18"/>
                <w:szCs w:val="18"/>
                <w14:textFill>
                  <w14:solidFill>
                    <w14:schemeClr w14:val="tx1"/>
                  </w14:solidFill>
                </w14:textFill>
              </w:rPr>
            </w:pPr>
          </w:p>
        </w:tc>
      </w:tr>
      <w:tr w14:paraId="385CDA6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vAlign w:val="center"/>
          </w:tcPr>
          <w:p w14:paraId="4BB47220">
            <w:pPr>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必修环节</w:t>
            </w:r>
          </w:p>
          <w:p w14:paraId="648B0559">
            <w:pPr>
              <w:spacing w:line="360" w:lineRule="auto"/>
              <w:jc w:val="center"/>
              <w:rPr>
                <w:b/>
                <w:color w:val="000000" w:themeColor="text1"/>
                <w:sz w:val="18"/>
                <w:szCs w:val="18"/>
                <w14:textFill>
                  <w14:solidFill>
                    <w14:schemeClr w14:val="tx1"/>
                  </w14:solidFill>
                </w14:textFill>
              </w:rPr>
            </w:pPr>
          </w:p>
        </w:tc>
        <w:tc>
          <w:tcPr>
            <w:tcW w:w="1226" w:type="dxa"/>
            <w:vMerge w:val="restart"/>
            <w:vAlign w:val="center"/>
          </w:tcPr>
          <w:p w14:paraId="44590B5D">
            <w:pPr>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素质拓展</w:t>
            </w:r>
          </w:p>
          <w:p w14:paraId="6F939718">
            <w:pPr>
              <w:pStyle w:val="2"/>
              <w:ind w:firstLine="181" w:firstLineChars="100"/>
            </w:pPr>
            <w:r>
              <w:rPr>
                <w:rFonts w:hint="eastAsia"/>
                <w:b/>
                <w:color w:val="000000" w:themeColor="text1"/>
                <w:sz w:val="18"/>
                <w:szCs w:val="18"/>
                <w14:textFill>
                  <w14:solidFill>
                    <w14:schemeClr w14:val="tx1"/>
                  </w14:solidFill>
                </w14:textFill>
              </w:rPr>
              <w:t>（2学分）</w:t>
            </w:r>
          </w:p>
        </w:tc>
        <w:tc>
          <w:tcPr>
            <w:tcW w:w="3516" w:type="dxa"/>
            <w:shd w:val="clear" w:color="auto" w:fill="auto"/>
            <w:vAlign w:val="center"/>
          </w:tcPr>
          <w:p w14:paraId="2715B512">
            <w:pPr>
              <w:tabs>
                <w:tab w:val="center" w:pos="1650"/>
              </w:tabs>
              <w:spacing w:line="360" w:lineRule="auto"/>
              <w:rPr>
                <w:color w:val="000000"/>
                <w:sz w:val="18"/>
                <w:szCs w:val="18"/>
              </w:rPr>
            </w:pPr>
            <w:r>
              <w:rPr>
                <w:color w:val="000000"/>
                <w:sz w:val="18"/>
                <w:szCs w:val="18"/>
              </w:rPr>
              <w:t>入学教育</w:t>
            </w:r>
          </w:p>
        </w:tc>
        <w:tc>
          <w:tcPr>
            <w:tcW w:w="1081" w:type="dxa"/>
            <w:vAlign w:val="center"/>
          </w:tcPr>
          <w:p w14:paraId="06D0358E">
            <w:pPr>
              <w:spacing w:line="360" w:lineRule="auto"/>
              <w:jc w:val="center"/>
              <w:rPr>
                <w:color w:val="000000"/>
                <w:sz w:val="18"/>
                <w:szCs w:val="18"/>
              </w:rPr>
            </w:pPr>
          </w:p>
        </w:tc>
        <w:tc>
          <w:tcPr>
            <w:tcW w:w="709" w:type="dxa"/>
            <w:vAlign w:val="center"/>
          </w:tcPr>
          <w:p w14:paraId="7CA33D08">
            <w:pPr>
              <w:spacing w:line="360" w:lineRule="auto"/>
              <w:jc w:val="center"/>
              <w:rPr>
                <w:color w:val="000000"/>
                <w:sz w:val="18"/>
                <w:szCs w:val="18"/>
              </w:rPr>
            </w:pPr>
            <w:r>
              <w:rPr>
                <w:rFonts w:hint="eastAsia"/>
                <w:color w:val="000000"/>
                <w:sz w:val="18"/>
                <w:szCs w:val="18"/>
              </w:rPr>
              <w:t>0</w:t>
            </w:r>
          </w:p>
        </w:tc>
        <w:tc>
          <w:tcPr>
            <w:tcW w:w="709" w:type="dxa"/>
            <w:vAlign w:val="center"/>
          </w:tcPr>
          <w:p w14:paraId="1D6961CE">
            <w:pPr>
              <w:spacing w:line="360" w:lineRule="auto"/>
              <w:jc w:val="center"/>
              <w:rPr>
                <w:color w:val="000000"/>
                <w:sz w:val="18"/>
                <w:szCs w:val="18"/>
              </w:rPr>
            </w:pPr>
            <w:r>
              <w:rPr>
                <w:color w:val="000000"/>
                <w:sz w:val="18"/>
                <w:szCs w:val="18"/>
              </w:rPr>
              <w:t>1</w:t>
            </w:r>
          </w:p>
        </w:tc>
        <w:tc>
          <w:tcPr>
            <w:tcW w:w="1045" w:type="dxa"/>
            <w:vMerge w:val="restart"/>
            <w:vAlign w:val="center"/>
          </w:tcPr>
          <w:p w14:paraId="6ED9E616">
            <w:pPr>
              <w:spacing w:line="360" w:lineRule="auto"/>
              <w:jc w:val="center"/>
              <w:rPr>
                <w:i/>
                <w:color w:val="FF0000"/>
                <w:sz w:val="18"/>
                <w:szCs w:val="18"/>
              </w:rPr>
            </w:pPr>
          </w:p>
        </w:tc>
      </w:tr>
      <w:tr w14:paraId="0122391D">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571" w:type="dxa"/>
            <w:vMerge w:val="continue"/>
            <w:vAlign w:val="center"/>
          </w:tcPr>
          <w:p w14:paraId="5D342199">
            <w:pPr>
              <w:spacing w:line="360" w:lineRule="auto"/>
              <w:jc w:val="center"/>
              <w:rPr>
                <w:b/>
                <w:color w:val="000000" w:themeColor="text1"/>
                <w:sz w:val="18"/>
                <w:szCs w:val="18"/>
                <w14:textFill>
                  <w14:solidFill>
                    <w14:schemeClr w14:val="tx1"/>
                  </w14:solidFill>
                </w14:textFill>
              </w:rPr>
            </w:pPr>
          </w:p>
        </w:tc>
        <w:tc>
          <w:tcPr>
            <w:tcW w:w="1226" w:type="dxa"/>
            <w:vMerge w:val="continue"/>
            <w:vAlign w:val="center"/>
          </w:tcPr>
          <w:p w14:paraId="33F9C58C">
            <w:pPr>
              <w:spacing w:line="360" w:lineRule="auto"/>
              <w:jc w:val="center"/>
              <w:rPr>
                <w:b/>
                <w:color w:val="000000" w:themeColor="text1"/>
                <w:sz w:val="18"/>
                <w:szCs w:val="18"/>
                <w14:textFill>
                  <w14:solidFill>
                    <w14:schemeClr w14:val="tx1"/>
                  </w14:solidFill>
                </w14:textFill>
              </w:rPr>
            </w:pPr>
          </w:p>
        </w:tc>
        <w:tc>
          <w:tcPr>
            <w:tcW w:w="3516" w:type="dxa"/>
            <w:vAlign w:val="center"/>
          </w:tcPr>
          <w:p w14:paraId="101C52F8">
            <w:pPr>
              <w:spacing w:line="360" w:lineRule="auto"/>
              <w:rPr>
                <w:color w:val="000000"/>
                <w:sz w:val="18"/>
                <w:szCs w:val="18"/>
              </w:rPr>
            </w:pPr>
            <w:r>
              <w:rPr>
                <w:color w:val="000000"/>
                <w:sz w:val="18"/>
                <w:szCs w:val="18"/>
              </w:rPr>
              <w:t>学术活动</w:t>
            </w:r>
          </w:p>
        </w:tc>
        <w:tc>
          <w:tcPr>
            <w:tcW w:w="1081" w:type="dxa"/>
            <w:vAlign w:val="center"/>
          </w:tcPr>
          <w:p w14:paraId="29A7B608">
            <w:pPr>
              <w:spacing w:line="360" w:lineRule="auto"/>
              <w:jc w:val="center"/>
              <w:rPr>
                <w:color w:val="000000"/>
                <w:sz w:val="18"/>
                <w:szCs w:val="18"/>
              </w:rPr>
            </w:pPr>
          </w:p>
        </w:tc>
        <w:tc>
          <w:tcPr>
            <w:tcW w:w="709" w:type="dxa"/>
            <w:vAlign w:val="center"/>
          </w:tcPr>
          <w:p w14:paraId="21FF24C1">
            <w:pPr>
              <w:spacing w:line="360" w:lineRule="auto"/>
              <w:jc w:val="center"/>
              <w:rPr>
                <w:color w:val="000000"/>
                <w:sz w:val="18"/>
                <w:szCs w:val="18"/>
              </w:rPr>
            </w:pPr>
            <w:r>
              <w:rPr>
                <w:color w:val="000000"/>
                <w:sz w:val="18"/>
                <w:szCs w:val="18"/>
              </w:rPr>
              <w:t>1</w:t>
            </w:r>
          </w:p>
        </w:tc>
        <w:tc>
          <w:tcPr>
            <w:tcW w:w="709" w:type="dxa"/>
            <w:vAlign w:val="center"/>
          </w:tcPr>
          <w:p w14:paraId="5431BD67">
            <w:pPr>
              <w:spacing w:line="360" w:lineRule="auto"/>
              <w:jc w:val="center"/>
              <w:rPr>
                <w:color w:val="000000"/>
                <w:sz w:val="18"/>
                <w:szCs w:val="18"/>
              </w:rPr>
            </w:pPr>
          </w:p>
        </w:tc>
        <w:tc>
          <w:tcPr>
            <w:tcW w:w="1045" w:type="dxa"/>
            <w:vMerge w:val="continue"/>
            <w:vAlign w:val="center"/>
          </w:tcPr>
          <w:p w14:paraId="133C0897">
            <w:pPr>
              <w:spacing w:line="360" w:lineRule="auto"/>
              <w:jc w:val="center"/>
              <w:rPr>
                <w:color w:val="000000" w:themeColor="text1"/>
                <w:sz w:val="18"/>
                <w:szCs w:val="18"/>
                <w14:textFill>
                  <w14:solidFill>
                    <w14:schemeClr w14:val="tx1"/>
                  </w14:solidFill>
                </w14:textFill>
              </w:rPr>
            </w:pPr>
          </w:p>
        </w:tc>
      </w:tr>
      <w:tr w14:paraId="5C17CA9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688" w:hRule="atLeast"/>
          <w:jc w:val="center"/>
        </w:trPr>
        <w:tc>
          <w:tcPr>
            <w:tcW w:w="571" w:type="dxa"/>
            <w:vMerge w:val="continue"/>
            <w:vAlign w:val="center"/>
          </w:tcPr>
          <w:p w14:paraId="18F5C01D">
            <w:pPr>
              <w:spacing w:line="360" w:lineRule="auto"/>
              <w:jc w:val="center"/>
              <w:rPr>
                <w:b/>
                <w:color w:val="000000" w:themeColor="text1"/>
                <w:sz w:val="18"/>
                <w:szCs w:val="18"/>
                <w14:textFill>
                  <w14:solidFill>
                    <w14:schemeClr w14:val="tx1"/>
                  </w14:solidFill>
                </w14:textFill>
              </w:rPr>
            </w:pPr>
          </w:p>
        </w:tc>
        <w:tc>
          <w:tcPr>
            <w:tcW w:w="1226" w:type="dxa"/>
            <w:vMerge w:val="continue"/>
            <w:vAlign w:val="center"/>
          </w:tcPr>
          <w:p w14:paraId="26D7E351">
            <w:pPr>
              <w:spacing w:line="360" w:lineRule="auto"/>
              <w:jc w:val="center"/>
              <w:rPr>
                <w:b/>
                <w:color w:val="000000" w:themeColor="text1"/>
                <w:sz w:val="18"/>
                <w:szCs w:val="18"/>
                <w14:textFill>
                  <w14:solidFill>
                    <w14:schemeClr w14:val="tx1"/>
                  </w14:solidFill>
                </w14:textFill>
              </w:rPr>
            </w:pPr>
          </w:p>
        </w:tc>
        <w:tc>
          <w:tcPr>
            <w:tcW w:w="3516" w:type="dxa"/>
            <w:vAlign w:val="center"/>
          </w:tcPr>
          <w:p w14:paraId="4338640B">
            <w:pPr>
              <w:adjustRightInd w:val="0"/>
              <w:snapToGrid w:val="0"/>
              <w:spacing w:line="360" w:lineRule="auto"/>
              <w:rPr>
                <w:color w:val="000000"/>
                <w:sz w:val="18"/>
                <w:szCs w:val="18"/>
              </w:rPr>
            </w:pPr>
            <w:r>
              <w:rPr>
                <w:color w:val="000000"/>
                <w:sz w:val="18"/>
                <w:szCs w:val="18"/>
              </w:rPr>
              <w:t>竞赛活动</w:t>
            </w:r>
            <w:r>
              <w:rPr>
                <w:rFonts w:hint="eastAsia"/>
                <w:color w:val="000000"/>
                <w:sz w:val="18"/>
                <w:szCs w:val="18"/>
              </w:rPr>
              <w:t>（参加本院及校内外研究生论坛、学术年会、论文竞赛等活动且提交论文）</w:t>
            </w:r>
          </w:p>
        </w:tc>
        <w:tc>
          <w:tcPr>
            <w:tcW w:w="1081" w:type="dxa"/>
            <w:vAlign w:val="center"/>
          </w:tcPr>
          <w:p w14:paraId="6562D25F">
            <w:pPr>
              <w:spacing w:line="360" w:lineRule="auto"/>
              <w:jc w:val="center"/>
              <w:rPr>
                <w:color w:val="000000"/>
                <w:sz w:val="18"/>
                <w:szCs w:val="18"/>
              </w:rPr>
            </w:pPr>
          </w:p>
        </w:tc>
        <w:tc>
          <w:tcPr>
            <w:tcW w:w="709" w:type="dxa"/>
            <w:vAlign w:val="center"/>
          </w:tcPr>
          <w:p w14:paraId="1B2D7CE7">
            <w:pPr>
              <w:spacing w:line="360" w:lineRule="auto"/>
              <w:jc w:val="center"/>
              <w:rPr>
                <w:color w:val="000000"/>
                <w:sz w:val="18"/>
                <w:szCs w:val="18"/>
              </w:rPr>
            </w:pPr>
            <w:r>
              <w:rPr>
                <w:rFonts w:hint="eastAsia"/>
                <w:color w:val="000000"/>
                <w:sz w:val="18"/>
                <w:szCs w:val="18"/>
              </w:rPr>
              <w:t>1</w:t>
            </w:r>
          </w:p>
        </w:tc>
        <w:tc>
          <w:tcPr>
            <w:tcW w:w="709" w:type="dxa"/>
            <w:vAlign w:val="center"/>
          </w:tcPr>
          <w:p w14:paraId="3B1D5D18">
            <w:pPr>
              <w:spacing w:line="360" w:lineRule="auto"/>
              <w:jc w:val="center"/>
              <w:rPr>
                <w:color w:val="000000"/>
                <w:sz w:val="18"/>
                <w:szCs w:val="18"/>
              </w:rPr>
            </w:pPr>
          </w:p>
        </w:tc>
        <w:tc>
          <w:tcPr>
            <w:tcW w:w="1045" w:type="dxa"/>
            <w:vMerge w:val="continue"/>
            <w:vAlign w:val="center"/>
          </w:tcPr>
          <w:p w14:paraId="70893DE1">
            <w:pPr>
              <w:spacing w:line="360" w:lineRule="auto"/>
              <w:jc w:val="center"/>
              <w:rPr>
                <w:color w:val="000000" w:themeColor="text1"/>
                <w:sz w:val="18"/>
                <w:szCs w:val="18"/>
                <w14:textFill>
                  <w14:solidFill>
                    <w14:schemeClr w14:val="tx1"/>
                  </w14:solidFill>
                </w14:textFill>
              </w:rPr>
            </w:pPr>
          </w:p>
        </w:tc>
      </w:tr>
      <w:tr w14:paraId="6C9ECF4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7C4B5D7">
            <w:pPr>
              <w:spacing w:line="360" w:lineRule="auto"/>
              <w:rPr>
                <w:b/>
                <w:color w:val="000000" w:themeColor="text1"/>
                <w:sz w:val="18"/>
                <w:szCs w:val="18"/>
                <w14:textFill>
                  <w14:solidFill>
                    <w14:schemeClr w14:val="tx1"/>
                  </w14:solidFill>
                </w14:textFill>
              </w:rPr>
            </w:pPr>
          </w:p>
        </w:tc>
        <w:tc>
          <w:tcPr>
            <w:tcW w:w="1226" w:type="dxa"/>
            <w:vMerge w:val="restart"/>
            <w:vAlign w:val="center"/>
          </w:tcPr>
          <w:p w14:paraId="7080B38C">
            <w:pPr>
              <w:spacing w:line="360" w:lineRule="auto"/>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学术训练</w:t>
            </w:r>
          </w:p>
        </w:tc>
        <w:tc>
          <w:tcPr>
            <w:tcW w:w="3516" w:type="dxa"/>
            <w:vAlign w:val="center"/>
          </w:tcPr>
          <w:p w14:paraId="1474F5C7">
            <w:pPr>
              <w:spacing w:line="360" w:lineRule="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中期筛选</w:t>
            </w:r>
          </w:p>
        </w:tc>
        <w:tc>
          <w:tcPr>
            <w:tcW w:w="1081" w:type="dxa"/>
            <w:vAlign w:val="center"/>
          </w:tcPr>
          <w:p w14:paraId="660586C4">
            <w:pPr>
              <w:spacing w:line="360" w:lineRule="auto"/>
              <w:jc w:val="center"/>
              <w:rPr>
                <w:color w:val="000000" w:themeColor="text1"/>
                <w:sz w:val="18"/>
                <w:szCs w:val="18"/>
                <w14:textFill>
                  <w14:solidFill>
                    <w14:schemeClr w14:val="tx1"/>
                  </w14:solidFill>
                </w14:textFill>
              </w:rPr>
            </w:pPr>
          </w:p>
        </w:tc>
        <w:tc>
          <w:tcPr>
            <w:tcW w:w="709" w:type="dxa"/>
            <w:vAlign w:val="center"/>
          </w:tcPr>
          <w:p w14:paraId="7D10053C">
            <w:pPr>
              <w:spacing w:line="360" w:lineRule="auto"/>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0</w:t>
            </w:r>
          </w:p>
        </w:tc>
        <w:tc>
          <w:tcPr>
            <w:tcW w:w="709" w:type="dxa"/>
            <w:shd w:val="clear" w:color="auto" w:fill="auto"/>
            <w:vAlign w:val="center"/>
          </w:tcPr>
          <w:p w14:paraId="6AA5CE8C">
            <w:pPr>
              <w:spacing w:line="360" w:lineRule="auto"/>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3</w:t>
            </w:r>
          </w:p>
        </w:tc>
        <w:tc>
          <w:tcPr>
            <w:tcW w:w="1045" w:type="dxa"/>
            <w:vMerge w:val="restart"/>
            <w:vAlign w:val="center"/>
          </w:tcPr>
          <w:p w14:paraId="75F1C585">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过程管理</w:t>
            </w:r>
          </w:p>
          <w:p w14:paraId="57337866">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无学分</w:t>
            </w:r>
          </w:p>
        </w:tc>
      </w:tr>
      <w:tr w14:paraId="390A2FC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38291B0">
            <w:pPr>
              <w:spacing w:line="360" w:lineRule="auto"/>
              <w:rPr>
                <w:b/>
                <w:color w:val="000000" w:themeColor="text1"/>
                <w:sz w:val="18"/>
                <w:szCs w:val="18"/>
                <w14:textFill>
                  <w14:solidFill>
                    <w14:schemeClr w14:val="tx1"/>
                  </w14:solidFill>
                </w14:textFill>
              </w:rPr>
            </w:pPr>
          </w:p>
        </w:tc>
        <w:tc>
          <w:tcPr>
            <w:tcW w:w="1226" w:type="dxa"/>
            <w:vMerge w:val="continue"/>
            <w:vAlign w:val="center"/>
          </w:tcPr>
          <w:p w14:paraId="631BDE15">
            <w:pPr>
              <w:spacing w:line="360" w:lineRule="auto"/>
              <w:jc w:val="center"/>
              <w:rPr>
                <w:b/>
                <w:color w:val="000000" w:themeColor="text1"/>
                <w:sz w:val="18"/>
                <w:szCs w:val="18"/>
                <w14:textFill>
                  <w14:solidFill>
                    <w14:schemeClr w14:val="tx1"/>
                  </w14:solidFill>
                </w14:textFill>
              </w:rPr>
            </w:pPr>
          </w:p>
        </w:tc>
        <w:tc>
          <w:tcPr>
            <w:tcW w:w="3516" w:type="dxa"/>
            <w:vAlign w:val="center"/>
          </w:tcPr>
          <w:p w14:paraId="3F23C0F8">
            <w:pPr>
              <w:spacing w:line="360" w:lineRule="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论文开题</w:t>
            </w:r>
          </w:p>
        </w:tc>
        <w:tc>
          <w:tcPr>
            <w:tcW w:w="1081" w:type="dxa"/>
            <w:vAlign w:val="center"/>
          </w:tcPr>
          <w:p w14:paraId="59AEAECD">
            <w:pPr>
              <w:spacing w:line="360" w:lineRule="auto"/>
              <w:jc w:val="center"/>
              <w:rPr>
                <w:color w:val="000000" w:themeColor="text1"/>
                <w:sz w:val="18"/>
                <w:szCs w:val="18"/>
                <w14:textFill>
                  <w14:solidFill>
                    <w14:schemeClr w14:val="tx1"/>
                  </w14:solidFill>
                </w14:textFill>
              </w:rPr>
            </w:pPr>
          </w:p>
        </w:tc>
        <w:tc>
          <w:tcPr>
            <w:tcW w:w="709" w:type="dxa"/>
            <w:vAlign w:val="center"/>
          </w:tcPr>
          <w:p w14:paraId="1D74DDF8">
            <w:pPr>
              <w:spacing w:line="360" w:lineRule="auto"/>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0</w:t>
            </w:r>
          </w:p>
        </w:tc>
        <w:tc>
          <w:tcPr>
            <w:tcW w:w="709" w:type="dxa"/>
            <w:shd w:val="clear" w:color="auto" w:fill="auto"/>
            <w:vAlign w:val="center"/>
          </w:tcPr>
          <w:p w14:paraId="2774315C">
            <w:pPr>
              <w:spacing w:line="360" w:lineRule="auto"/>
              <w:jc w:val="center"/>
              <w:rPr>
                <w:color w:val="000000" w:themeColor="text1"/>
                <w:sz w:val="18"/>
                <w:szCs w:val="18"/>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3-</w:t>
            </w:r>
            <w:r>
              <w:rPr>
                <w:rFonts w:hint="eastAsia"/>
                <w:color w:val="000000" w:themeColor="text1"/>
                <w:sz w:val="18"/>
                <w:szCs w:val="18"/>
                <w14:textFill>
                  <w14:solidFill>
                    <w14:schemeClr w14:val="tx1"/>
                  </w14:solidFill>
                </w14:textFill>
              </w:rPr>
              <w:t>4</w:t>
            </w:r>
          </w:p>
        </w:tc>
        <w:tc>
          <w:tcPr>
            <w:tcW w:w="1045" w:type="dxa"/>
            <w:vMerge w:val="continue"/>
            <w:vAlign w:val="center"/>
          </w:tcPr>
          <w:p w14:paraId="2F966E17">
            <w:pPr>
              <w:spacing w:line="360" w:lineRule="auto"/>
              <w:jc w:val="center"/>
              <w:rPr>
                <w:color w:val="000000" w:themeColor="text1"/>
                <w:sz w:val="18"/>
                <w:szCs w:val="18"/>
                <w14:textFill>
                  <w14:solidFill>
                    <w14:schemeClr w14:val="tx1"/>
                  </w14:solidFill>
                </w14:textFill>
              </w:rPr>
            </w:pPr>
          </w:p>
        </w:tc>
      </w:tr>
      <w:tr w14:paraId="20E83BE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6D729A6">
            <w:pPr>
              <w:spacing w:line="360" w:lineRule="auto"/>
              <w:rPr>
                <w:b/>
                <w:color w:val="000000" w:themeColor="text1"/>
                <w:sz w:val="18"/>
                <w:szCs w:val="18"/>
                <w14:textFill>
                  <w14:solidFill>
                    <w14:schemeClr w14:val="tx1"/>
                  </w14:solidFill>
                </w14:textFill>
              </w:rPr>
            </w:pPr>
          </w:p>
        </w:tc>
        <w:tc>
          <w:tcPr>
            <w:tcW w:w="1226" w:type="dxa"/>
            <w:vMerge w:val="continue"/>
            <w:vAlign w:val="center"/>
          </w:tcPr>
          <w:p w14:paraId="1765AF08">
            <w:pPr>
              <w:spacing w:line="360" w:lineRule="auto"/>
              <w:jc w:val="center"/>
              <w:rPr>
                <w:b/>
                <w:color w:val="000000" w:themeColor="text1"/>
                <w:sz w:val="18"/>
                <w:szCs w:val="18"/>
                <w14:textFill>
                  <w14:solidFill>
                    <w14:schemeClr w14:val="tx1"/>
                  </w14:solidFill>
                </w14:textFill>
              </w:rPr>
            </w:pPr>
          </w:p>
        </w:tc>
        <w:tc>
          <w:tcPr>
            <w:tcW w:w="3516" w:type="dxa"/>
            <w:vAlign w:val="center"/>
          </w:tcPr>
          <w:p w14:paraId="32F884B3">
            <w:pPr>
              <w:spacing w:line="360" w:lineRule="auto"/>
              <w:rPr>
                <w:sz w:val="18"/>
                <w:szCs w:val="18"/>
              </w:rPr>
            </w:pPr>
            <w:r>
              <w:rPr>
                <w:sz w:val="18"/>
                <w:szCs w:val="18"/>
              </w:rPr>
              <w:t>论文中期进展报告</w:t>
            </w:r>
          </w:p>
        </w:tc>
        <w:tc>
          <w:tcPr>
            <w:tcW w:w="1081" w:type="dxa"/>
            <w:vAlign w:val="center"/>
          </w:tcPr>
          <w:p w14:paraId="030782C0">
            <w:pPr>
              <w:spacing w:line="360" w:lineRule="auto"/>
              <w:jc w:val="center"/>
              <w:rPr>
                <w:color w:val="000000" w:themeColor="text1"/>
                <w:sz w:val="18"/>
                <w:szCs w:val="18"/>
                <w14:textFill>
                  <w14:solidFill>
                    <w14:schemeClr w14:val="tx1"/>
                  </w14:solidFill>
                </w14:textFill>
              </w:rPr>
            </w:pPr>
          </w:p>
        </w:tc>
        <w:tc>
          <w:tcPr>
            <w:tcW w:w="709" w:type="dxa"/>
            <w:vAlign w:val="center"/>
          </w:tcPr>
          <w:p w14:paraId="522FAA4F">
            <w:pPr>
              <w:spacing w:line="360" w:lineRule="auto"/>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0</w:t>
            </w:r>
          </w:p>
        </w:tc>
        <w:tc>
          <w:tcPr>
            <w:tcW w:w="709" w:type="dxa"/>
            <w:shd w:val="clear" w:color="auto" w:fill="auto"/>
            <w:vAlign w:val="center"/>
          </w:tcPr>
          <w:p w14:paraId="09A57923">
            <w:pPr>
              <w:spacing w:line="360" w:lineRule="auto"/>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5</w:t>
            </w:r>
          </w:p>
        </w:tc>
        <w:tc>
          <w:tcPr>
            <w:tcW w:w="1045" w:type="dxa"/>
            <w:vMerge w:val="continue"/>
          </w:tcPr>
          <w:p w14:paraId="2C24F56E">
            <w:pPr>
              <w:spacing w:line="360" w:lineRule="auto"/>
              <w:jc w:val="center"/>
              <w:rPr>
                <w:color w:val="000000" w:themeColor="text1"/>
                <w:sz w:val="18"/>
                <w:szCs w:val="18"/>
                <w14:textFill>
                  <w14:solidFill>
                    <w14:schemeClr w14:val="tx1"/>
                  </w14:solidFill>
                </w14:textFill>
              </w:rPr>
            </w:pPr>
          </w:p>
        </w:tc>
      </w:tr>
      <w:tr w14:paraId="7F6AD1A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84ED694">
            <w:pPr>
              <w:spacing w:line="360" w:lineRule="auto"/>
              <w:rPr>
                <w:b/>
                <w:color w:val="000000" w:themeColor="text1"/>
                <w:sz w:val="18"/>
                <w:szCs w:val="18"/>
                <w14:textFill>
                  <w14:solidFill>
                    <w14:schemeClr w14:val="tx1"/>
                  </w14:solidFill>
                </w14:textFill>
              </w:rPr>
            </w:pPr>
          </w:p>
        </w:tc>
        <w:tc>
          <w:tcPr>
            <w:tcW w:w="1226" w:type="dxa"/>
            <w:vMerge w:val="continue"/>
            <w:vAlign w:val="center"/>
          </w:tcPr>
          <w:p w14:paraId="538A8E15">
            <w:pPr>
              <w:spacing w:line="360" w:lineRule="auto"/>
              <w:jc w:val="center"/>
              <w:rPr>
                <w:b/>
                <w:color w:val="000000" w:themeColor="text1"/>
                <w:sz w:val="18"/>
                <w:szCs w:val="18"/>
                <w14:textFill>
                  <w14:solidFill>
                    <w14:schemeClr w14:val="tx1"/>
                  </w14:solidFill>
                </w14:textFill>
              </w:rPr>
            </w:pPr>
          </w:p>
        </w:tc>
        <w:tc>
          <w:tcPr>
            <w:tcW w:w="3516" w:type="dxa"/>
            <w:vAlign w:val="center"/>
          </w:tcPr>
          <w:p w14:paraId="05799CD1">
            <w:pPr>
              <w:spacing w:line="360" w:lineRule="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论文预答辩</w:t>
            </w:r>
          </w:p>
        </w:tc>
        <w:tc>
          <w:tcPr>
            <w:tcW w:w="1081" w:type="dxa"/>
            <w:vAlign w:val="center"/>
          </w:tcPr>
          <w:p w14:paraId="2581A198">
            <w:pPr>
              <w:spacing w:line="360" w:lineRule="auto"/>
              <w:jc w:val="center"/>
              <w:rPr>
                <w:color w:val="000000" w:themeColor="text1"/>
                <w:sz w:val="18"/>
                <w:szCs w:val="18"/>
                <w14:textFill>
                  <w14:solidFill>
                    <w14:schemeClr w14:val="tx1"/>
                  </w14:solidFill>
                </w14:textFill>
              </w:rPr>
            </w:pPr>
          </w:p>
        </w:tc>
        <w:tc>
          <w:tcPr>
            <w:tcW w:w="709" w:type="dxa"/>
            <w:vAlign w:val="center"/>
          </w:tcPr>
          <w:p w14:paraId="79210960">
            <w:pPr>
              <w:spacing w:line="360" w:lineRule="auto"/>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0</w:t>
            </w:r>
          </w:p>
        </w:tc>
        <w:tc>
          <w:tcPr>
            <w:tcW w:w="709" w:type="dxa"/>
            <w:shd w:val="clear" w:color="auto" w:fill="auto"/>
            <w:vAlign w:val="center"/>
          </w:tcPr>
          <w:p w14:paraId="03719AD2">
            <w:pPr>
              <w:spacing w:line="360" w:lineRule="auto"/>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6</w:t>
            </w:r>
          </w:p>
        </w:tc>
        <w:tc>
          <w:tcPr>
            <w:tcW w:w="1045" w:type="dxa"/>
            <w:vMerge w:val="continue"/>
          </w:tcPr>
          <w:p w14:paraId="384D0FFB">
            <w:pPr>
              <w:spacing w:line="360" w:lineRule="auto"/>
              <w:jc w:val="center"/>
              <w:rPr>
                <w:color w:val="000000" w:themeColor="text1"/>
                <w:sz w:val="18"/>
                <w:szCs w:val="18"/>
                <w14:textFill>
                  <w14:solidFill>
                    <w14:schemeClr w14:val="tx1"/>
                  </w14:solidFill>
                </w14:textFill>
              </w:rPr>
            </w:pPr>
          </w:p>
        </w:tc>
      </w:tr>
      <w:tr w14:paraId="6C6A226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FFA83E2">
            <w:pPr>
              <w:spacing w:line="360" w:lineRule="auto"/>
              <w:rPr>
                <w:color w:val="000000" w:themeColor="text1"/>
                <w:sz w:val="18"/>
                <w:szCs w:val="18"/>
                <w14:textFill>
                  <w14:solidFill>
                    <w14:schemeClr w14:val="tx1"/>
                  </w14:solidFill>
                </w14:textFill>
              </w:rPr>
            </w:pPr>
          </w:p>
        </w:tc>
        <w:tc>
          <w:tcPr>
            <w:tcW w:w="1226" w:type="dxa"/>
            <w:vMerge w:val="continue"/>
          </w:tcPr>
          <w:p w14:paraId="08A24B33">
            <w:pPr>
              <w:spacing w:line="360" w:lineRule="auto"/>
              <w:jc w:val="center"/>
              <w:rPr>
                <w:color w:val="000000" w:themeColor="text1"/>
                <w:sz w:val="18"/>
                <w:szCs w:val="18"/>
                <w14:textFill>
                  <w14:solidFill>
                    <w14:schemeClr w14:val="tx1"/>
                  </w14:solidFill>
                </w14:textFill>
              </w:rPr>
            </w:pPr>
          </w:p>
        </w:tc>
        <w:tc>
          <w:tcPr>
            <w:tcW w:w="3516" w:type="dxa"/>
            <w:vAlign w:val="center"/>
          </w:tcPr>
          <w:p w14:paraId="552B8BB0">
            <w:pPr>
              <w:spacing w:line="360" w:lineRule="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论文评审</w:t>
            </w:r>
          </w:p>
        </w:tc>
        <w:tc>
          <w:tcPr>
            <w:tcW w:w="1081" w:type="dxa"/>
            <w:vAlign w:val="center"/>
          </w:tcPr>
          <w:p w14:paraId="029AC691">
            <w:pPr>
              <w:spacing w:line="360" w:lineRule="auto"/>
              <w:jc w:val="center"/>
              <w:rPr>
                <w:color w:val="000000" w:themeColor="text1"/>
                <w:sz w:val="18"/>
                <w:szCs w:val="18"/>
                <w14:textFill>
                  <w14:solidFill>
                    <w14:schemeClr w14:val="tx1"/>
                  </w14:solidFill>
                </w14:textFill>
              </w:rPr>
            </w:pPr>
          </w:p>
        </w:tc>
        <w:tc>
          <w:tcPr>
            <w:tcW w:w="709" w:type="dxa"/>
            <w:vAlign w:val="center"/>
          </w:tcPr>
          <w:p w14:paraId="06C0642C">
            <w:pPr>
              <w:spacing w:line="360" w:lineRule="auto"/>
              <w:jc w:val="center"/>
              <w:rPr>
                <w:iCs/>
                <w:sz w:val="18"/>
                <w:szCs w:val="18"/>
              </w:rPr>
            </w:pPr>
            <w:r>
              <w:rPr>
                <w:rFonts w:hint="eastAsia"/>
                <w:iCs/>
                <w:sz w:val="18"/>
                <w:szCs w:val="18"/>
              </w:rPr>
              <w:t>0</w:t>
            </w:r>
          </w:p>
        </w:tc>
        <w:tc>
          <w:tcPr>
            <w:tcW w:w="709" w:type="dxa"/>
            <w:vAlign w:val="center"/>
          </w:tcPr>
          <w:p w14:paraId="1DCFA802">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p>
        </w:tc>
        <w:tc>
          <w:tcPr>
            <w:tcW w:w="1045" w:type="dxa"/>
            <w:vMerge w:val="continue"/>
          </w:tcPr>
          <w:p w14:paraId="426D0BCA">
            <w:pPr>
              <w:spacing w:line="360" w:lineRule="auto"/>
              <w:jc w:val="center"/>
              <w:rPr>
                <w:color w:val="000000" w:themeColor="text1"/>
                <w:sz w:val="18"/>
                <w:szCs w:val="18"/>
                <w14:textFill>
                  <w14:solidFill>
                    <w14:schemeClr w14:val="tx1"/>
                  </w14:solidFill>
                </w14:textFill>
              </w:rPr>
            </w:pPr>
          </w:p>
        </w:tc>
      </w:tr>
      <w:tr w14:paraId="3CC486A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EB5CB3D">
            <w:pPr>
              <w:spacing w:line="360" w:lineRule="auto"/>
              <w:rPr>
                <w:color w:val="000000" w:themeColor="text1"/>
                <w:sz w:val="18"/>
                <w:szCs w:val="18"/>
                <w14:textFill>
                  <w14:solidFill>
                    <w14:schemeClr w14:val="tx1"/>
                  </w14:solidFill>
                </w14:textFill>
              </w:rPr>
            </w:pPr>
          </w:p>
        </w:tc>
        <w:tc>
          <w:tcPr>
            <w:tcW w:w="1226" w:type="dxa"/>
            <w:vMerge w:val="continue"/>
          </w:tcPr>
          <w:p w14:paraId="5F42C17E">
            <w:pPr>
              <w:spacing w:line="360" w:lineRule="auto"/>
              <w:jc w:val="center"/>
              <w:rPr>
                <w:color w:val="000000" w:themeColor="text1"/>
                <w:sz w:val="18"/>
                <w:szCs w:val="18"/>
                <w14:textFill>
                  <w14:solidFill>
                    <w14:schemeClr w14:val="tx1"/>
                  </w14:solidFill>
                </w14:textFill>
              </w:rPr>
            </w:pPr>
          </w:p>
        </w:tc>
        <w:tc>
          <w:tcPr>
            <w:tcW w:w="3516" w:type="dxa"/>
            <w:vAlign w:val="center"/>
          </w:tcPr>
          <w:p w14:paraId="1F05F2EA">
            <w:pPr>
              <w:spacing w:line="360" w:lineRule="auto"/>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论文答辩</w:t>
            </w:r>
          </w:p>
        </w:tc>
        <w:tc>
          <w:tcPr>
            <w:tcW w:w="1081" w:type="dxa"/>
            <w:vAlign w:val="center"/>
          </w:tcPr>
          <w:p w14:paraId="4244C350">
            <w:pPr>
              <w:spacing w:line="360" w:lineRule="auto"/>
              <w:jc w:val="center"/>
              <w:rPr>
                <w:color w:val="000000" w:themeColor="text1"/>
                <w:sz w:val="18"/>
                <w:szCs w:val="18"/>
                <w14:textFill>
                  <w14:solidFill>
                    <w14:schemeClr w14:val="tx1"/>
                  </w14:solidFill>
                </w14:textFill>
              </w:rPr>
            </w:pPr>
          </w:p>
        </w:tc>
        <w:tc>
          <w:tcPr>
            <w:tcW w:w="709" w:type="dxa"/>
            <w:vAlign w:val="center"/>
          </w:tcPr>
          <w:p w14:paraId="6305B8C4">
            <w:pPr>
              <w:spacing w:line="360" w:lineRule="auto"/>
              <w:jc w:val="center"/>
              <w:rPr>
                <w:iCs/>
                <w:sz w:val="18"/>
                <w:szCs w:val="18"/>
              </w:rPr>
            </w:pPr>
            <w:r>
              <w:rPr>
                <w:rFonts w:hint="eastAsia"/>
                <w:iCs/>
                <w:sz w:val="18"/>
                <w:szCs w:val="18"/>
              </w:rPr>
              <w:t>0</w:t>
            </w:r>
          </w:p>
        </w:tc>
        <w:tc>
          <w:tcPr>
            <w:tcW w:w="709" w:type="dxa"/>
            <w:vAlign w:val="center"/>
          </w:tcPr>
          <w:p w14:paraId="6D8E15D6">
            <w:pPr>
              <w:spacing w:line="360" w:lineRule="auto"/>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6</w:t>
            </w:r>
          </w:p>
        </w:tc>
        <w:tc>
          <w:tcPr>
            <w:tcW w:w="1045" w:type="dxa"/>
            <w:vMerge w:val="continue"/>
          </w:tcPr>
          <w:p w14:paraId="7EE89C63">
            <w:pPr>
              <w:spacing w:line="360" w:lineRule="auto"/>
              <w:jc w:val="center"/>
              <w:rPr>
                <w:color w:val="000000" w:themeColor="text1"/>
                <w:sz w:val="18"/>
                <w:szCs w:val="18"/>
                <w14:textFill>
                  <w14:solidFill>
                    <w14:schemeClr w14:val="tx1"/>
                  </w14:solidFill>
                </w14:textFill>
              </w:rPr>
            </w:pPr>
          </w:p>
        </w:tc>
      </w:tr>
    </w:tbl>
    <w:p w14:paraId="5A6EF59B">
      <w:pPr>
        <w:spacing w:line="360" w:lineRule="auto"/>
        <w:rPr>
          <w:rFonts w:eastAsiaTheme="minorEastAsia"/>
          <w:bCs/>
          <w:sz w:val="24"/>
        </w:rPr>
      </w:pPr>
    </w:p>
    <w:p w14:paraId="6DD130F2">
      <w:pPr>
        <w:spacing w:line="360" w:lineRule="auto"/>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0D4F9480">
      <w:pPr>
        <w:spacing w:line="360" w:lineRule="auto"/>
        <w:ind w:firstLine="480" w:firstLineChars="200"/>
        <w:rPr>
          <w:rFonts w:eastAsiaTheme="minorEastAsia"/>
          <w:bCs/>
          <w:sz w:val="24"/>
        </w:rPr>
      </w:pPr>
      <w:r>
        <w:rPr>
          <w:rFonts w:eastAsiaTheme="minorEastAsia"/>
          <w:bCs/>
          <w:sz w:val="24"/>
        </w:rPr>
        <w:t>1.</w:t>
      </w:r>
      <w:bookmarkStart w:id="1" w:name="_GoBack"/>
      <w:bookmarkEnd w:id="1"/>
      <w:r>
        <w:rPr>
          <w:rFonts w:eastAsiaTheme="minorEastAsia"/>
          <w:bCs/>
          <w:sz w:val="24"/>
        </w:rPr>
        <w:t>非学位课中的方向选修课模块由各培养单位自行设置，并给出具体选修学分要求。</w:t>
      </w:r>
    </w:p>
    <w:p w14:paraId="4114DD4B">
      <w:pPr>
        <w:spacing w:line="360" w:lineRule="auto"/>
        <w:ind w:firstLine="480" w:firstLineChars="200"/>
      </w:pPr>
      <w:r>
        <w:rPr>
          <w:rFonts w:hint="eastAsia" w:eastAsiaTheme="minorEastAsia"/>
          <w:bCs/>
          <w:sz w:val="24"/>
          <w:lang w:val="en-US" w:eastAsia="zh-CN"/>
        </w:rPr>
        <w:t>2.</w:t>
      </w:r>
      <w:r>
        <w:rPr>
          <w:rFonts w:eastAsiaTheme="minorEastAsia"/>
          <w:bCs/>
          <w:sz w:val="24"/>
        </w:rPr>
        <w:t>公共外语课程按入学时的外国语考试科目修读相关语种。</w:t>
      </w:r>
    </w:p>
    <w:p w14:paraId="79FCA074">
      <w:pPr>
        <w:spacing w:line="360" w:lineRule="auto"/>
        <w:ind w:firstLine="480" w:firstLineChars="200"/>
        <w:rPr>
          <w:rFonts w:eastAsiaTheme="minorEastAsia"/>
          <w:bCs/>
          <w:sz w:val="24"/>
        </w:rPr>
      </w:pPr>
      <w:r>
        <w:rPr>
          <w:rFonts w:hint="eastAsia" w:eastAsiaTheme="minorEastAsia"/>
          <w:bCs/>
          <w:sz w:val="24"/>
          <w:lang w:val="en-US" w:eastAsia="zh-CN"/>
        </w:rPr>
        <w:t>3</w:t>
      </w:r>
      <w:r>
        <w:rPr>
          <w:rFonts w:eastAsiaTheme="minorEastAsia"/>
          <w:bCs/>
          <w:sz w:val="24"/>
        </w:rPr>
        <w:t>.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p w14:paraId="127702CF">
      <w:pPr>
        <w:spacing w:line="360" w:lineRule="auto"/>
        <w:ind w:firstLine="480" w:firstLineChars="200"/>
      </w:pPr>
      <w:r>
        <w:rPr>
          <w:rFonts w:hint="eastAsia" w:eastAsiaTheme="minorEastAsia"/>
          <w:bCs/>
          <w:sz w:val="24"/>
          <w:lang w:val="en-US" w:eastAsia="zh-CN"/>
        </w:rPr>
        <w:t>4</w:t>
      </w:r>
      <w:r>
        <w:rPr>
          <w:rFonts w:eastAsiaTheme="minorEastAsia"/>
          <w:bCs/>
          <w:sz w:val="24"/>
        </w:rPr>
        <w:t>.</w:t>
      </w:r>
      <w:r>
        <w:rPr>
          <w:rFonts w:hint="eastAsia" w:asciiTheme="minorEastAsia" w:hAnsiTheme="minorEastAsia" w:eastAsiaTheme="minorEastAsia" w:cstheme="minorEastAsia"/>
          <w:bCs/>
          <w:sz w:val="24"/>
        </w:rPr>
        <w:t>10人以上专业方向至少1/2人数选修才能开课，10人以下专业方向至少1/3人数选修才能开课。</w:t>
      </w: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Georgia">
    <w:panose1 w:val="02040502050405020303"/>
    <w:charset w:val="00"/>
    <w:family w:val="roman"/>
    <w:pitch w:val="default"/>
    <w:sig w:usb0="00000287" w:usb1="00000000" w:usb2="00000000" w:usb3="00000000" w:csb0="2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01E"/>
    <w:rsid w:val="00000F48"/>
    <w:rsid w:val="000017BB"/>
    <w:rsid w:val="00002A1A"/>
    <w:rsid w:val="00003AB1"/>
    <w:rsid w:val="000045F0"/>
    <w:rsid w:val="00004834"/>
    <w:rsid w:val="000051FF"/>
    <w:rsid w:val="00005540"/>
    <w:rsid w:val="00005A23"/>
    <w:rsid w:val="00005D8B"/>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00FF"/>
    <w:rsid w:val="000312C8"/>
    <w:rsid w:val="00031719"/>
    <w:rsid w:val="00031B61"/>
    <w:rsid w:val="00032C19"/>
    <w:rsid w:val="0003428C"/>
    <w:rsid w:val="00034692"/>
    <w:rsid w:val="00035A07"/>
    <w:rsid w:val="0003630A"/>
    <w:rsid w:val="00036DF4"/>
    <w:rsid w:val="0003798D"/>
    <w:rsid w:val="00037AC5"/>
    <w:rsid w:val="0004067E"/>
    <w:rsid w:val="000420E7"/>
    <w:rsid w:val="00042271"/>
    <w:rsid w:val="00042ED8"/>
    <w:rsid w:val="00042F42"/>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330"/>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3CDE"/>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0B2F"/>
    <w:rsid w:val="000B10CA"/>
    <w:rsid w:val="000B1176"/>
    <w:rsid w:val="000B24AD"/>
    <w:rsid w:val="000B3404"/>
    <w:rsid w:val="000B36CF"/>
    <w:rsid w:val="000B3A32"/>
    <w:rsid w:val="000B3F63"/>
    <w:rsid w:val="000B4084"/>
    <w:rsid w:val="000B596C"/>
    <w:rsid w:val="000B5B40"/>
    <w:rsid w:val="000C1C39"/>
    <w:rsid w:val="000C1DF1"/>
    <w:rsid w:val="000C229D"/>
    <w:rsid w:val="000C6431"/>
    <w:rsid w:val="000C684D"/>
    <w:rsid w:val="000C7109"/>
    <w:rsid w:val="000C7B56"/>
    <w:rsid w:val="000D0856"/>
    <w:rsid w:val="000D0CA9"/>
    <w:rsid w:val="000D1FFF"/>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5CC9"/>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537"/>
    <w:rsid w:val="00150EC3"/>
    <w:rsid w:val="001513DE"/>
    <w:rsid w:val="001519AB"/>
    <w:rsid w:val="00153B3C"/>
    <w:rsid w:val="001548B0"/>
    <w:rsid w:val="00155019"/>
    <w:rsid w:val="001559E7"/>
    <w:rsid w:val="00155AAE"/>
    <w:rsid w:val="001566EB"/>
    <w:rsid w:val="00156DDA"/>
    <w:rsid w:val="00160DA3"/>
    <w:rsid w:val="00160FB0"/>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1C07"/>
    <w:rsid w:val="001A567C"/>
    <w:rsid w:val="001A6029"/>
    <w:rsid w:val="001A7229"/>
    <w:rsid w:val="001A78CF"/>
    <w:rsid w:val="001B0D85"/>
    <w:rsid w:val="001B2A51"/>
    <w:rsid w:val="001B30C4"/>
    <w:rsid w:val="001B465A"/>
    <w:rsid w:val="001B4FF4"/>
    <w:rsid w:val="001B62AC"/>
    <w:rsid w:val="001B66AF"/>
    <w:rsid w:val="001C2898"/>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83E"/>
    <w:rsid w:val="001F1A8A"/>
    <w:rsid w:val="001F1F2E"/>
    <w:rsid w:val="001F1F8B"/>
    <w:rsid w:val="001F2B47"/>
    <w:rsid w:val="001F2FB4"/>
    <w:rsid w:val="001F431F"/>
    <w:rsid w:val="001F5B93"/>
    <w:rsid w:val="001F61D1"/>
    <w:rsid w:val="001F65A4"/>
    <w:rsid w:val="00200099"/>
    <w:rsid w:val="00200505"/>
    <w:rsid w:val="0020096F"/>
    <w:rsid w:val="00202151"/>
    <w:rsid w:val="0020278D"/>
    <w:rsid w:val="002027B9"/>
    <w:rsid w:val="00202B64"/>
    <w:rsid w:val="00202C05"/>
    <w:rsid w:val="00202D87"/>
    <w:rsid w:val="002036EE"/>
    <w:rsid w:val="00203900"/>
    <w:rsid w:val="00204685"/>
    <w:rsid w:val="002056DB"/>
    <w:rsid w:val="00205814"/>
    <w:rsid w:val="00206236"/>
    <w:rsid w:val="002068CE"/>
    <w:rsid w:val="00206FD9"/>
    <w:rsid w:val="002072D0"/>
    <w:rsid w:val="002106EB"/>
    <w:rsid w:val="002120B8"/>
    <w:rsid w:val="002120E9"/>
    <w:rsid w:val="00212267"/>
    <w:rsid w:val="00215A41"/>
    <w:rsid w:val="0021662C"/>
    <w:rsid w:val="00216D4F"/>
    <w:rsid w:val="00217554"/>
    <w:rsid w:val="00217A8B"/>
    <w:rsid w:val="0022007F"/>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052F"/>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1770"/>
    <w:rsid w:val="002B293A"/>
    <w:rsid w:val="002B2A1B"/>
    <w:rsid w:val="002B3394"/>
    <w:rsid w:val="002B5583"/>
    <w:rsid w:val="002B63CC"/>
    <w:rsid w:val="002B72BE"/>
    <w:rsid w:val="002B7380"/>
    <w:rsid w:val="002B7EFB"/>
    <w:rsid w:val="002C0009"/>
    <w:rsid w:val="002C0D99"/>
    <w:rsid w:val="002C10F7"/>
    <w:rsid w:val="002C27CC"/>
    <w:rsid w:val="002C44BA"/>
    <w:rsid w:val="002C4D22"/>
    <w:rsid w:val="002C531D"/>
    <w:rsid w:val="002C5839"/>
    <w:rsid w:val="002C5D7C"/>
    <w:rsid w:val="002C68F2"/>
    <w:rsid w:val="002C6CF4"/>
    <w:rsid w:val="002C7D60"/>
    <w:rsid w:val="002D157D"/>
    <w:rsid w:val="002D2E9E"/>
    <w:rsid w:val="002D326B"/>
    <w:rsid w:val="002D34C1"/>
    <w:rsid w:val="002D4DCD"/>
    <w:rsid w:val="002D5BB0"/>
    <w:rsid w:val="002D6382"/>
    <w:rsid w:val="002D6BA6"/>
    <w:rsid w:val="002D7162"/>
    <w:rsid w:val="002D75AD"/>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1F78"/>
    <w:rsid w:val="00372023"/>
    <w:rsid w:val="00374191"/>
    <w:rsid w:val="0037679D"/>
    <w:rsid w:val="00376F53"/>
    <w:rsid w:val="003806B3"/>
    <w:rsid w:val="003825C6"/>
    <w:rsid w:val="00382F33"/>
    <w:rsid w:val="00383F4C"/>
    <w:rsid w:val="00383FF4"/>
    <w:rsid w:val="00384607"/>
    <w:rsid w:val="00386FF4"/>
    <w:rsid w:val="00387621"/>
    <w:rsid w:val="0039122B"/>
    <w:rsid w:val="003916C3"/>
    <w:rsid w:val="00391B1F"/>
    <w:rsid w:val="0039293A"/>
    <w:rsid w:val="00392FBD"/>
    <w:rsid w:val="00393220"/>
    <w:rsid w:val="00394A31"/>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3E51"/>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109"/>
    <w:rsid w:val="00431329"/>
    <w:rsid w:val="0043229B"/>
    <w:rsid w:val="00432B06"/>
    <w:rsid w:val="00432D6A"/>
    <w:rsid w:val="00433B5C"/>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104"/>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511"/>
    <w:rsid w:val="00483D42"/>
    <w:rsid w:val="0048401B"/>
    <w:rsid w:val="00484694"/>
    <w:rsid w:val="00484F01"/>
    <w:rsid w:val="004858F1"/>
    <w:rsid w:val="00487311"/>
    <w:rsid w:val="004878D5"/>
    <w:rsid w:val="00487A64"/>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3F72"/>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1AA"/>
    <w:rsid w:val="00553704"/>
    <w:rsid w:val="0055450C"/>
    <w:rsid w:val="0055562B"/>
    <w:rsid w:val="005557CF"/>
    <w:rsid w:val="005559E3"/>
    <w:rsid w:val="00557ACE"/>
    <w:rsid w:val="00557D2F"/>
    <w:rsid w:val="005615AB"/>
    <w:rsid w:val="00561D63"/>
    <w:rsid w:val="005653A4"/>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39B6"/>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72A"/>
    <w:rsid w:val="005B386E"/>
    <w:rsid w:val="005B478B"/>
    <w:rsid w:val="005B58D6"/>
    <w:rsid w:val="005B5B92"/>
    <w:rsid w:val="005B6260"/>
    <w:rsid w:val="005B7617"/>
    <w:rsid w:val="005C1099"/>
    <w:rsid w:val="005C12CA"/>
    <w:rsid w:val="005C1E3A"/>
    <w:rsid w:val="005C2037"/>
    <w:rsid w:val="005C2DF0"/>
    <w:rsid w:val="005C2F1A"/>
    <w:rsid w:val="005C3B60"/>
    <w:rsid w:val="005C4432"/>
    <w:rsid w:val="005C4953"/>
    <w:rsid w:val="005C6CBD"/>
    <w:rsid w:val="005D0F38"/>
    <w:rsid w:val="005D14BA"/>
    <w:rsid w:val="005D17B7"/>
    <w:rsid w:val="005D20E5"/>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E6CD1"/>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63AD"/>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4DE7"/>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2814"/>
    <w:rsid w:val="006753AE"/>
    <w:rsid w:val="00675723"/>
    <w:rsid w:val="006765DE"/>
    <w:rsid w:val="0067664E"/>
    <w:rsid w:val="00676D4F"/>
    <w:rsid w:val="00677B42"/>
    <w:rsid w:val="0068047D"/>
    <w:rsid w:val="00680C1B"/>
    <w:rsid w:val="00682468"/>
    <w:rsid w:val="0068254D"/>
    <w:rsid w:val="00682C73"/>
    <w:rsid w:val="00683088"/>
    <w:rsid w:val="00683966"/>
    <w:rsid w:val="00683ECB"/>
    <w:rsid w:val="00684095"/>
    <w:rsid w:val="0068580C"/>
    <w:rsid w:val="00687FF2"/>
    <w:rsid w:val="0069100C"/>
    <w:rsid w:val="0069124C"/>
    <w:rsid w:val="00691926"/>
    <w:rsid w:val="00693A7D"/>
    <w:rsid w:val="00697E04"/>
    <w:rsid w:val="006A06EB"/>
    <w:rsid w:val="006A1471"/>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6F75F4"/>
    <w:rsid w:val="006F7C1B"/>
    <w:rsid w:val="0070093D"/>
    <w:rsid w:val="007009E3"/>
    <w:rsid w:val="00701417"/>
    <w:rsid w:val="00701AF0"/>
    <w:rsid w:val="00702631"/>
    <w:rsid w:val="007028F7"/>
    <w:rsid w:val="00702CBA"/>
    <w:rsid w:val="00704290"/>
    <w:rsid w:val="00705E4A"/>
    <w:rsid w:val="00706115"/>
    <w:rsid w:val="007065C5"/>
    <w:rsid w:val="007066D8"/>
    <w:rsid w:val="0071285B"/>
    <w:rsid w:val="00712891"/>
    <w:rsid w:val="00713960"/>
    <w:rsid w:val="007159EB"/>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57B9E"/>
    <w:rsid w:val="00760479"/>
    <w:rsid w:val="0076580C"/>
    <w:rsid w:val="00766B4F"/>
    <w:rsid w:val="007670BD"/>
    <w:rsid w:val="007678DA"/>
    <w:rsid w:val="00772028"/>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97A90"/>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2C6"/>
    <w:rsid w:val="007B0E8A"/>
    <w:rsid w:val="007B18A7"/>
    <w:rsid w:val="007B22B4"/>
    <w:rsid w:val="007B2541"/>
    <w:rsid w:val="007B477E"/>
    <w:rsid w:val="007B6936"/>
    <w:rsid w:val="007B7735"/>
    <w:rsid w:val="007C0DFC"/>
    <w:rsid w:val="007C3199"/>
    <w:rsid w:val="007C335B"/>
    <w:rsid w:val="007C39C6"/>
    <w:rsid w:val="007C4671"/>
    <w:rsid w:val="007C4EDA"/>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4590"/>
    <w:rsid w:val="007E5D21"/>
    <w:rsid w:val="007E5EB9"/>
    <w:rsid w:val="007F003C"/>
    <w:rsid w:val="007F09CD"/>
    <w:rsid w:val="007F0A1D"/>
    <w:rsid w:val="007F1E40"/>
    <w:rsid w:val="007F23CF"/>
    <w:rsid w:val="007F3D46"/>
    <w:rsid w:val="007F3EA4"/>
    <w:rsid w:val="007F5215"/>
    <w:rsid w:val="007F56C1"/>
    <w:rsid w:val="007F6C56"/>
    <w:rsid w:val="007F7069"/>
    <w:rsid w:val="0080018D"/>
    <w:rsid w:val="00800338"/>
    <w:rsid w:val="00800422"/>
    <w:rsid w:val="008007CE"/>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1AF4"/>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4A8"/>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674F"/>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51F"/>
    <w:rsid w:val="008B1918"/>
    <w:rsid w:val="008B3160"/>
    <w:rsid w:val="008B3608"/>
    <w:rsid w:val="008B4C7A"/>
    <w:rsid w:val="008B6A84"/>
    <w:rsid w:val="008B79F0"/>
    <w:rsid w:val="008C0847"/>
    <w:rsid w:val="008C0CD5"/>
    <w:rsid w:val="008C3036"/>
    <w:rsid w:val="008C35AC"/>
    <w:rsid w:val="008C3DA2"/>
    <w:rsid w:val="008C6307"/>
    <w:rsid w:val="008C68B6"/>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E63FC"/>
    <w:rsid w:val="008F11C2"/>
    <w:rsid w:val="008F1554"/>
    <w:rsid w:val="008F2DD5"/>
    <w:rsid w:val="008F3868"/>
    <w:rsid w:val="008F54C5"/>
    <w:rsid w:val="008F56BF"/>
    <w:rsid w:val="008F584D"/>
    <w:rsid w:val="008F59B6"/>
    <w:rsid w:val="008F63EB"/>
    <w:rsid w:val="008F7357"/>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01C"/>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18DE"/>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0EB5"/>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D89"/>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2A62"/>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5B61"/>
    <w:rsid w:val="00A268F0"/>
    <w:rsid w:val="00A30A5F"/>
    <w:rsid w:val="00A30BCD"/>
    <w:rsid w:val="00A32582"/>
    <w:rsid w:val="00A32C78"/>
    <w:rsid w:val="00A3536F"/>
    <w:rsid w:val="00A36261"/>
    <w:rsid w:val="00A364D5"/>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0E1"/>
    <w:rsid w:val="00A919DB"/>
    <w:rsid w:val="00A91A23"/>
    <w:rsid w:val="00A921F5"/>
    <w:rsid w:val="00A95CF2"/>
    <w:rsid w:val="00A96895"/>
    <w:rsid w:val="00A96EC4"/>
    <w:rsid w:val="00A97B47"/>
    <w:rsid w:val="00AA06F4"/>
    <w:rsid w:val="00AA0AC2"/>
    <w:rsid w:val="00AA28EA"/>
    <w:rsid w:val="00AA2CB5"/>
    <w:rsid w:val="00AA4222"/>
    <w:rsid w:val="00AA4EDC"/>
    <w:rsid w:val="00AA6AAB"/>
    <w:rsid w:val="00AA6C65"/>
    <w:rsid w:val="00AA7D8E"/>
    <w:rsid w:val="00AB1BB4"/>
    <w:rsid w:val="00AB24F0"/>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5E3D"/>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46FD"/>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0C76"/>
    <w:rsid w:val="00B311FD"/>
    <w:rsid w:val="00B33A57"/>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20"/>
    <w:rsid w:val="00B66D67"/>
    <w:rsid w:val="00B66FC5"/>
    <w:rsid w:val="00B67703"/>
    <w:rsid w:val="00B67E3C"/>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3F7"/>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6F0"/>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28E4"/>
    <w:rsid w:val="00C235CE"/>
    <w:rsid w:val="00C313F0"/>
    <w:rsid w:val="00C3281F"/>
    <w:rsid w:val="00C328C5"/>
    <w:rsid w:val="00C330FB"/>
    <w:rsid w:val="00C33C78"/>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1A4"/>
    <w:rsid w:val="00C5162D"/>
    <w:rsid w:val="00C51F76"/>
    <w:rsid w:val="00C520A8"/>
    <w:rsid w:val="00C52100"/>
    <w:rsid w:val="00C526BE"/>
    <w:rsid w:val="00C52B00"/>
    <w:rsid w:val="00C53813"/>
    <w:rsid w:val="00C54781"/>
    <w:rsid w:val="00C54C2B"/>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498"/>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6B3"/>
    <w:rsid w:val="00D03967"/>
    <w:rsid w:val="00D042F5"/>
    <w:rsid w:val="00D06384"/>
    <w:rsid w:val="00D06419"/>
    <w:rsid w:val="00D06A68"/>
    <w:rsid w:val="00D07459"/>
    <w:rsid w:val="00D07482"/>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1AF"/>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78D"/>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5E0"/>
    <w:rsid w:val="00D83A59"/>
    <w:rsid w:val="00D83D50"/>
    <w:rsid w:val="00D84252"/>
    <w:rsid w:val="00D84EF8"/>
    <w:rsid w:val="00D87B30"/>
    <w:rsid w:val="00D9049A"/>
    <w:rsid w:val="00D90977"/>
    <w:rsid w:val="00D90BDE"/>
    <w:rsid w:val="00D90DE9"/>
    <w:rsid w:val="00D92BCE"/>
    <w:rsid w:val="00D93125"/>
    <w:rsid w:val="00D94A4F"/>
    <w:rsid w:val="00D954F3"/>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AD3"/>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16B3"/>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2B1D"/>
    <w:rsid w:val="00E138C6"/>
    <w:rsid w:val="00E139BA"/>
    <w:rsid w:val="00E158E2"/>
    <w:rsid w:val="00E16233"/>
    <w:rsid w:val="00E16BB2"/>
    <w:rsid w:val="00E17692"/>
    <w:rsid w:val="00E179F4"/>
    <w:rsid w:val="00E17DB2"/>
    <w:rsid w:val="00E234B0"/>
    <w:rsid w:val="00E23AB7"/>
    <w:rsid w:val="00E24642"/>
    <w:rsid w:val="00E25494"/>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0557"/>
    <w:rsid w:val="00E71046"/>
    <w:rsid w:val="00E755F0"/>
    <w:rsid w:val="00E769A4"/>
    <w:rsid w:val="00E76EF0"/>
    <w:rsid w:val="00E802AD"/>
    <w:rsid w:val="00E80F7F"/>
    <w:rsid w:val="00E81793"/>
    <w:rsid w:val="00E8261D"/>
    <w:rsid w:val="00E82707"/>
    <w:rsid w:val="00E82DF9"/>
    <w:rsid w:val="00E83926"/>
    <w:rsid w:val="00E84622"/>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18B"/>
    <w:rsid w:val="00EA0386"/>
    <w:rsid w:val="00EA08EF"/>
    <w:rsid w:val="00EA091E"/>
    <w:rsid w:val="00EA35AE"/>
    <w:rsid w:val="00EA38DF"/>
    <w:rsid w:val="00EA423F"/>
    <w:rsid w:val="00EA4A18"/>
    <w:rsid w:val="00EA5247"/>
    <w:rsid w:val="00EA6406"/>
    <w:rsid w:val="00EA6C04"/>
    <w:rsid w:val="00EA714E"/>
    <w:rsid w:val="00EA7BC2"/>
    <w:rsid w:val="00EB0462"/>
    <w:rsid w:val="00EB1C0E"/>
    <w:rsid w:val="00EB2125"/>
    <w:rsid w:val="00EB29EE"/>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27666"/>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5F95"/>
    <w:rsid w:val="00F5628B"/>
    <w:rsid w:val="00F56688"/>
    <w:rsid w:val="00F56BA6"/>
    <w:rsid w:val="00F572B1"/>
    <w:rsid w:val="00F60448"/>
    <w:rsid w:val="00F60B18"/>
    <w:rsid w:val="00F611B3"/>
    <w:rsid w:val="00F61B38"/>
    <w:rsid w:val="00F63AAF"/>
    <w:rsid w:val="00F63E0A"/>
    <w:rsid w:val="00F644DD"/>
    <w:rsid w:val="00F65330"/>
    <w:rsid w:val="00F7096E"/>
    <w:rsid w:val="00F71D06"/>
    <w:rsid w:val="00F741E3"/>
    <w:rsid w:val="00F75C54"/>
    <w:rsid w:val="00F800B7"/>
    <w:rsid w:val="00F80AE7"/>
    <w:rsid w:val="00F832F2"/>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CAC"/>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86D"/>
    <w:rsid w:val="00FC29BF"/>
    <w:rsid w:val="00FC3632"/>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5C63"/>
    <w:rsid w:val="00FE6A1E"/>
    <w:rsid w:val="00FE6B2A"/>
    <w:rsid w:val="00FE7F66"/>
    <w:rsid w:val="00FF0343"/>
    <w:rsid w:val="00FF0CF7"/>
    <w:rsid w:val="00FF1F8D"/>
    <w:rsid w:val="00FF2D9D"/>
    <w:rsid w:val="00FF40BB"/>
    <w:rsid w:val="00FF5CED"/>
    <w:rsid w:val="00FF6BE4"/>
    <w:rsid w:val="00FF7300"/>
    <w:rsid w:val="00FF735B"/>
    <w:rsid w:val="01080A12"/>
    <w:rsid w:val="016F45ED"/>
    <w:rsid w:val="02225B04"/>
    <w:rsid w:val="03195159"/>
    <w:rsid w:val="05AF5900"/>
    <w:rsid w:val="08985959"/>
    <w:rsid w:val="08FD2E27"/>
    <w:rsid w:val="0A586673"/>
    <w:rsid w:val="0D613984"/>
    <w:rsid w:val="0D8633EB"/>
    <w:rsid w:val="0E282FB4"/>
    <w:rsid w:val="0F955B67"/>
    <w:rsid w:val="10A2678D"/>
    <w:rsid w:val="10D426BF"/>
    <w:rsid w:val="110A7E8F"/>
    <w:rsid w:val="11EE77B0"/>
    <w:rsid w:val="13CA1B57"/>
    <w:rsid w:val="13D03CA8"/>
    <w:rsid w:val="15567B46"/>
    <w:rsid w:val="160752E5"/>
    <w:rsid w:val="18094813"/>
    <w:rsid w:val="185A794E"/>
    <w:rsid w:val="188D3F53"/>
    <w:rsid w:val="19BB08C0"/>
    <w:rsid w:val="1A267BCC"/>
    <w:rsid w:val="1D2624F4"/>
    <w:rsid w:val="1DD65CC8"/>
    <w:rsid w:val="1E4E3AB1"/>
    <w:rsid w:val="1EDC2E79"/>
    <w:rsid w:val="1F394A93"/>
    <w:rsid w:val="1F4D1FBA"/>
    <w:rsid w:val="1FE96C05"/>
    <w:rsid w:val="21DA1AFF"/>
    <w:rsid w:val="2253194F"/>
    <w:rsid w:val="22995516"/>
    <w:rsid w:val="23411E36"/>
    <w:rsid w:val="23A10B26"/>
    <w:rsid w:val="241430A6"/>
    <w:rsid w:val="253F23A5"/>
    <w:rsid w:val="257B0F03"/>
    <w:rsid w:val="25C7239A"/>
    <w:rsid w:val="280653FC"/>
    <w:rsid w:val="281F1538"/>
    <w:rsid w:val="290C12E9"/>
    <w:rsid w:val="295108F9"/>
    <w:rsid w:val="2BF54EBC"/>
    <w:rsid w:val="2CC33475"/>
    <w:rsid w:val="2F0401BB"/>
    <w:rsid w:val="34272982"/>
    <w:rsid w:val="34F82570"/>
    <w:rsid w:val="362A0508"/>
    <w:rsid w:val="37A75B88"/>
    <w:rsid w:val="38455ACD"/>
    <w:rsid w:val="384B5477"/>
    <w:rsid w:val="38821C97"/>
    <w:rsid w:val="3AA0523C"/>
    <w:rsid w:val="3B693880"/>
    <w:rsid w:val="3BE16690"/>
    <w:rsid w:val="3E047890"/>
    <w:rsid w:val="3E2D328B"/>
    <w:rsid w:val="3F1461F9"/>
    <w:rsid w:val="41F36599"/>
    <w:rsid w:val="43F108B7"/>
    <w:rsid w:val="44F06DC0"/>
    <w:rsid w:val="46BA1434"/>
    <w:rsid w:val="47FC3FA1"/>
    <w:rsid w:val="481608EC"/>
    <w:rsid w:val="4AE90539"/>
    <w:rsid w:val="4CD14A2F"/>
    <w:rsid w:val="4EC63B96"/>
    <w:rsid w:val="50923421"/>
    <w:rsid w:val="52171E30"/>
    <w:rsid w:val="5385202A"/>
    <w:rsid w:val="539B484F"/>
    <w:rsid w:val="549D1A54"/>
    <w:rsid w:val="568D26C1"/>
    <w:rsid w:val="5898359F"/>
    <w:rsid w:val="5B857E0A"/>
    <w:rsid w:val="5BD42B40"/>
    <w:rsid w:val="5D3F66DF"/>
    <w:rsid w:val="5D6C5E6A"/>
    <w:rsid w:val="60D158A0"/>
    <w:rsid w:val="627E7362"/>
    <w:rsid w:val="630A5099"/>
    <w:rsid w:val="6372336A"/>
    <w:rsid w:val="6421269A"/>
    <w:rsid w:val="665C20B0"/>
    <w:rsid w:val="66A06CA7"/>
    <w:rsid w:val="68D66C40"/>
    <w:rsid w:val="6B1B42E7"/>
    <w:rsid w:val="6FDD734E"/>
    <w:rsid w:val="6FFC3AAE"/>
    <w:rsid w:val="713D6BED"/>
    <w:rsid w:val="71663DE2"/>
    <w:rsid w:val="71AF12E6"/>
    <w:rsid w:val="76D60452"/>
    <w:rsid w:val="77B21B30"/>
    <w:rsid w:val="77CB499F"/>
    <w:rsid w:val="780879A1"/>
    <w:rsid w:val="78A05E2C"/>
    <w:rsid w:val="79E61F64"/>
    <w:rsid w:val="7AB46F16"/>
    <w:rsid w:val="7BFA58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8"/>
    <w:qFormat/>
    <w:uiPriority w:val="0"/>
    <w:pPr>
      <w:keepNext/>
      <w:keepLines/>
      <w:spacing w:before="340" w:after="330" w:line="578" w:lineRule="auto"/>
      <w:jc w:val="center"/>
      <w:outlineLvl w:val="0"/>
    </w:pPr>
    <w:rPr>
      <w:rFonts w:eastAsia="华文行楷"/>
      <w:kern w:val="44"/>
      <w:sz w:val="44"/>
      <w:szCs w:val="20"/>
    </w:rPr>
  </w:style>
  <w:style w:type="paragraph" w:styleId="4">
    <w:name w:val="heading 2"/>
    <w:basedOn w:val="1"/>
    <w:next w:val="1"/>
    <w:link w:val="17"/>
    <w:qFormat/>
    <w:uiPriority w:val="99"/>
    <w:pPr>
      <w:keepNext/>
      <w:keepLines/>
      <w:spacing w:line="360" w:lineRule="auto"/>
      <w:jc w:val="center"/>
      <w:outlineLvl w:val="1"/>
    </w:pPr>
    <w:rPr>
      <w:rFonts w:ascii="Cambria" w:hAnsi="Cambria"/>
      <w:b/>
      <w:bCs/>
      <w:sz w:val="32"/>
      <w:szCs w:val="32"/>
    </w:rPr>
  </w:style>
  <w:style w:type="paragraph" w:styleId="2">
    <w:name w:val="heading 3"/>
    <w:basedOn w:val="1"/>
    <w:next w:val="1"/>
    <w:qFormat/>
    <w:uiPriority w:val="9"/>
    <w:pPr>
      <w:spacing w:line="360" w:lineRule="auto"/>
      <w:ind w:firstLine="627" w:firstLineChars="196"/>
      <w:outlineLvl w:val="2"/>
    </w:pPr>
    <w:rPr>
      <w:rFonts w:cs="仿宋"/>
    </w:rPr>
  </w:style>
  <w:style w:type="paragraph" w:styleId="5">
    <w:name w:val="heading 4"/>
    <w:basedOn w:val="1"/>
    <w:next w:val="1"/>
    <w:link w:val="2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link w:val="20"/>
    <w:semiHidden/>
    <w:unhideWhenUsed/>
    <w:qFormat/>
    <w:uiPriority w:val="99"/>
    <w:pPr>
      <w:jc w:val="left"/>
    </w:pPr>
  </w:style>
  <w:style w:type="paragraph" w:styleId="7">
    <w:name w:val="Balloon Text"/>
    <w:basedOn w:val="1"/>
    <w:link w:val="22"/>
    <w:semiHidden/>
    <w:unhideWhenUsed/>
    <w:qFormat/>
    <w:uiPriority w:val="99"/>
    <w:rPr>
      <w:sz w:val="18"/>
      <w:szCs w:val="18"/>
    </w:rPr>
  </w:style>
  <w:style w:type="paragraph" w:styleId="8">
    <w:name w:val="footer"/>
    <w:basedOn w:val="1"/>
    <w:link w:val="24"/>
    <w:unhideWhenUsed/>
    <w:qFormat/>
    <w:uiPriority w:val="99"/>
    <w:pPr>
      <w:tabs>
        <w:tab w:val="center" w:pos="4153"/>
        <w:tab w:val="right" w:pos="8306"/>
      </w:tabs>
      <w:snapToGrid w:val="0"/>
      <w:jc w:val="left"/>
    </w:pPr>
    <w:rPr>
      <w:sz w:val="18"/>
      <w:szCs w:val="18"/>
    </w:rPr>
  </w:style>
  <w:style w:type="paragraph" w:styleId="9">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1">
    <w:name w:val="annotation subject"/>
    <w:basedOn w:val="6"/>
    <w:next w:val="6"/>
    <w:link w:val="21"/>
    <w:semiHidden/>
    <w:unhideWhenUsed/>
    <w:qFormat/>
    <w:uiPriority w:val="99"/>
    <w:rPr>
      <w:b/>
      <w:bCs/>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22"/>
    <w:rPr>
      <w:b/>
      <w:bCs/>
    </w:rPr>
  </w:style>
  <w:style w:type="character" w:styleId="16">
    <w:name w:val="annotation reference"/>
    <w:basedOn w:val="14"/>
    <w:semiHidden/>
    <w:unhideWhenUsed/>
    <w:qFormat/>
    <w:uiPriority w:val="99"/>
    <w:rPr>
      <w:sz w:val="21"/>
      <w:szCs w:val="21"/>
    </w:rPr>
  </w:style>
  <w:style w:type="character" w:customStyle="1" w:styleId="17">
    <w:name w:val="标题 2 字符"/>
    <w:basedOn w:val="14"/>
    <w:link w:val="4"/>
    <w:qFormat/>
    <w:uiPriority w:val="99"/>
    <w:rPr>
      <w:rFonts w:ascii="Cambria" w:hAnsi="Cambria" w:eastAsia="宋体" w:cs="Times New Roman"/>
      <w:b/>
      <w:bCs/>
      <w:sz w:val="32"/>
      <w:szCs w:val="32"/>
    </w:rPr>
  </w:style>
  <w:style w:type="character" w:customStyle="1" w:styleId="18">
    <w:name w:val="标题 1 字符"/>
    <w:basedOn w:val="14"/>
    <w:link w:val="3"/>
    <w:qFormat/>
    <w:uiPriority w:val="0"/>
    <w:rPr>
      <w:rFonts w:ascii="Times New Roman" w:hAnsi="Times New Roman" w:eastAsia="华文行楷" w:cs="Times New Roman"/>
      <w:kern w:val="44"/>
      <w:sz w:val="44"/>
      <w:szCs w:val="20"/>
    </w:rPr>
  </w:style>
  <w:style w:type="paragraph" w:customStyle="1" w:styleId="19">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20">
    <w:name w:val="批注文字 字符"/>
    <w:basedOn w:val="14"/>
    <w:link w:val="6"/>
    <w:semiHidden/>
    <w:qFormat/>
    <w:uiPriority w:val="99"/>
    <w:rPr>
      <w:rFonts w:ascii="Times New Roman" w:hAnsi="Times New Roman" w:eastAsia="宋体" w:cs="Times New Roman"/>
      <w:szCs w:val="24"/>
    </w:rPr>
  </w:style>
  <w:style w:type="character" w:customStyle="1" w:styleId="21">
    <w:name w:val="批注主题 字符"/>
    <w:basedOn w:val="20"/>
    <w:link w:val="11"/>
    <w:semiHidden/>
    <w:qFormat/>
    <w:uiPriority w:val="99"/>
    <w:rPr>
      <w:rFonts w:ascii="Times New Roman" w:hAnsi="Times New Roman" w:eastAsia="宋体" w:cs="Times New Roman"/>
      <w:b/>
      <w:bCs/>
      <w:szCs w:val="24"/>
    </w:rPr>
  </w:style>
  <w:style w:type="character" w:customStyle="1" w:styleId="22">
    <w:name w:val="批注框文本 字符"/>
    <w:basedOn w:val="14"/>
    <w:link w:val="7"/>
    <w:semiHidden/>
    <w:qFormat/>
    <w:uiPriority w:val="99"/>
    <w:rPr>
      <w:rFonts w:ascii="Times New Roman" w:hAnsi="Times New Roman" w:eastAsia="宋体" w:cs="Times New Roman"/>
      <w:sz w:val="18"/>
      <w:szCs w:val="18"/>
    </w:rPr>
  </w:style>
  <w:style w:type="character" w:customStyle="1" w:styleId="23">
    <w:name w:val="页眉 字符"/>
    <w:basedOn w:val="14"/>
    <w:link w:val="9"/>
    <w:qFormat/>
    <w:uiPriority w:val="99"/>
    <w:rPr>
      <w:rFonts w:ascii="Times New Roman" w:hAnsi="Times New Roman" w:eastAsia="宋体" w:cs="Times New Roman"/>
      <w:sz w:val="18"/>
      <w:szCs w:val="18"/>
    </w:rPr>
  </w:style>
  <w:style w:type="character" w:customStyle="1" w:styleId="24">
    <w:name w:val="页脚 字符"/>
    <w:basedOn w:val="14"/>
    <w:link w:val="8"/>
    <w:qFormat/>
    <w:uiPriority w:val="99"/>
    <w:rPr>
      <w:rFonts w:ascii="Times New Roman" w:hAnsi="Times New Roman" w:eastAsia="宋体" w:cs="Times New Roman"/>
      <w:sz w:val="18"/>
      <w:szCs w:val="18"/>
    </w:rPr>
  </w:style>
  <w:style w:type="paragraph" w:customStyle="1" w:styleId="25">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6">
    <w:name w:val="List Paragraph"/>
    <w:basedOn w:val="1"/>
    <w:qFormat/>
    <w:uiPriority w:val="99"/>
    <w:pPr>
      <w:ind w:firstLine="420" w:firstLineChars="200"/>
    </w:pPr>
  </w:style>
  <w:style w:type="character" w:customStyle="1" w:styleId="27">
    <w:name w:val="标题 4 字符"/>
    <w:basedOn w:val="14"/>
    <w:link w:val="5"/>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D78F1E-1CDC-4286-BC1D-38F0BCB975B5}">
  <ds:schemaRefs/>
</ds:datastoreItem>
</file>

<file path=docProps/app.xml><?xml version="1.0" encoding="utf-8"?>
<Properties xmlns="http://schemas.openxmlformats.org/officeDocument/2006/extended-properties" xmlns:vt="http://schemas.openxmlformats.org/officeDocument/2006/docPropsVTypes">
  <Template>Normal</Template>
  <Company>yanjiushengyuan</Company>
  <Pages>7</Pages>
  <Words>4990</Words>
  <Characters>5279</Characters>
  <Lines>40</Lines>
  <Paragraphs>11</Paragraphs>
  <TotalTime>0</TotalTime>
  <ScaleCrop>false</ScaleCrop>
  <LinksUpToDate>false</LinksUpToDate>
  <CharactersWithSpaces>5303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2025-04-25T08:55:00Z</dcterms:created>
  <dc:creator>刘明旭</dc:creator>
  <cp:lastModifiedBy>碧云霜竹Donald</cp:lastModifiedBy>
  <cp:lastPrinted>2025-03-14T03:17:00Z</cp:lastPrinted>
  <dcterms:modified xsi:type="dcterms:W3CDTF">2025-06-13T08:50:18Z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eyJoZGlkIjoiZWZjYTU2NGY2YzY0NDgzNDFkY2NhZTc1YWNkYjhlMWIiLCJ1c2VySWQiOiIyOTQ1NTAzNTgifQ==</vt:lpwstr>
  </property>
  <property fmtid="{D5CDD505-2E9C-101B-9397-08002B2CF9AE}" pid="4" name="ICV">
    <vt:lpwstr>0192B7AA62EE45FFBB65A5B65AF2E78D_13</vt:lpwstr>
  </property>
</Properties>
</file>