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31A7F8">
      <w:pPr>
        <w:ind w:left="321" w:leftChars="153" w:right="227"/>
        <w:jc w:val="center"/>
        <w:rPr>
          <w:rFonts w:eastAsia="黑体"/>
          <w:b/>
          <w:bCs/>
          <w:sz w:val="36"/>
          <w:szCs w:val="36"/>
        </w:rPr>
      </w:pPr>
      <w:r>
        <w:rPr>
          <w:rFonts w:hint="eastAsia" w:eastAsia="黑体"/>
          <w:b/>
          <w:bCs/>
          <w:sz w:val="36"/>
          <w:szCs w:val="36"/>
        </w:rPr>
        <w:t>中国史</w:t>
      </w:r>
      <w:r>
        <w:rPr>
          <w:rFonts w:eastAsia="黑体"/>
          <w:b/>
          <w:bCs/>
          <w:sz w:val="36"/>
          <w:szCs w:val="36"/>
        </w:rPr>
        <w:t>专业学术学位博士研究生培养方案</w:t>
      </w:r>
    </w:p>
    <w:p w14:paraId="1105B109">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历史</w:t>
      </w:r>
      <w:r>
        <w:rPr>
          <w:rFonts w:eastAsia="黑体"/>
          <w:b/>
          <w:bCs/>
          <w:sz w:val="28"/>
          <w:szCs w:val="28"/>
        </w:rPr>
        <w:t>学院</w:t>
      </w:r>
      <w:r>
        <w:rPr>
          <w:rFonts w:hint="eastAsia" w:eastAsia="黑体"/>
          <w:b/>
          <w:bCs/>
          <w:sz w:val="28"/>
          <w:szCs w:val="28"/>
        </w:rPr>
        <w:t>、宋史研究</w:t>
      </w:r>
      <w:r>
        <w:rPr>
          <w:rFonts w:eastAsia="黑体"/>
          <w:b/>
          <w:bCs/>
          <w:sz w:val="28"/>
          <w:szCs w:val="28"/>
        </w:rPr>
        <w:t>中心)</w:t>
      </w:r>
    </w:p>
    <w:p w14:paraId="3FF351E9">
      <w:pPr>
        <w:spacing w:line="360" w:lineRule="auto"/>
        <w:ind w:firstLine="560"/>
        <w:rPr>
          <w:rFonts w:eastAsia="黑体"/>
          <w:bCs/>
          <w:sz w:val="28"/>
          <w:szCs w:val="28"/>
        </w:rPr>
      </w:pPr>
      <w:r>
        <w:rPr>
          <w:rFonts w:eastAsia="黑体"/>
          <w:bCs/>
          <w:sz w:val="28"/>
          <w:szCs w:val="28"/>
        </w:rPr>
        <w:t>一、专业名称、代码</w:t>
      </w:r>
    </w:p>
    <w:p w14:paraId="749A31DB">
      <w:pPr>
        <w:widowControl/>
        <w:spacing w:line="360" w:lineRule="auto"/>
        <w:ind w:firstLine="960" w:firstLineChars="400"/>
        <w:jc w:val="left"/>
        <w:rPr>
          <w:color w:val="222222"/>
          <w:kern w:val="0"/>
          <w:sz w:val="18"/>
          <w:szCs w:val="18"/>
        </w:rPr>
      </w:pPr>
      <w:r>
        <w:rPr>
          <w:color w:val="222222"/>
          <w:kern w:val="0"/>
          <w:sz w:val="24"/>
        </w:rPr>
        <w:t>专业名称：</w:t>
      </w:r>
      <w:r>
        <w:rPr>
          <w:rFonts w:hint="eastAsia"/>
          <w:color w:val="222222"/>
          <w:kern w:val="0"/>
          <w:sz w:val="24"/>
        </w:rPr>
        <w:t>中国史</w:t>
      </w:r>
    </w:p>
    <w:p w14:paraId="5A779312">
      <w:pPr>
        <w:widowControl/>
        <w:spacing w:line="360" w:lineRule="auto"/>
        <w:ind w:firstLine="960" w:firstLineChars="400"/>
        <w:jc w:val="left"/>
        <w:rPr>
          <w:color w:val="222222"/>
          <w:kern w:val="0"/>
          <w:sz w:val="18"/>
          <w:szCs w:val="18"/>
        </w:rPr>
      </w:pPr>
      <w:r>
        <w:rPr>
          <w:color w:val="222222"/>
          <w:kern w:val="0"/>
          <w:sz w:val="24"/>
        </w:rPr>
        <w:t>专业代码：</w:t>
      </w:r>
      <w:r>
        <w:rPr>
          <w:rFonts w:hint="eastAsia"/>
          <w:color w:val="222222"/>
          <w:kern w:val="0"/>
          <w:sz w:val="24"/>
        </w:rPr>
        <w:t>0602</w:t>
      </w:r>
    </w:p>
    <w:p w14:paraId="385204C3">
      <w:pPr>
        <w:spacing w:line="360" w:lineRule="auto"/>
        <w:ind w:firstLine="560" w:firstLineChars="200"/>
        <w:rPr>
          <w:rFonts w:eastAsia="黑体"/>
          <w:bCs/>
          <w:i/>
          <w:color w:val="FF0000"/>
          <w:sz w:val="28"/>
          <w:szCs w:val="28"/>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49C67981">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中国史学科主要从事中国历史上相关重要问题的研究和探索，包括中国古代史、中国近代史、中国现代史、历史文献学、专门史、史学理论及史学史、历史地理学等二级学科。</w:t>
      </w:r>
    </w:p>
    <w:p w14:paraId="23BBBAAA">
      <w:pPr>
        <w:spacing w:line="360" w:lineRule="auto"/>
        <w:ind w:firstLine="480" w:firstLineChars="200"/>
        <w:rPr>
          <w:rFonts w:hint="eastAsia" w:eastAsia="宋体"/>
          <w:iCs/>
          <w:color w:val="000000" w:themeColor="text1"/>
          <w:sz w:val="24"/>
          <w:lang w:eastAsia="zh-CN"/>
          <w14:textFill>
            <w14:solidFill>
              <w14:schemeClr w14:val="tx1"/>
            </w14:solidFill>
          </w14:textFill>
        </w:rPr>
      </w:pPr>
      <w:r>
        <w:rPr>
          <w:rFonts w:hint="eastAsia" w:eastAsiaTheme="minorEastAsia"/>
          <w:iCs/>
          <w:color w:val="000000" w:themeColor="text1"/>
          <w:sz w:val="24"/>
          <w14:textFill>
            <w14:solidFill>
              <w14:schemeClr w14:val="tx1"/>
            </w14:solidFill>
          </w14:textFill>
        </w:rPr>
        <w:t>河北大学中国史学科历史悠久。1945年，河北大学的前身天津工商学院史地系即开设中国古代史、中国近现代史相关课程</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20世纪50—60年代，中国史学科涌现出漆侠、李光壁、傅尚文、周庆基、李鼎芳等著名史学专家。1984年</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获得河北省第一个博士学位点——中国古代史博士点</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1986年</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中国古代史学科被确定为河北省重点学科</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2001年</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建成河北大学第一个教育部人文社科重点研究基地</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2005年</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河北大学历史</w:t>
      </w:r>
      <w:r>
        <w:rPr>
          <w:rFonts w:hint="eastAsia" w:eastAsiaTheme="minorEastAsia"/>
          <w:iCs/>
          <w:color w:val="000000" w:themeColor="text1"/>
          <w:sz w:val="24"/>
          <w:lang w:val="en-US" w:eastAsia="zh-CN"/>
          <w14:textFill>
            <w14:solidFill>
              <w14:schemeClr w14:val="tx1"/>
            </w14:solidFill>
          </w14:textFill>
        </w:rPr>
        <w:t>学科</w:t>
      </w:r>
      <w:r>
        <w:rPr>
          <w:rFonts w:hint="eastAsia" w:eastAsiaTheme="minorEastAsia"/>
          <w:iCs/>
          <w:color w:val="000000" w:themeColor="text1"/>
          <w:sz w:val="24"/>
          <w14:textFill>
            <w14:solidFill>
              <w14:schemeClr w14:val="tx1"/>
            </w14:solidFill>
          </w14:textFill>
        </w:rPr>
        <w:t>被河北省确定为强势特色学科</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2007年</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获准设立历史学博士科研流动站</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2011年</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中国史学科被国务院学位委员会审核增列为一级学科博士点</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2016年，中国史学科被确定为河北省“双一流”建设国家一流学科建设序列</w:t>
      </w:r>
      <w:r>
        <w:rPr>
          <w:rFonts w:hint="eastAsia" w:eastAsiaTheme="minorEastAsia"/>
          <w:iCs/>
          <w:color w:val="000000" w:themeColor="text1"/>
          <w:sz w:val="24"/>
          <w:lang w:eastAsia="zh-CN"/>
          <w14:textFill>
            <w14:solidFill>
              <w14:schemeClr w14:val="tx1"/>
            </w14:solidFill>
          </w14:textFill>
        </w:rPr>
        <w:t>。2018年，中国史学科列入教育部对口</w:t>
      </w:r>
      <w:r>
        <w:rPr>
          <w:rFonts w:hint="eastAsia" w:eastAsiaTheme="minorEastAsia"/>
          <w:iCs/>
          <w:color w:val="000000" w:themeColor="text1"/>
          <w:sz w:val="24"/>
          <w:lang w:val="en-US" w:eastAsia="zh-CN"/>
          <w14:textFill>
            <w14:solidFill>
              <w14:schemeClr w14:val="tx1"/>
            </w14:solidFill>
          </w14:textFill>
        </w:rPr>
        <w:t>合作</w:t>
      </w:r>
      <w:r>
        <w:rPr>
          <w:rFonts w:hint="eastAsia" w:eastAsiaTheme="minorEastAsia"/>
          <w:iCs/>
          <w:color w:val="000000" w:themeColor="text1"/>
          <w:sz w:val="24"/>
          <w:lang w:eastAsia="zh-CN"/>
          <w14:textFill>
            <w14:solidFill>
              <w14:schemeClr w14:val="tx1"/>
            </w14:solidFill>
          </w14:textFill>
        </w:rPr>
        <w:t>支持学科</w:t>
      </w:r>
      <w:r>
        <w:rPr>
          <w:rFonts w:hint="eastAsia" w:eastAsiaTheme="minorEastAsia"/>
          <w:iCs/>
          <w:color w:val="000000" w:themeColor="text1"/>
          <w:sz w:val="24"/>
          <w14:textFill>
            <w14:solidFill>
              <w14:schemeClr w14:val="tx1"/>
            </w14:solidFill>
          </w14:textFill>
        </w:rPr>
        <w:t>。</w:t>
      </w:r>
      <w:r>
        <w:rPr>
          <w:rFonts w:hint="eastAsia" w:ascii="宋体" w:hAnsi="宋体"/>
          <w:sz w:val="24"/>
        </w:rPr>
        <w:t>2019年，历史学专业获批国家级一流本科专业建设点。在教育部第五轮学科评估中，本学科列B-层次</w:t>
      </w:r>
      <w:r>
        <w:rPr>
          <w:rFonts w:hint="eastAsia" w:ascii="宋体" w:hAnsi="宋体"/>
          <w:sz w:val="24"/>
          <w:lang w:eastAsia="zh-CN"/>
        </w:rPr>
        <w:t>。</w:t>
      </w:r>
    </w:p>
    <w:p w14:paraId="5F93B3C9">
      <w:pPr>
        <w:spacing w:line="360" w:lineRule="auto"/>
        <w:ind w:firstLine="480" w:firstLineChars="200"/>
        <w:rPr>
          <w:rFonts w:eastAsiaTheme="minorEastAsia"/>
          <w:iCs/>
          <w:color w:val="FF0000"/>
          <w:sz w:val="24"/>
        </w:rPr>
      </w:pPr>
      <w:r>
        <w:rPr>
          <w:rFonts w:hint="eastAsia" w:eastAsiaTheme="minorEastAsia"/>
          <w:iCs/>
          <w:color w:val="000000" w:themeColor="text1"/>
          <w:sz w:val="24"/>
          <w:lang w:val="en-US" w:eastAsia="zh-CN"/>
          <w14:textFill>
            <w14:solidFill>
              <w14:schemeClr w14:val="tx1"/>
            </w14:solidFill>
          </w14:textFill>
        </w:rPr>
        <w:t>目前，</w:t>
      </w:r>
      <w:r>
        <w:rPr>
          <w:rFonts w:hint="eastAsia" w:eastAsiaTheme="minorEastAsia"/>
          <w:iCs/>
          <w:color w:val="000000" w:themeColor="text1"/>
          <w:sz w:val="24"/>
          <w14:textFill>
            <w14:solidFill>
              <w14:schemeClr w14:val="tx1"/>
            </w14:solidFill>
          </w14:textFill>
        </w:rPr>
        <w:t>中国史学科包括中国古代史、中国近现代史、中国专门史、历史文献学四个研究方向，涵盖宋辽金史研究、中国古代经济史研究、中国古代政法史研究、中国古代思想文化史研究、中国近现代社会史、中国近现代思想文化史、中国近现代教育史、中国当代社会史、华北区域社会经济史、中华民国史、科技史、历史文献学、史学理论</w:t>
      </w:r>
      <w:r>
        <w:rPr>
          <w:rFonts w:hint="eastAsia" w:eastAsiaTheme="minorEastAsia"/>
          <w:iCs/>
          <w:color w:val="000000" w:themeColor="text1"/>
          <w:sz w:val="24"/>
          <w:lang w:val="en-US" w:eastAsia="zh-CN"/>
          <w14:textFill>
            <w14:solidFill>
              <w14:schemeClr w14:val="tx1"/>
            </w14:solidFill>
          </w14:textFill>
        </w:rPr>
        <w:t>及史学史</w:t>
      </w:r>
      <w:r>
        <w:rPr>
          <w:rFonts w:hint="eastAsia" w:eastAsiaTheme="minorEastAsia"/>
          <w:iCs/>
          <w:color w:val="000000" w:themeColor="text1"/>
          <w:sz w:val="24"/>
          <w14:textFill>
            <w14:solidFill>
              <w14:schemeClr w14:val="tx1"/>
            </w14:solidFill>
          </w14:textFill>
        </w:rPr>
        <w:t>等领域。目前，</w:t>
      </w:r>
      <w:r>
        <w:rPr>
          <w:rFonts w:hint="eastAsia" w:eastAsiaTheme="minorEastAsia"/>
          <w:iCs/>
          <w:color w:val="000000" w:themeColor="text1"/>
          <w:sz w:val="24"/>
          <w:lang w:val="en-US" w:eastAsia="zh-CN"/>
          <w14:textFill>
            <w14:solidFill>
              <w14:schemeClr w14:val="tx1"/>
            </w14:solidFill>
          </w14:textFill>
        </w:rPr>
        <w:t>中国史</w:t>
      </w:r>
      <w:r>
        <w:rPr>
          <w:rFonts w:hint="eastAsia" w:eastAsiaTheme="minorEastAsia"/>
          <w:iCs/>
          <w:color w:val="000000" w:themeColor="text1"/>
          <w:sz w:val="24"/>
          <w14:textFill>
            <w14:solidFill>
              <w14:schemeClr w14:val="tx1"/>
            </w14:solidFill>
          </w14:textFill>
        </w:rPr>
        <w:t>学科在宋辽夏金史、华北区域史、思想文化史、社会经济史等方面具有鲜明的特色和优势。曾荣获教育部社科优秀成果一、二等奖和河北省社科优秀成果特别奖、一等奖十余项。出版《宋代经济史》《王安石变法》《中国改革通史》《辽宋西夏金代通史》《漆侠全集》等代表性学术著作，出版</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华北学系列丛书</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及《保定商会档案》《保定商会档案辑编》《华北史地文献》《救济院档案》《雄安历史文献系列丛书》《高阳纺织业档案</w:t>
      </w:r>
      <w:r>
        <w:rPr>
          <w:rFonts w:hint="eastAsia" w:eastAsiaTheme="minorEastAsia"/>
          <w:iCs/>
          <w:color w:val="000000" w:themeColor="text1"/>
          <w:sz w:val="24"/>
          <w:lang w:val="en-US" w:eastAsia="zh-CN"/>
          <w14:textFill>
            <w14:solidFill>
              <w14:schemeClr w14:val="tx1"/>
            </w14:solidFill>
          </w14:textFill>
        </w:rPr>
        <w:t>史料集成</w:t>
      </w:r>
      <w:r>
        <w:rPr>
          <w:rFonts w:hint="eastAsia" w:eastAsiaTheme="minorEastAsia"/>
          <w:iCs/>
          <w:color w:val="000000" w:themeColor="text1"/>
          <w:sz w:val="24"/>
          <w14:textFill>
            <w14:solidFill>
              <w14:schemeClr w14:val="tx1"/>
            </w14:solidFill>
          </w14:textFill>
        </w:rPr>
        <w:t>》等大型区域特色文献。培养</w:t>
      </w:r>
      <w:r>
        <w:rPr>
          <w:rFonts w:hint="eastAsia" w:eastAsiaTheme="minorEastAsia"/>
          <w:iCs/>
          <w:color w:val="000000" w:themeColor="text1"/>
          <w:sz w:val="24"/>
          <w:lang w:val="en-US" w:eastAsia="zh-CN"/>
          <w14:textFill>
            <w14:solidFill>
              <w14:schemeClr w14:val="tx1"/>
            </w14:solidFill>
          </w14:textFill>
        </w:rPr>
        <w:t>毕业</w:t>
      </w:r>
      <w:r>
        <w:rPr>
          <w:rFonts w:hint="eastAsia" w:eastAsiaTheme="minorEastAsia"/>
          <w:iCs/>
          <w:color w:val="000000" w:themeColor="text1"/>
          <w:sz w:val="24"/>
          <w14:textFill>
            <w14:solidFill>
              <w14:schemeClr w14:val="tx1"/>
            </w14:solidFill>
          </w14:textFill>
        </w:rPr>
        <w:t>博士</w:t>
      </w:r>
      <w:r>
        <w:rPr>
          <w:rFonts w:hint="eastAsia" w:eastAsiaTheme="minorEastAsia"/>
          <w:iCs/>
          <w:color w:val="000000" w:themeColor="text1"/>
          <w:sz w:val="24"/>
          <w:lang w:eastAsia="zh-CN"/>
          <w14:textFill>
            <w14:solidFill>
              <w14:schemeClr w14:val="tx1"/>
            </w14:solidFill>
          </w14:textFill>
        </w:rPr>
        <w:t>、</w:t>
      </w:r>
      <w:r>
        <w:rPr>
          <w:rFonts w:hint="eastAsia" w:eastAsiaTheme="minorEastAsia"/>
          <w:iCs/>
          <w:color w:val="000000" w:themeColor="text1"/>
          <w:sz w:val="24"/>
          <w14:textFill>
            <w14:solidFill>
              <w14:schemeClr w14:val="tx1"/>
            </w14:solidFill>
          </w14:textFill>
        </w:rPr>
        <w:t>硕士</w:t>
      </w:r>
      <w:r>
        <w:rPr>
          <w:rFonts w:hint="eastAsia" w:eastAsiaTheme="minorEastAsia"/>
          <w:iCs/>
          <w:color w:val="000000" w:themeColor="text1"/>
          <w:sz w:val="24"/>
          <w:lang w:val="en-US" w:eastAsia="zh-CN"/>
          <w14:textFill>
            <w14:solidFill>
              <w14:schemeClr w14:val="tx1"/>
            </w14:solidFill>
          </w14:textFill>
        </w:rPr>
        <w:t>研究生</w:t>
      </w:r>
      <w:r>
        <w:rPr>
          <w:rFonts w:hint="eastAsia" w:eastAsiaTheme="minorEastAsia"/>
          <w:iCs/>
          <w:color w:val="000000" w:themeColor="text1"/>
          <w:sz w:val="24"/>
          <w14:textFill>
            <w14:solidFill>
              <w14:schemeClr w14:val="tx1"/>
            </w14:solidFill>
          </w14:textFill>
        </w:rPr>
        <w:t>近1000</w:t>
      </w:r>
      <w:r>
        <w:rPr>
          <w:rFonts w:hint="eastAsia" w:eastAsiaTheme="minorEastAsia"/>
          <w:iCs/>
          <w:color w:val="000000" w:themeColor="text1"/>
          <w:sz w:val="24"/>
          <w:lang w:val="en-US" w:eastAsia="zh-CN"/>
          <w14:textFill>
            <w14:solidFill>
              <w14:schemeClr w14:val="tx1"/>
            </w14:solidFill>
          </w14:textFill>
        </w:rPr>
        <w:t>余</w:t>
      </w:r>
      <w:r>
        <w:rPr>
          <w:rFonts w:hint="eastAsia" w:eastAsiaTheme="minorEastAsia"/>
          <w:iCs/>
          <w:color w:val="000000" w:themeColor="text1"/>
          <w:sz w:val="24"/>
          <w14:textFill>
            <w14:solidFill>
              <w14:schemeClr w14:val="tx1"/>
            </w14:solidFill>
          </w14:textFill>
        </w:rPr>
        <w:t>人，毕业生中多人获得教育部长江学者特聘教授荣誉称号，一大批毕业生已经成长为全国中国史学科的领军人才和骨干力量。</w:t>
      </w:r>
    </w:p>
    <w:p w14:paraId="790A37AA">
      <w:pPr>
        <w:spacing w:line="360" w:lineRule="auto"/>
        <w:ind w:firstLine="560" w:firstLineChars="200"/>
        <w:rPr>
          <w:rFonts w:eastAsia="黑体"/>
          <w:bCs/>
          <w:sz w:val="28"/>
          <w:szCs w:val="28"/>
        </w:rPr>
      </w:pPr>
      <w:r>
        <w:rPr>
          <w:rFonts w:eastAsia="黑体"/>
          <w:bCs/>
          <w:sz w:val="28"/>
          <w:szCs w:val="28"/>
        </w:rPr>
        <w:t>三、研究方向</w:t>
      </w:r>
    </w:p>
    <w:p w14:paraId="0B4741BF">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本学科点经过多年的发展，目前拥有中国古代史、中国近现代史、中国专门史、历史文献学四个较为稳定的研究方向，基本涵盖了中国史专业的重要研究内容。这些研究方向在内容和方法上既相互独立，又相互交叉和补充，本着“究天人之际，通古今之变”的学术追求，着力体现中国史</w:t>
      </w:r>
      <w:r>
        <w:rPr>
          <w:rFonts w:hint="eastAsia" w:eastAsiaTheme="minorEastAsia"/>
          <w:iCs/>
          <w:color w:val="000000" w:themeColor="text1"/>
          <w:sz w:val="24"/>
          <w:lang w:val="en-US" w:eastAsia="zh-CN"/>
          <w14:textFill>
            <w14:solidFill>
              <w14:schemeClr w14:val="tx1"/>
            </w14:solidFill>
          </w14:textFill>
        </w:rPr>
        <w:t>专业</w:t>
      </w:r>
      <w:r>
        <w:rPr>
          <w:rFonts w:hint="eastAsia" w:eastAsiaTheme="minorEastAsia"/>
          <w:iCs/>
          <w:color w:val="000000" w:themeColor="text1"/>
          <w:sz w:val="24"/>
          <w14:textFill>
            <w14:solidFill>
              <w14:schemeClr w14:val="tx1"/>
            </w14:solidFill>
          </w14:textFill>
        </w:rPr>
        <w:t>的系统完整性和发展创新性。</w:t>
      </w:r>
    </w:p>
    <w:p w14:paraId="5AA1044D">
      <w:pPr>
        <w:numPr>
          <w:ilvl w:val="0"/>
          <w:numId w:val="1"/>
        </w:numPr>
        <w:spacing w:line="360" w:lineRule="auto"/>
        <w:ind w:firstLine="480" w:firstLineChars="200"/>
        <w:rPr>
          <w:rFonts w:hint="eastAsia"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中国古代史：本研究方向以典籍为基础，结合出土的碑刻和墓志，对中国古代历史特别是宋辽夏金史、明清经济史进行深入、系统的研究和探讨。在系统掌握史学研究理论和具体史实的基础上，以历史唯物主义和辩证唯物主义为指导，借鉴和利用其它学科的研究方法，对政治、经济、军事、思想文化、社会生活、民族关系、对外交流等方面问题进行深入而系统的研究，充分展现古代中国的面貌。本研究方向的强势特色是宋辽夏金史、中国古代政法史、中国古代经济史、中国古代思想文化史、中国古代科技史等。</w:t>
      </w:r>
    </w:p>
    <w:p w14:paraId="603FEC44">
      <w:pPr>
        <w:numPr>
          <w:ilvl w:val="0"/>
          <w:numId w:val="0"/>
        </w:num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2. 中国近现代史：本研究方向保持了三个较为稳定的特色，即中国近现代社会经济史、中国近现代思想文化史、华北区域史。中国近现代社会经济史主要研究近代中国社会经济的发展过程、状态、特点、规律及其原因，在乡村调查与研究、华北根据地解放区研究等方面的研究，处于全国领先地位。中国近现代思想文化史研究方向主要聚焦近代中外文化交流、留学生、科学社团等方面，在学界中有重要的影响力。华北区域史聚焦于华北城乡与区域社会变迁、海河流域生态环境与文明等方面的研究，特色鲜明、成绩显著，在雄安新区历史文献的整理与研究等方面也成果颇丰。</w:t>
      </w:r>
    </w:p>
    <w:p w14:paraId="382034DF">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3. 中国专门史：本研究方向在唯物史观的指导下，运用多学科综合研究方法，以中国社会史、中国经济史、中国思想文化史、中国古代文明研究为特色，在宋元明清及近现代社会史研究方面具有优势地位，在古代文明、明清高利贷资本、晋商、直隶总督、中国乡村基层政权、近代社会组织、抗日根据地等方面具有突出的研究成果。近年来又侧重生态史、口述史等领域的研究，取得了较为丰硕的学术成果。</w:t>
      </w:r>
    </w:p>
    <w:p w14:paraId="3592171F">
      <w:pPr>
        <w:spacing w:line="360" w:lineRule="auto"/>
        <w:ind w:firstLine="480" w:firstLineChars="200"/>
        <w:rPr>
          <w:rFonts w:eastAsiaTheme="minorEastAsia"/>
          <w:iCs/>
          <w:color w:val="000000" w:themeColor="text1"/>
          <w:sz w:val="24"/>
          <w14:textFill>
            <w14:solidFill>
              <w14:schemeClr w14:val="tx1"/>
            </w14:solidFill>
          </w14:textFill>
        </w:rPr>
      </w:pPr>
      <w:r>
        <w:rPr>
          <w:rFonts w:hint="eastAsia" w:eastAsiaTheme="minorEastAsia"/>
          <w:iCs/>
          <w:color w:val="000000" w:themeColor="text1"/>
          <w:sz w:val="24"/>
          <w14:textFill>
            <w14:solidFill>
              <w14:schemeClr w14:val="tx1"/>
            </w14:solidFill>
          </w14:textFill>
        </w:rPr>
        <w:t>4. 历史文献学：本研究方向主要从事历史文献、文书的挖掘、抢救、整理与研究工作，为探索地方区域经济、文化在新形势下的发展提供学术支撑。本方向具有三大特色：其一，注重对华北区域文献的整理与研究；其二，注重对中国经济史文献的整理与研究，特别是古代货币金融等典籍文献；其三，注重对宋辽夏金元时期的文献、文书的整理与电子数据库建设。</w:t>
      </w:r>
    </w:p>
    <w:p w14:paraId="4A8B357F">
      <w:pPr>
        <w:spacing w:line="360" w:lineRule="auto"/>
        <w:ind w:firstLine="560" w:firstLineChars="200"/>
        <w:rPr>
          <w:rFonts w:eastAsia="黑体"/>
          <w:bCs/>
          <w:sz w:val="28"/>
          <w:szCs w:val="28"/>
        </w:rPr>
      </w:pPr>
      <w:r>
        <w:rPr>
          <w:rFonts w:eastAsia="黑体"/>
          <w:bCs/>
          <w:sz w:val="28"/>
          <w:szCs w:val="28"/>
        </w:rPr>
        <w:t>四、学制及学习年限</w:t>
      </w:r>
    </w:p>
    <w:p w14:paraId="59902419">
      <w:pPr>
        <w:spacing w:line="360" w:lineRule="auto"/>
        <w:ind w:firstLine="480" w:firstLineChars="200"/>
        <w:rPr>
          <w:rFonts w:eastAsiaTheme="minorEastAsia"/>
          <w:i/>
          <w:color w:val="FF0000"/>
          <w:sz w:val="24"/>
        </w:rPr>
      </w:pPr>
      <w:r>
        <w:rPr>
          <w:rFonts w:eastAsiaTheme="minorEastAsia"/>
          <w:color w:val="000000"/>
          <w:sz w:val="24"/>
        </w:rPr>
        <w:t>本专业学制为4年，在校最长学习年限（含休学）不超过8年。</w:t>
      </w:r>
    </w:p>
    <w:p w14:paraId="0278C987">
      <w:pPr>
        <w:spacing w:line="360" w:lineRule="auto"/>
        <w:ind w:firstLine="560" w:firstLineChars="200"/>
        <w:rPr>
          <w:rFonts w:eastAsia="黑体"/>
          <w:bCs/>
          <w:sz w:val="28"/>
          <w:szCs w:val="28"/>
        </w:rPr>
      </w:pPr>
      <w:r>
        <w:rPr>
          <w:rFonts w:eastAsia="黑体"/>
          <w:bCs/>
          <w:sz w:val="28"/>
          <w:szCs w:val="28"/>
        </w:rPr>
        <w:t>五、培养目标</w:t>
      </w:r>
    </w:p>
    <w:p w14:paraId="5DF3BD92">
      <w:pPr>
        <w:spacing w:line="360" w:lineRule="auto"/>
        <w:ind w:firstLine="472" w:firstLineChars="200"/>
        <w:rPr>
          <w:rFonts w:ascii="宋体" w:hAnsi="宋体"/>
          <w:spacing w:val="-2"/>
          <w:sz w:val="24"/>
        </w:rPr>
      </w:pPr>
      <w:r>
        <w:rPr>
          <w:rFonts w:hint="eastAsia" w:ascii="宋体" w:hAnsi="宋体"/>
          <w:spacing w:val="-2"/>
          <w:sz w:val="24"/>
        </w:rPr>
        <w:t>以习近平新时代中国特色社会主义思想为指导，围绕立德树人任务，加强课程思政建设，服务国家战略和社会需求。</w:t>
      </w:r>
    </w:p>
    <w:p w14:paraId="6ABC6A78">
      <w:pPr>
        <w:spacing w:line="360" w:lineRule="auto"/>
        <w:ind w:firstLine="480" w:firstLineChars="200"/>
        <w:rPr>
          <w:rFonts w:ascii="宋体" w:hAnsi="宋体"/>
          <w:spacing w:val="-2"/>
          <w:sz w:val="24"/>
        </w:rPr>
      </w:pPr>
      <w:r>
        <w:rPr>
          <w:rFonts w:hint="eastAsia" w:eastAsiaTheme="minorEastAsia"/>
          <w:color w:val="000000"/>
          <w:sz w:val="24"/>
        </w:rPr>
        <w:t xml:space="preserve">1. </w:t>
      </w:r>
      <w:r>
        <w:rPr>
          <w:rFonts w:hint="eastAsia" w:ascii="宋体" w:hAnsi="宋体"/>
          <w:spacing w:val="-2"/>
          <w:sz w:val="24"/>
        </w:rPr>
        <w:t>树立正确的中国特色社会主义核心价值观，具有坚定的理想信念，高尚的道德情操，优良的学术作风，高度的社会责任感。</w:t>
      </w:r>
    </w:p>
    <w:p w14:paraId="6CC01156">
      <w:pPr>
        <w:spacing w:line="360" w:lineRule="auto"/>
        <w:ind w:firstLine="480"/>
        <w:rPr>
          <w:rFonts w:eastAsiaTheme="minorEastAsia"/>
          <w:iCs/>
          <w:color w:val="000000" w:themeColor="text1"/>
          <w:sz w:val="24"/>
          <w14:textFill>
            <w14:solidFill>
              <w14:schemeClr w14:val="tx1"/>
            </w14:solidFill>
          </w14:textFill>
        </w:rPr>
      </w:pPr>
      <w:r>
        <w:rPr>
          <w:rFonts w:eastAsiaTheme="minorEastAsia"/>
          <w:iCs/>
          <w:color w:val="000000" w:themeColor="text1"/>
          <w:sz w:val="24"/>
          <w14:textFill>
            <w14:solidFill>
              <w14:schemeClr w14:val="tx1"/>
            </w14:solidFill>
          </w14:textFill>
        </w:rPr>
        <w:t xml:space="preserve">2. </w:t>
      </w:r>
      <w:r>
        <w:rPr>
          <w:rFonts w:hint="eastAsia" w:eastAsiaTheme="minorEastAsia"/>
          <w:iCs/>
          <w:color w:val="000000" w:themeColor="text1"/>
          <w:sz w:val="24"/>
          <w14:textFill>
            <w14:solidFill>
              <w14:schemeClr w14:val="tx1"/>
            </w14:solidFill>
          </w14:textFill>
        </w:rPr>
        <w:t>具有系统的史学理论基础、扎实的专业知识和宽广的人文社会科学视野，形成明确的研究方向和较强的史学研究能力</w:t>
      </w:r>
      <w:r>
        <w:rPr>
          <w:rFonts w:eastAsiaTheme="minorEastAsia"/>
          <w:iCs/>
          <w:color w:val="000000" w:themeColor="text1"/>
          <w:sz w:val="24"/>
          <w14:textFill>
            <w14:solidFill>
              <w14:schemeClr w14:val="tx1"/>
            </w14:solidFill>
          </w14:textFill>
        </w:rPr>
        <w:t>；</w:t>
      </w:r>
      <w:bookmarkStart w:id="0" w:name="OLE_LINK4"/>
      <w:bookmarkStart w:id="1" w:name="OLE_LINK3"/>
      <w:r>
        <w:rPr>
          <w:rFonts w:eastAsiaTheme="minorEastAsia"/>
          <w:iCs/>
          <w:color w:val="000000" w:themeColor="text1"/>
          <w:sz w:val="24"/>
          <w14:textFill>
            <w14:solidFill>
              <w14:schemeClr w14:val="tx1"/>
            </w14:solidFill>
          </w14:textFill>
        </w:rPr>
        <w:t>具有独立从事学术研究工作的能力，在</w:t>
      </w:r>
      <w:r>
        <w:rPr>
          <w:rFonts w:hint="eastAsia" w:eastAsiaTheme="minorEastAsia"/>
          <w:iCs/>
          <w:color w:val="000000" w:themeColor="text1"/>
          <w:sz w:val="24"/>
          <w14:textFill>
            <w14:solidFill>
              <w14:schemeClr w14:val="tx1"/>
            </w14:solidFill>
          </w14:textFill>
        </w:rPr>
        <w:t>史学</w:t>
      </w:r>
      <w:r>
        <w:rPr>
          <w:rFonts w:eastAsiaTheme="minorEastAsia"/>
          <w:iCs/>
          <w:color w:val="000000" w:themeColor="text1"/>
          <w:sz w:val="24"/>
          <w14:textFill>
            <w14:solidFill>
              <w14:schemeClr w14:val="tx1"/>
            </w14:solidFill>
          </w14:textFill>
        </w:rPr>
        <w:t>研究领域做出创新性成果。</w:t>
      </w:r>
      <w:bookmarkEnd w:id="0"/>
      <w:bookmarkEnd w:id="1"/>
    </w:p>
    <w:p w14:paraId="1F65F120">
      <w:pPr>
        <w:spacing w:line="360" w:lineRule="auto"/>
        <w:ind w:firstLine="480"/>
        <w:rPr>
          <w:rFonts w:eastAsiaTheme="minorEastAsia"/>
          <w:iCs/>
          <w:color w:val="000000" w:themeColor="text1"/>
          <w:sz w:val="24"/>
          <w14:textFill>
            <w14:solidFill>
              <w14:schemeClr w14:val="tx1"/>
            </w14:solidFill>
          </w14:textFill>
        </w:rPr>
      </w:pPr>
      <w:r>
        <w:rPr>
          <w:rFonts w:eastAsiaTheme="minorEastAsia"/>
          <w:iCs/>
          <w:color w:val="000000" w:themeColor="text1"/>
          <w:sz w:val="24"/>
          <w14:textFill>
            <w14:solidFill>
              <w14:schemeClr w14:val="tx1"/>
            </w14:solidFill>
          </w14:textFill>
        </w:rPr>
        <w:t>3. 至少掌握一门外国语，能熟练阅读本专业的外文资料，具有撰写学术论文和进行国际学术交流的能力。</w:t>
      </w:r>
    </w:p>
    <w:p w14:paraId="21A612F7">
      <w:pPr>
        <w:spacing w:line="360" w:lineRule="auto"/>
        <w:ind w:firstLine="480"/>
        <w:rPr>
          <w:rFonts w:eastAsiaTheme="minorEastAsia"/>
          <w:iCs/>
          <w:color w:val="000000" w:themeColor="text1"/>
          <w:sz w:val="24"/>
          <w14:textFill>
            <w14:solidFill>
              <w14:schemeClr w14:val="tx1"/>
            </w14:solidFill>
          </w14:textFill>
        </w:rPr>
      </w:pPr>
      <w:r>
        <w:rPr>
          <w:rFonts w:eastAsiaTheme="minorEastAsia"/>
          <w:iCs/>
          <w:color w:val="000000" w:themeColor="text1"/>
          <w:sz w:val="24"/>
          <w14:textFill>
            <w14:solidFill>
              <w14:schemeClr w14:val="tx1"/>
            </w14:solidFill>
          </w14:textFill>
        </w:rPr>
        <w:t>4. 具有良好的团队意识和团队合作精神</w:t>
      </w:r>
      <w:r>
        <w:rPr>
          <w:rFonts w:hint="eastAsia" w:eastAsiaTheme="minorEastAsia"/>
          <w:iCs/>
          <w:color w:val="000000" w:themeColor="text1"/>
          <w:sz w:val="24"/>
          <w14:textFill>
            <w14:solidFill>
              <w14:schemeClr w14:val="tx1"/>
            </w14:solidFill>
          </w14:textFill>
        </w:rPr>
        <w:t>，具备</w:t>
      </w:r>
      <w:r>
        <w:rPr>
          <w:rFonts w:eastAsiaTheme="minorEastAsia"/>
          <w:iCs/>
          <w:color w:val="000000" w:themeColor="text1"/>
          <w:sz w:val="24"/>
          <w14:textFill>
            <w14:solidFill>
              <w14:schemeClr w14:val="tx1"/>
            </w14:solidFill>
          </w14:textFill>
        </w:rPr>
        <w:t>良好的心理素养</w:t>
      </w:r>
      <w:r>
        <w:rPr>
          <w:rFonts w:hint="eastAsia" w:eastAsiaTheme="minorEastAsia"/>
          <w:iCs/>
          <w:color w:val="000000" w:themeColor="text1"/>
          <w:sz w:val="24"/>
          <w14:textFill>
            <w14:solidFill>
              <w14:schemeClr w14:val="tx1"/>
            </w14:solidFill>
          </w14:textFill>
        </w:rPr>
        <w:t>，</w:t>
      </w:r>
      <w:r>
        <w:rPr>
          <w:rFonts w:eastAsiaTheme="minorEastAsia"/>
          <w:iCs/>
          <w:color w:val="000000" w:themeColor="text1"/>
          <w:sz w:val="24"/>
          <w14:textFill>
            <w14:solidFill>
              <w14:schemeClr w14:val="tx1"/>
            </w14:solidFill>
          </w14:textFill>
        </w:rPr>
        <w:t>德智体美劳全面发展。</w:t>
      </w:r>
    </w:p>
    <w:p w14:paraId="7B3241BA">
      <w:pPr>
        <w:spacing w:line="360" w:lineRule="auto"/>
        <w:ind w:firstLine="560" w:firstLineChars="200"/>
        <w:rPr>
          <w:rFonts w:eastAsia="黑体"/>
          <w:bCs/>
          <w:sz w:val="28"/>
          <w:szCs w:val="28"/>
        </w:rPr>
      </w:pPr>
      <w:r>
        <w:rPr>
          <w:rFonts w:hint="eastAsia" w:eastAsia="黑体"/>
          <w:bCs/>
          <w:sz w:val="28"/>
          <w:szCs w:val="28"/>
        </w:rPr>
        <w:t>六、培养方式</w:t>
      </w:r>
    </w:p>
    <w:p w14:paraId="02E48422">
      <w:pPr>
        <w:spacing w:line="360" w:lineRule="auto"/>
        <w:ind w:firstLine="480" w:firstLineChars="200"/>
        <w:rPr>
          <w:rFonts w:asciiTheme="minorEastAsia" w:hAnsiTheme="minorEastAsia" w:eastAsiaTheme="minorEastAsia"/>
          <w:bCs/>
          <w:iCs/>
          <w:color w:val="000000" w:themeColor="text1"/>
          <w:sz w:val="24"/>
          <w14:textFill>
            <w14:solidFill>
              <w14:schemeClr w14:val="tx1"/>
            </w14:solidFill>
          </w14:textFill>
        </w:rPr>
      </w:pPr>
      <w:r>
        <w:rPr>
          <w:rFonts w:hint="eastAsia" w:asciiTheme="minorEastAsia" w:hAnsiTheme="minorEastAsia" w:eastAsiaTheme="minorEastAsia"/>
          <w:bCs/>
          <w:iCs/>
          <w:color w:val="000000" w:themeColor="text1"/>
          <w:sz w:val="24"/>
          <w14:textFill>
            <w14:solidFill>
              <w14:schemeClr w14:val="tx1"/>
            </w14:solidFill>
          </w14:textFill>
        </w:rPr>
        <w:t>采取导师负责与集体培养相结合的培养方式。</w:t>
      </w:r>
    </w:p>
    <w:p w14:paraId="73FFF9CC">
      <w:pPr>
        <w:spacing w:line="360" w:lineRule="auto"/>
        <w:ind w:firstLine="480" w:firstLineChars="200"/>
        <w:rPr>
          <w:rFonts w:asciiTheme="minorEastAsia" w:hAnsiTheme="minorEastAsia" w:eastAsiaTheme="minorEastAsia"/>
          <w:bCs/>
          <w:iCs/>
          <w:color w:val="000000" w:themeColor="text1"/>
          <w:sz w:val="24"/>
          <w14:textFill>
            <w14:solidFill>
              <w14:schemeClr w14:val="tx1"/>
            </w14:solidFill>
          </w14:textFill>
        </w:rPr>
      </w:pPr>
      <w:r>
        <w:rPr>
          <w:rFonts w:hint="eastAsia" w:asciiTheme="minorEastAsia" w:hAnsiTheme="minorEastAsia" w:eastAsiaTheme="minorEastAsia"/>
          <w:bCs/>
          <w:iCs/>
          <w:color w:val="000000" w:themeColor="text1"/>
          <w:sz w:val="24"/>
          <w14:textFill>
            <w14:solidFill>
              <w14:schemeClr w14:val="tx1"/>
            </w14:solidFill>
          </w14:textFill>
        </w:rPr>
        <w:t>导师是研究生培养的第一责任人。导师根据河北大学博士生培养及学位论文要求，制定每个学生的培养计划，使学生既具备宽广的学术基础，又获得专业理论研究的能力，在学科前沿和学科应用领域有较强的科研创新能力和学业建树。</w:t>
      </w:r>
    </w:p>
    <w:p w14:paraId="233E5B5C">
      <w:pPr>
        <w:spacing w:line="360" w:lineRule="auto"/>
        <w:ind w:firstLine="480" w:firstLineChars="200"/>
        <w:rPr>
          <w:rFonts w:asciiTheme="minorEastAsia" w:hAnsiTheme="minorEastAsia" w:eastAsiaTheme="minorEastAsia"/>
          <w:bCs/>
          <w:iCs/>
          <w:color w:val="000000" w:themeColor="text1"/>
          <w:sz w:val="24"/>
          <w14:textFill>
            <w14:solidFill>
              <w14:schemeClr w14:val="tx1"/>
            </w14:solidFill>
          </w14:textFill>
        </w:rPr>
      </w:pPr>
      <w:r>
        <w:rPr>
          <w:rFonts w:hint="eastAsia" w:asciiTheme="minorEastAsia" w:hAnsiTheme="minorEastAsia" w:eastAsiaTheme="minorEastAsia"/>
          <w:bCs/>
          <w:iCs/>
          <w:color w:val="000000" w:themeColor="text1"/>
          <w:sz w:val="24"/>
          <w14:textFill>
            <w14:solidFill>
              <w14:schemeClr w14:val="tx1"/>
            </w14:solidFill>
          </w14:textFill>
        </w:rPr>
        <w:t>成立包括导师在内的博士生指导小组。指导小组和导师对学生进行全面培养，发挥集体培养的优势，指导研究生的课程学习、科学研究及品德教育等。</w:t>
      </w:r>
    </w:p>
    <w:p w14:paraId="5DE5C5CC">
      <w:pPr>
        <w:spacing w:line="360" w:lineRule="auto"/>
        <w:ind w:firstLine="560" w:firstLineChars="200"/>
        <w:rPr>
          <w:rFonts w:eastAsia="黑体"/>
          <w:bCs/>
          <w:sz w:val="28"/>
          <w:szCs w:val="28"/>
        </w:rPr>
      </w:pPr>
      <w:r>
        <w:rPr>
          <w:rFonts w:hint="eastAsia" w:eastAsia="黑体"/>
          <w:bCs/>
          <w:sz w:val="28"/>
          <w:szCs w:val="28"/>
        </w:rPr>
        <w:t>七</w:t>
      </w:r>
      <w:r>
        <w:rPr>
          <w:rFonts w:eastAsia="黑体"/>
          <w:bCs/>
          <w:sz w:val="28"/>
          <w:szCs w:val="28"/>
        </w:rPr>
        <w:t>、中期筛选</w:t>
      </w:r>
    </w:p>
    <w:p w14:paraId="52E1FAED">
      <w:pPr>
        <w:spacing w:line="360" w:lineRule="auto"/>
        <w:ind w:firstLine="480" w:firstLineChars="20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在完成培养方案规定的课程学习、考核成绩合格、获得规定的学分后，按照《河北大学研究生中期筛选管理办法》（校政字〔2021〕15号）的相关规定，组织开展中期筛选工作。</w:t>
      </w:r>
    </w:p>
    <w:p w14:paraId="42642B71">
      <w:pPr>
        <w:spacing w:line="360" w:lineRule="auto"/>
        <w:ind w:firstLine="560" w:firstLineChars="200"/>
        <w:rPr>
          <w:rFonts w:eastAsia="黑体"/>
          <w:bCs/>
          <w:sz w:val="28"/>
          <w:szCs w:val="28"/>
        </w:rPr>
      </w:pPr>
      <w:r>
        <w:rPr>
          <w:rFonts w:hint="eastAsia" w:eastAsia="黑体"/>
          <w:bCs/>
          <w:sz w:val="28"/>
          <w:szCs w:val="28"/>
        </w:rPr>
        <w:t>八</w:t>
      </w:r>
      <w:r>
        <w:rPr>
          <w:rFonts w:eastAsia="黑体"/>
          <w:bCs/>
          <w:sz w:val="28"/>
          <w:szCs w:val="28"/>
        </w:rPr>
        <w:t>、学位（毕业）论文</w:t>
      </w:r>
    </w:p>
    <w:p w14:paraId="17E3639F">
      <w:pPr>
        <w:widowControl/>
        <w:spacing w:line="360" w:lineRule="auto"/>
        <w:ind w:firstLine="480"/>
        <w:jc w:val="left"/>
        <w:rPr>
          <w:i/>
          <w:color w:val="FF0000"/>
          <w:kern w:val="0"/>
          <w:sz w:val="18"/>
          <w:szCs w:val="18"/>
        </w:rPr>
      </w:pPr>
      <w:r>
        <w:rPr>
          <w:bCs/>
          <w:color w:val="222222"/>
          <w:kern w:val="0"/>
          <w:sz w:val="24"/>
        </w:rPr>
        <w:t>1.总体要求：</w:t>
      </w:r>
      <w:r>
        <w:rPr>
          <w:color w:val="000000" w:themeColor="text1"/>
          <w:kern w:val="0"/>
          <w:sz w:val="24"/>
          <w14:textFill>
            <w14:solidFill>
              <w14:schemeClr w14:val="tx1"/>
            </w14:solidFill>
          </w14:textFill>
        </w:rPr>
        <w:t>按照《河北大学关于开展2025版研究生培养方案修订工作的指导意见》（校政字</w:t>
      </w:r>
      <w:r>
        <w:rPr>
          <w:rFonts w:eastAsiaTheme="minorEastAsia"/>
          <w:bCs/>
          <w:sz w:val="24"/>
        </w:rPr>
        <w:t>〔2025〕9号</w:t>
      </w:r>
      <w:r>
        <w:rPr>
          <w:color w:val="000000" w:themeColor="text1"/>
          <w:kern w:val="0"/>
          <w:sz w:val="24"/>
          <w14:textFill>
            <w14:solidFill>
              <w14:schemeClr w14:val="tx1"/>
            </w14:solidFill>
          </w14:textFill>
        </w:rPr>
        <w:t>）规定，博士研究生论文开题与答辩时间间隔原则上不少于18个月。</w:t>
      </w:r>
      <w:r>
        <w:rPr>
          <w:rFonts w:hint="eastAsia"/>
          <w:iCs/>
          <w:color w:val="000000" w:themeColor="text1"/>
          <w:kern w:val="0"/>
          <w:sz w:val="24"/>
          <w14:textFill>
            <w14:solidFill>
              <w14:schemeClr w14:val="tx1"/>
            </w14:solidFill>
          </w14:textFill>
        </w:rPr>
        <w:t>学术博士研究生必须在导师指导下独立完成学位（毕业）论文。学位（毕业）论文应表明作者较好的掌握了本学科的基础理论、专门知识和基本技能，并取得一定水平的创新性成果，不得抄袭和剽窃他人成果。</w:t>
      </w:r>
    </w:p>
    <w:p w14:paraId="09718EE0">
      <w:pPr>
        <w:widowControl/>
        <w:spacing w:line="360" w:lineRule="auto"/>
        <w:ind w:firstLine="480"/>
        <w:jc w:val="left"/>
        <w:rPr>
          <w:color w:val="222222"/>
          <w:kern w:val="0"/>
          <w:sz w:val="18"/>
          <w:szCs w:val="18"/>
        </w:rPr>
      </w:pPr>
      <w:r>
        <w:rPr>
          <w:bCs/>
          <w:color w:val="222222"/>
          <w:kern w:val="0"/>
          <w:sz w:val="24"/>
        </w:rPr>
        <w:t>2.开题：</w:t>
      </w:r>
      <w:r>
        <w:rPr>
          <w:iCs/>
          <w:color w:val="000000" w:themeColor="text1"/>
          <w:kern w:val="0"/>
          <w:sz w:val="24"/>
          <w14:textFill>
            <w14:solidFill>
              <w14:schemeClr w14:val="tx1"/>
            </w14:solidFill>
          </w14:textFill>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6482DF1F">
      <w:pPr>
        <w:widowControl/>
        <w:spacing w:line="360" w:lineRule="auto"/>
        <w:ind w:firstLine="480"/>
        <w:jc w:val="left"/>
        <w:rPr>
          <w:iCs/>
          <w:color w:val="000000" w:themeColor="text1"/>
          <w:kern w:val="0"/>
          <w:sz w:val="18"/>
          <w:szCs w:val="18"/>
          <w14:textFill>
            <w14:solidFill>
              <w14:schemeClr w14:val="tx1"/>
            </w14:solidFill>
          </w14:textFill>
        </w:rPr>
      </w:pPr>
      <w:r>
        <w:rPr>
          <w:iCs/>
          <w:color w:val="000000" w:themeColor="text1"/>
          <w:kern w:val="0"/>
          <w:sz w:val="24"/>
          <w14:textFill>
            <w14:solidFill>
              <w14:schemeClr w14:val="tx1"/>
            </w14:solidFill>
          </w14:textFill>
        </w:rPr>
        <w:t>原则上在入学后第3学期（最迟不超过第4学期）完成开题。开题由3-5名具有正高级专业技术职务人员参加，以学术报告的方式进行。</w:t>
      </w:r>
      <w:r>
        <w:rPr>
          <w:rFonts w:hint="eastAsia"/>
          <w:iCs/>
          <w:color w:val="000000" w:themeColor="text1"/>
          <w:kern w:val="0"/>
          <w:sz w:val="24"/>
          <w14:textFill>
            <w14:solidFill>
              <w14:schemeClr w14:val="tx1"/>
            </w14:solidFill>
          </w14:textFill>
        </w:rPr>
        <w:t>开题经导师组五分之三以上认可通过后，方可进行学位论文的研究和写作工作。不通过者延期至下一次重新开题。</w:t>
      </w:r>
    </w:p>
    <w:p w14:paraId="0BB68780">
      <w:pPr>
        <w:widowControl/>
        <w:spacing w:line="360" w:lineRule="auto"/>
        <w:ind w:firstLine="480"/>
        <w:jc w:val="left"/>
        <w:rPr>
          <w:i/>
          <w:color w:val="FF0000"/>
          <w:kern w:val="0"/>
          <w:sz w:val="24"/>
        </w:rPr>
      </w:pPr>
      <w:r>
        <w:rPr>
          <w:bCs/>
          <w:color w:val="222222"/>
          <w:kern w:val="0"/>
          <w:sz w:val="24"/>
        </w:rPr>
        <w:t>3.中期进展报告：</w:t>
      </w:r>
      <w:r>
        <w:rPr>
          <w:iCs/>
          <w:color w:val="000000" w:themeColor="text1"/>
          <w:kern w:val="0"/>
          <w:sz w:val="24"/>
          <w14:textFill>
            <w14:solidFill>
              <w14:schemeClr w14:val="tx1"/>
            </w14:solidFill>
          </w14:textFill>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7478E7CE">
      <w:pPr>
        <w:widowControl/>
        <w:spacing w:line="360" w:lineRule="auto"/>
        <w:ind w:firstLine="480"/>
        <w:jc w:val="left"/>
        <w:rPr>
          <w:i/>
          <w:color w:val="FF0000"/>
          <w:kern w:val="0"/>
          <w:sz w:val="24"/>
        </w:rPr>
      </w:pPr>
      <w:r>
        <w:rPr>
          <w:bCs/>
          <w:color w:val="222222"/>
          <w:kern w:val="0"/>
          <w:sz w:val="24"/>
        </w:rPr>
        <w:t>4.学位申请：</w:t>
      </w:r>
      <w:r>
        <w:rPr>
          <w:iCs/>
          <w:color w:val="000000" w:themeColor="text1"/>
          <w:kern w:val="0"/>
          <w:sz w:val="24"/>
          <w14:textFill>
            <w14:solidFill>
              <w14:schemeClr w14:val="tx1"/>
            </w14:solidFill>
          </w14:textFill>
        </w:rPr>
        <w:t>达到学位授予条件的申请人，经导师同意后，应于答辩前三个月，向所属学位评定分委员会提出学位申请，提交学位申请材料。</w:t>
      </w:r>
    </w:p>
    <w:p w14:paraId="757517EB">
      <w:pPr>
        <w:widowControl/>
        <w:spacing w:line="360" w:lineRule="auto"/>
        <w:ind w:firstLine="480"/>
        <w:jc w:val="left"/>
        <w:rPr>
          <w:iCs/>
          <w:color w:val="000000" w:themeColor="text1"/>
          <w:kern w:val="0"/>
          <w:sz w:val="24"/>
          <w14:textFill>
            <w14:solidFill>
              <w14:schemeClr w14:val="tx1"/>
            </w14:solidFill>
          </w14:textFill>
        </w:rPr>
      </w:pPr>
      <w:r>
        <w:rPr>
          <w:bCs/>
          <w:color w:val="222222"/>
          <w:kern w:val="0"/>
          <w:sz w:val="24"/>
        </w:rPr>
        <w:t>5.预答辩：</w:t>
      </w:r>
      <w:r>
        <w:rPr>
          <w:iCs/>
          <w:color w:val="000000" w:themeColor="text1"/>
          <w:kern w:val="0"/>
          <w:sz w:val="24"/>
          <w14:textFill>
            <w14:solidFill>
              <w14:schemeClr w14:val="tx1"/>
            </w14:solidFill>
          </w14:textFill>
        </w:rPr>
        <w:t>学位申请人须进行学位论文预答辩。预答辩通过者，方可进入学位论文评阅、学位论文答辩等环节。</w:t>
      </w:r>
    </w:p>
    <w:p w14:paraId="1830DD0A">
      <w:pPr>
        <w:adjustRightInd w:val="0"/>
        <w:snapToGrid w:val="0"/>
        <w:spacing w:line="360" w:lineRule="auto"/>
        <w:ind w:firstLine="480" w:firstLineChars="200"/>
        <w:rPr>
          <w:rFonts w:ascii="仿宋" w:hAnsi="仿宋" w:cs="仿宋"/>
          <w:sz w:val="24"/>
        </w:rPr>
      </w:pPr>
      <w:r>
        <w:rPr>
          <w:iCs/>
          <w:color w:val="000000" w:themeColor="text1"/>
          <w:kern w:val="0"/>
          <w:sz w:val="24"/>
          <w14:textFill>
            <w14:solidFill>
              <w14:schemeClr w14:val="tx1"/>
            </w14:solidFill>
          </w14:textFill>
        </w:rPr>
        <w:t>学位（毕业）论文预答辩在正式答辩前3个月进行。</w:t>
      </w:r>
      <w:bookmarkStart w:id="6" w:name="_GoBack"/>
      <w:bookmarkEnd w:id="6"/>
      <w:r>
        <w:rPr>
          <w:rFonts w:hint="eastAsia" w:ascii="仿宋" w:hAnsi="仿宋" w:cs="仿宋"/>
          <w:sz w:val="24"/>
        </w:rPr>
        <w:t>所有拟申请学位的研究生必须参加预答辩。预答辩结果分为合格、修改、未通过。合格等级可在经过修改后进入机审及相应环节；修改等级必须要对论文进行逐项的认真修改后，经导师同意及预答辩同组老师全部签字同意后方可进入机审及相应环节；未通过等级经学院分学位委员会认定后做延期处理，不得进入机审及毕业流程。</w:t>
      </w:r>
    </w:p>
    <w:p w14:paraId="44EE64F6">
      <w:pPr>
        <w:adjustRightInd w:val="0"/>
        <w:snapToGrid w:val="0"/>
        <w:spacing w:line="360" w:lineRule="auto"/>
        <w:ind w:firstLine="480" w:firstLineChars="200"/>
        <w:rPr>
          <w:iCs/>
          <w:color w:val="000000" w:themeColor="text1"/>
          <w:kern w:val="0"/>
          <w:sz w:val="24"/>
          <w14:textFill>
            <w14:solidFill>
              <w14:schemeClr w14:val="tx1"/>
            </w14:solidFill>
          </w14:textFill>
        </w:rPr>
      </w:pPr>
      <w:r>
        <w:rPr>
          <w:rFonts w:hint="eastAsia" w:ascii="仿宋" w:hAnsi="仿宋" w:cs="仿宋"/>
          <w:sz w:val="24"/>
        </w:rPr>
        <w:t>未经过预答辩论文不准进入机审等相应程序，必须延期处理。导师原则上应参与本学生预答辩环节，若因个人原因不能出席，需要书面情况说明留档备案。</w:t>
      </w:r>
    </w:p>
    <w:p w14:paraId="0746A4C9">
      <w:pPr>
        <w:widowControl/>
        <w:spacing w:line="360" w:lineRule="auto"/>
        <w:ind w:firstLine="480"/>
        <w:jc w:val="left"/>
        <w:rPr>
          <w:color w:val="222222"/>
          <w:kern w:val="0"/>
          <w:sz w:val="24"/>
        </w:rPr>
      </w:pPr>
      <w:r>
        <w:rPr>
          <w:bCs/>
          <w:color w:val="222222"/>
          <w:kern w:val="0"/>
          <w:sz w:val="24"/>
        </w:rPr>
        <w:t>6.论文评阅：</w:t>
      </w:r>
      <w:r>
        <w:rPr>
          <w:iCs/>
          <w:color w:val="000000" w:themeColor="text1"/>
          <w:kern w:val="0"/>
          <w:sz w:val="24"/>
          <w14:textFill>
            <w14:solidFill>
              <w14:schemeClr w14:val="tx1"/>
            </w14:solidFill>
          </w14:textFill>
        </w:rPr>
        <w:t>学位（毕业）论文在获得导师组认可，经培养单位形式审查合格，并通过预答辩，方可提出进入评阅程序的申请。论文评阅在正式答辩前40天由研究生提出，由培养单位依据相关规定进行匿名评审。</w:t>
      </w:r>
      <w:r>
        <w:rPr>
          <w:color w:val="222222"/>
          <w:kern w:val="0"/>
          <w:sz w:val="24"/>
        </w:rPr>
        <w:t>评阅结果及异议处理按照《河北大学研究生学位论文或者实践成果评审管理办法》（校政字〔2025〕8号）执行。</w:t>
      </w:r>
    </w:p>
    <w:p w14:paraId="3C2C6E5D">
      <w:pPr>
        <w:widowControl/>
        <w:spacing w:line="360" w:lineRule="auto"/>
        <w:ind w:firstLine="480"/>
        <w:jc w:val="left"/>
        <w:rPr>
          <w:rFonts w:eastAsiaTheme="minorEastAsia"/>
          <w:i/>
          <w:color w:val="FF0000"/>
          <w:sz w:val="24"/>
        </w:rPr>
      </w:pPr>
      <w:r>
        <w:rPr>
          <w:bCs/>
          <w:color w:val="222222"/>
          <w:kern w:val="0"/>
          <w:sz w:val="24"/>
        </w:rPr>
        <w:t>7.答辩：学位（毕业）论文答辩按照</w:t>
      </w:r>
      <w:r>
        <w:rPr>
          <w:color w:val="222222"/>
          <w:kern w:val="0"/>
          <w:sz w:val="24"/>
        </w:rPr>
        <w:t>《河北大学博士、硕士学位授予工作实施细则》（校政字〔2025〕7号）执行。</w:t>
      </w:r>
    </w:p>
    <w:p w14:paraId="0F92BA3C">
      <w:pPr>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0AFF381D">
      <w:pPr>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7C18595E">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bCs/>
          <w:color w:val="000000" w:themeColor="text1"/>
          <w:sz w:val="24"/>
          <w14:textFill>
            <w14:solidFill>
              <w14:schemeClr w14:val="tx1"/>
            </w14:solidFill>
          </w14:textFill>
        </w:rPr>
        <w:t>2. 学术活动。研究生</w:t>
      </w:r>
      <w:r>
        <w:rPr>
          <w:rFonts w:eastAsiaTheme="minorEastAsia"/>
          <w:color w:val="000000" w:themeColor="text1"/>
          <w:sz w:val="24"/>
          <w14:textFill>
            <w14:solidFill>
              <w14:schemeClr w14:val="tx1"/>
            </w14:solidFill>
          </w14:textFill>
        </w:rPr>
        <w:t>在读期间参加不少于15次学术活动，并撰写学术报告小结；以主讲人或宣讲人身份，参加在校内外举行的学术报告或学术讲座不少于2次。</w:t>
      </w:r>
    </w:p>
    <w:p w14:paraId="48FF8DC1">
      <w:pPr>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0EEE0ADF">
      <w:pPr>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5D23B3C0">
      <w:pPr>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3DB3A311">
      <w:pPr>
        <w:spacing w:line="360" w:lineRule="auto"/>
        <w:ind w:firstLine="480" w:firstLineChars="200"/>
        <w:rPr>
          <w:iCs/>
          <w:color w:val="000000" w:themeColor="text1"/>
          <w:kern w:val="0"/>
          <w:sz w:val="24"/>
          <w14:textFill>
            <w14:solidFill>
              <w14:schemeClr w14:val="tx1"/>
            </w14:solidFill>
          </w14:textFill>
        </w:rPr>
      </w:pPr>
      <w:r>
        <w:rPr>
          <w:rFonts w:hint="eastAsia"/>
          <w:iCs/>
          <w:color w:val="000000" w:themeColor="text1"/>
          <w:kern w:val="0"/>
          <w:sz w:val="24"/>
          <w14:textFill>
            <w14:solidFill>
              <w14:schemeClr w14:val="tx1"/>
            </w14:solidFill>
          </w14:textFill>
        </w:rPr>
        <w:t>博士研究生在攻读博士学位期间，取得的创新性成果可为学术论文、专著、科研项目、科研奖励、领导批示等多种形式。用于申请学位的创新性成果，第一署名单位为河北大学；本人排名第一，或导师排名第一本人排名第二。具体内容依据《宋史研究中心关于研究生申请学位取得创新性成果的规定》《历史学院关于研究生申请学位取得创新性成果的规定》文件规定。</w:t>
      </w:r>
    </w:p>
    <w:p w14:paraId="2F83A69B">
      <w:pPr>
        <w:spacing w:line="360" w:lineRule="auto"/>
        <w:ind w:firstLine="560" w:firstLineChars="200"/>
        <w:rPr>
          <w:rFonts w:eastAsia="黑体"/>
          <w:bCs/>
          <w:sz w:val="28"/>
          <w:szCs w:val="28"/>
        </w:rPr>
      </w:pPr>
      <w:r>
        <w:rPr>
          <w:rFonts w:eastAsia="黑体"/>
          <w:bCs/>
          <w:sz w:val="28"/>
          <w:szCs w:val="28"/>
        </w:rPr>
        <w:t>十一、学位授予</w:t>
      </w:r>
    </w:p>
    <w:p w14:paraId="689B6392">
      <w:pPr>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满足本</w:t>
      </w:r>
      <w:r>
        <w:rPr>
          <w:iCs/>
          <w:color w:val="000000" w:themeColor="text1"/>
          <w:kern w:val="0"/>
          <w:sz w:val="24"/>
          <w14:textFill>
            <w14:solidFill>
              <w14:schemeClr w14:val="tx1"/>
            </w14:solidFill>
          </w14:textFill>
        </w:rPr>
        <w:t>学院/中心</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的有关规定，达到学校学位授予标准，经学校学位评定委员会审议，授予博士学位。</w:t>
      </w:r>
    </w:p>
    <w:p w14:paraId="2C47BB05">
      <w:pPr>
        <w:spacing w:line="360" w:lineRule="auto"/>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56DE86A2">
      <w:pPr>
        <w:spacing w:line="360" w:lineRule="auto"/>
        <w:ind w:firstLine="480" w:firstLineChars="200"/>
        <w:rPr>
          <w:rFonts w:eastAsiaTheme="minorEastAsia"/>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本专业最低毕业学分为19</w:t>
      </w:r>
      <w:r>
        <w:rPr>
          <w:rFonts w:hint="eastAsia" w:eastAsiaTheme="minorEastAsia"/>
          <w:color w:val="000000" w:themeColor="text1"/>
          <w:sz w:val="24"/>
          <w14:textFill>
            <w14:solidFill>
              <w14:schemeClr w14:val="tx1"/>
            </w14:solidFill>
          </w14:textFill>
        </w:rPr>
        <w:t>学</w:t>
      </w:r>
      <w:r>
        <w:rPr>
          <w:rFonts w:eastAsiaTheme="minorEastAsia"/>
          <w:color w:val="000000" w:themeColor="text1"/>
          <w:sz w:val="24"/>
          <w14:textFill>
            <w14:solidFill>
              <w14:schemeClr w14:val="tx1"/>
            </w14:solidFill>
          </w14:textFill>
        </w:rPr>
        <w:t>分，其中学位课10学分，非学位课</w:t>
      </w:r>
      <w:r>
        <w:rPr>
          <w:rFonts w:hint="eastAsia" w:eastAsiaTheme="minorEastAsia"/>
          <w:color w:val="000000" w:themeColor="text1"/>
          <w:sz w:val="24"/>
          <w14:textFill>
            <w14:solidFill>
              <w14:schemeClr w14:val="tx1"/>
            </w14:solidFill>
          </w14:textFill>
        </w:rPr>
        <w:t>8</w:t>
      </w:r>
      <w:r>
        <w:rPr>
          <w:rFonts w:eastAsiaTheme="minorEastAsia"/>
          <w:color w:val="000000" w:themeColor="text1"/>
          <w:sz w:val="24"/>
          <w14:textFill>
            <w14:solidFill>
              <w14:schemeClr w14:val="tx1"/>
            </w14:solidFill>
          </w14:textFill>
        </w:rPr>
        <w:t>学分，必修环节</w:t>
      </w:r>
      <w:r>
        <w:rPr>
          <w:rFonts w:hint="eastAsia" w:eastAsiaTheme="minorEastAsia"/>
          <w:color w:val="000000" w:themeColor="text1"/>
          <w:sz w:val="24"/>
          <w14:textFill>
            <w14:solidFill>
              <w14:schemeClr w14:val="tx1"/>
            </w14:solidFill>
          </w14:textFill>
        </w:rPr>
        <w:t>1</w:t>
      </w:r>
      <w:r>
        <w:rPr>
          <w:rFonts w:eastAsiaTheme="minorEastAsia"/>
          <w:color w:val="000000" w:themeColor="text1"/>
          <w:sz w:val="24"/>
          <w14:textFill>
            <w14:solidFill>
              <w14:schemeClr w14:val="tx1"/>
            </w14:solidFill>
          </w14:textFill>
        </w:rPr>
        <w:t>分。</w:t>
      </w:r>
    </w:p>
    <w:p w14:paraId="31DFCA32">
      <w:pPr>
        <w:spacing w:line="360" w:lineRule="auto"/>
        <w:rPr>
          <w:color w:val="000000" w:themeColor="text1"/>
          <w:sz w:val="24"/>
          <w14:textFill>
            <w14:solidFill>
              <w14:schemeClr w14:val="tx1"/>
            </w14:solidFill>
          </w14:textFill>
        </w:rPr>
      </w:pPr>
      <w:r>
        <w:rPr>
          <w:rFonts w:eastAsiaTheme="minorEastAsia"/>
          <w:color w:val="000000" w:themeColor="text1"/>
          <w:sz w:val="24"/>
          <w14:textFill>
            <w14:solidFill>
              <w14:schemeClr w14:val="tx1"/>
            </w14:solidFill>
          </w14:textFill>
        </w:rPr>
        <w:t xml:space="preserve">    课程考试不设补考环节，</w:t>
      </w:r>
      <w:r>
        <w:rPr>
          <w:color w:val="000000" w:themeColor="text1"/>
          <w:sz w:val="24"/>
          <w14:textFill>
            <w14:solidFill>
              <w14:schemeClr w14:val="tx1"/>
            </w14:solidFill>
          </w14:textFill>
        </w:rPr>
        <w:t>考试成绩低于60分的需重修。</w:t>
      </w:r>
    </w:p>
    <w:p w14:paraId="48F5065F">
      <w:pPr>
        <w:spacing w:after="156" w:afterLines="50" w:line="440" w:lineRule="exact"/>
        <w:ind w:firstLine="482" w:firstLineChars="200"/>
        <w:jc w:val="center"/>
        <w:rPr>
          <w:rFonts w:eastAsiaTheme="minorEastAsia"/>
          <w:b/>
          <w:bCs/>
          <w:sz w:val="24"/>
        </w:rPr>
      </w:pPr>
      <w:r>
        <w:rPr>
          <w:rFonts w:hint="eastAsia" w:eastAsiaTheme="minorEastAsia"/>
          <w:b/>
          <w:bCs/>
          <w:color w:val="000000" w:themeColor="text1"/>
          <w:sz w:val="24"/>
          <w14:textFill>
            <w14:solidFill>
              <w14:schemeClr w14:val="tx1"/>
            </w14:solidFill>
          </w14:textFill>
        </w:rPr>
        <w:t>中国史</w:t>
      </w:r>
      <w:r>
        <w:rPr>
          <w:rFonts w:eastAsiaTheme="minorEastAsia"/>
          <w:b/>
          <w:bCs/>
          <w:sz w:val="24"/>
        </w:rPr>
        <w:t>专业学术学位博士研究生课程及培养环节设置一览表</w:t>
      </w:r>
    </w:p>
    <w:tbl>
      <w:tblPr>
        <w:tblStyle w:val="11"/>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102"/>
        <w:gridCol w:w="688"/>
        <w:gridCol w:w="709"/>
        <w:gridCol w:w="1045"/>
      </w:tblGrid>
      <w:tr w14:paraId="2FE901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7B024E76">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课程类别</w:t>
            </w:r>
          </w:p>
        </w:tc>
        <w:tc>
          <w:tcPr>
            <w:tcW w:w="3516" w:type="dxa"/>
            <w:vAlign w:val="center"/>
          </w:tcPr>
          <w:p w14:paraId="228910E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课程说明</w:t>
            </w:r>
          </w:p>
        </w:tc>
        <w:tc>
          <w:tcPr>
            <w:tcW w:w="1102" w:type="dxa"/>
            <w:vAlign w:val="center"/>
          </w:tcPr>
          <w:p w14:paraId="7F5A80D9">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课程编号</w:t>
            </w:r>
          </w:p>
        </w:tc>
        <w:tc>
          <w:tcPr>
            <w:tcW w:w="688" w:type="dxa"/>
            <w:vAlign w:val="center"/>
          </w:tcPr>
          <w:p w14:paraId="4E0E0C9A">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学分</w:t>
            </w:r>
          </w:p>
        </w:tc>
        <w:tc>
          <w:tcPr>
            <w:tcW w:w="709" w:type="dxa"/>
            <w:vAlign w:val="center"/>
          </w:tcPr>
          <w:p w14:paraId="0C064EE2">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学期</w:t>
            </w:r>
          </w:p>
        </w:tc>
        <w:tc>
          <w:tcPr>
            <w:tcW w:w="1045" w:type="dxa"/>
            <w:vAlign w:val="center"/>
          </w:tcPr>
          <w:p w14:paraId="690CECE5">
            <w:pPr>
              <w:jc w:val="center"/>
              <w:rPr>
                <w:b/>
                <w:color w:val="000000" w:themeColor="text1"/>
                <w:szCs w:val="21"/>
                <w14:textFill>
                  <w14:solidFill>
                    <w14:schemeClr w14:val="tx1"/>
                  </w14:solidFill>
                </w14:textFill>
              </w:rPr>
            </w:pPr>
            <w:r>
              <w:rPr>
                <w:b/>
                <w:color w:val="000000" w:themeColor="text1"/>
                <w:szCs w:val="21"/>
                <w14:textFill>
                  <w14:solidFill>
                    <w14:schemeClr w14:val="tx1"/>
                  </w14:solidFill>
                </w14:textFill>
              </w:rPr>
              <w:t>备注</w:t>
            </w:r>
          </w:p>
        </w:tc>
      </w:tr>
      <w:tr w14:paraId="5DDD71F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18E2025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学位课</w:t>
            </w:r>
          </w:p>
        </w:tc>
        <w:tc>
          <w:tcPr>
            <w:tcW w:w="1226" w:type="dxa"/>
            <w:vMerge w:val="restart"/>
            <w:vAlign w:val="center"/>
          </w:tcPr>
          <w:p w14:paraId="317F9FE3">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公共必修课</w:t>
            </w:r>
          </w:p>
          <w:p w14:paraId="0825A5B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4</w:t>
            </w:r>
            <w:r>
              <w:rPr>
                <w:b/>
                <w:color w:val="000000" w:themeColor="text1"/>
                <w:sz w:val="18"/>
                <w:szCs w:val="18"/>
                <w14:textFill>
                  <w14:solidFill>
                    <w14:schemeClr w14:val="tx1"/>
                  </w14:solidFill>
                </w14:textFill>
              </w:rPr>
              <w:t>学分）</w:t>
            </w:r>
          </w:p>
        </w:tc>
        <w:tc>
          <w:tcPr>
            <w:tcW w:w="3516" w:type="dxa"/>
            <w:vAlign w:val="center"/>
          </w:tcPr>
          <w:p w14:paraId="27539761">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中国马克思主义与当代</w:t>
            </w:r>
          </w:p>
        </w:tc>
        <w:tc>
          <w:tcPr>
            <w:tcW w:w="1102" w:type="dxa"/>
            <w:vAlign w:val="center"/>
          </w:tcPr>
          <w:p w14:paraId="4CE330AA">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TB0000001</w:t>
            </w:r>
          </w:p>
        </w:tc>
        <w:tc>
          <w:tcPr>
            <w:tcW w:w="688" w:type="dxa"/>
            <w:vAlign w:val="center"/>
          </w:tcPr>
          <w:p w14:paraId="42CECE16">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2</w:t>
            </w:r>
          </w:p>
        </w:tc>
        <w:tc>
          <w:tcPr>
            <w:tcW w:w="709" w:type="dxa"/>
            <w:vAlign w:val="center"/>
          </w:tcPr>
          <w:p w14:paraId="12C50427">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2B3CFDB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59D6334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136A5545">
            <w:pPr>
              <w:jc w:val="center"/>
              <w:rPr>
                <w:b/>
                <w:color w:val="000000" w:themeColor="text1"/>
                <w:sz w:val="18"/>
                <w:szCs w:val="18"/>
                <w14:textFill>
                  <w14:solidFill>
                    <w14:schemeClr w14:val="tx1"/>
                  </w14:solidFill>
                </w14:textFill>
              </w:rPr>
            </w:pPr>
          </w:p>
        </w:tc>
        <w:tc>
          <w:tcPr>
            <w:tcW w:w="1226" w:type="dxa"/>
            <w:vMerge w:val="continue"/>
            <w:vAlign w:val="center"/>
          </w:tcPr>
          <w:p w14:paraId="7155FC8C">
            <w:pPr>
              <w:jc w:val="center"/>
              <w:rPr>
                <w:b/>
                <w:color w:val="000000" w:themeColor="text1"/>
                <w:sz w:val="18"/>
                <w:szCs w:val="18"/>
                <w14:textFill>
                  <w14:solidFill>
                    <w14:schemeClr w14:val="tx1"/>
                  </w14:solidFill>
                </w14:textFill>
              </w:rPr>
            </w:pPr>
          </w:p>
        </w:tc>
        <w:tc>
          <w:tcPr>
            <w:tcW w:w="3516" w:type="dxa"/>
            <w:vAlign w:val="center"/>
          </w:tcPr>
          <w:p w14:paraId="0AC687D1">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学术英语阅读与写作</w:t>
            </w:r>
          </w:p>
        </w:tc>
        <w:tc>
          <w:tcPr>
            <w:tcW w:w="1102" w:type="dxa"/>
            <w:vAlign w:val="center"/>
          </w:tcPr>
          <w:p w14:paraId="7D55014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TB000000</w:t>
            </w:r>
            <w:r>
              <w:rPr>
                <w:rFonts w:hint="eastAsia"/>
                <w:color w:val="000000" w:themeColor="text1"/>
                <w:sz w:val="18"/>
                <w:szCs w:val="18"/>
                <w14:textFill>
                  <w14:solidFill>
                    <w14:schemeClr w14:val="tx1"/>
                  </w14:solidFill>
                </w14:textFill>
              </w:rPr>
              <w:t>4</w:t>
            </w:r>
          </w:p>
        </w:tc>
        <w:tc>
          <w:tcPr>
            <w:tcW w:w="688" w:type="dxa"/>
            <w:vAlign w:val="center"/>
          </w:tcPr>
          <w:p w14:paraId="411E6B3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4703EAD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7C54BCA6">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2391609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29" w:hRule="atLeast"/>
          <w:jc w:val="center"/>
        </w:trPr>
        <w:tc>
          <w:tcPr>
            <w:tcW w:w="571" w:type="dxa"/>
            <w:vMerge w:val="continue"/>
            <w:vAlign w:val="center"/>
          </w:tcPr>
          <w:p w14:paraId="0978FD56">
            <w:pPr>
              <w:jc w:val="center"/>
              <w:rPr>
                <w:b/>
                <w:color w:val="000000" w:themeColor="text1"/>
                <w:sz w:val="18"/>
                <w:szCs w:val="18"/>
                <w14:textFill>
                  <w14:solidFill>
                    <w14:schemeClr w14:val="tx1"/>
                  </w14:solidFill>
                </w14:textFill>
              </w:rPr>
            </w:pPr>
          </w:p>
        </w:tc>
        <w:tc>
          <w:tcPr>
            <w:tcW w:w="1226" w:type="dxa"/>
            <w:vMerge w:val="restart"/>
            <w:vAlign w:val="center"/>
          </w:tcPr>
          <w:p w14:paraId="019B92FB">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学科基础课</w:t>
            </w:r>
          </w:p>
          <w:p w14:paraId="4862464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3</w:t>
            </w:r>
            <w:r>
              <w:rPr>
                <w:b/>
                <w:color w:val="000000" w:themeColor="text1"/>
                <w:sz w:val="18"/>
                <w:szCs w:val="18"/>
                <w14:textFill>
                  <w14:solidFill>
                    <w14:schemeClr w14:val="tx1"/>
                  </w14:solidFill>
                </w14:textFill>
              </w:rPr>
              <w:t>学分）</w:t>
            </w:r>
          </w:p>
        </w:tc>
        <w:tc>
          <w:tcPr>
            <w:tcW w:w="3516" w:type="dxa"/>
            <w:vAlign w:val="center"/>
          </w:tcPr>
          <w:p w14:paraId="7D2EFA3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学术道德与论文写作</w:t>
            </w:r>
          </w:p>
        </w:tc>
        <w:tc>
          <w:tcPr>
            <w:tcW w:w="1102" w:type="dxa"/>
            <w:vAlign w:val="center"/>
          </w:tcPr>
          <w:p w14:paraId="3BD8AE95">
            <w:pPr>
              <w:jc w:val="center"/>
              <w:rPr>
                <w:i/>
                <w:color w:val="000000" w:themeColor="text1"/>
                <w:sz w:val="18"/>
                <w:szCs w:val="18"/>
                <w14:textFill>
                  <w14:solidFill>
                    <w14:schemeClr w14:val="tx1"/>
                  </w14:solidFill>
                </w14:textFill>
              </w:rPr>
            </w:pPr>
            <w:r>
              <w:rPr>
                <w:i/>
                <w:color w:val="000000" w:themeColor="text1"/>
                <w:sz w:val="18"/>
                <w:szCs w:val="18"/>
                <w14:textFill>
                  <w14:solidFill>
                    <w14:schemeClr w14:val="tx1"/>
                  </w14:solidFill>
                </w14:textFill>
              </w:rPr>
              <w:t>XB3502001</w:t>
            </w:r>
          </w:p>
          <w:p w14:paraId="0E4309C6">
            <w:pPr>
              <w:jc w:val="center"/>
              <w:rPr>
                <w:i/>
                <w:color w:val="000000" w:themeColor="text1"/>
                <w:sz w:val="18"/>
                <w:szCs w:val="18"/>
                <w14:textFill>
                  <w14:solidFill>
                    <w14:schemeClr w14:val="tx1"/>
                  </w14:solidFill>
                </w14:textFill>
              </w:rPr>
            </w:pPr>
            <w:r>
              <w:rPr>
                <w:i/>
                <w:color w:val="000000" w:themeColor="text1"/>
                <w:sz w:val="18"/>
                <w:szCs w:val="18"/>
                <w14:textFill>
                  <w14:solidFill>
                    <w14:schemeClr w14:val="tx1"/>
                  </w14:solidFill>
                </w14:textFill>
              </w:rPr>
              <w:t>XB1902001</w:t>
            </w:r>
          </w:p>
        </w:tc>
        <w:tc>
          <w:tcPr>
            <w:tcW w:w="688" w:type="dxa"/>
            <w:vAlign w:val="center"/>
          </w:tcPr>
          <w:p w14:paraId="3CDA9E1D">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29F08651">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0B5DABB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9D55B2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5" w:hRule="atLeast"/>
          <w:jc w:val="center"/>
        </w:trPr>
        <w:tc>
          <w:tcPr>
            <w:tcW w:w="571" w:type="dxa"/>
            <w:vMerge w:val="continue"/>
            <w:vAlign w:val="center"/>
          </w:tcPr>
          <w:p w14:paraId="79BC63D9">
            <w:pPr>
              <w:jc w:val="center"/>
              <w:rPr>
                <w:b/>
                <w:color w:val="000000" w:themeColor="text1"/>
                <w:sz w:val="18"/>
                <w:szCs w:val="18"/>
                <w14:textFill>
                  <w14:solidFill>
                    <w14:schemeClr w14:val="tx1"/>
                  </w14:solidFill>
                </w14:textFill>
              </w:rPr>
            </w:pPr>
          </w:p>
        </w:tc>
        <w:tc>
          <w:tcPr>
            <w:tcW w:w="1226" w:type="dxa"/>
            <w:vMerge w:val="continue"/>
            <w:vAlign w:val="center"/>
          </w:tcPr>
          <w:p w14:paraId="2B2E019F">
            <w:pPr>
              <w:jc w:val="center"/>
              <w:rPr>
                <w:b/>
                <w:color w:val="000000" w:themeColor="text1"/>
                <w:sz w:val="18"/>
                <w:szCs w:val="18"/>
                <w14:textFill>
                  <w14:solidFill>
                    <w14:schemeClr w14:val="tx1"/>
                  </w14:solidFill>
                </w14:textFill>
              </w:rPr>
            </w:pPr>
          </w:p>
        </w:tc>
        <w:tc>
          <w:tcPr>
            <w:tcW w:w="3516" w:type="dxa"/>
            <w:vAlign w:val="center"/>
          </w:tcPr>
          <w:p w14:paraId="402303F8">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中国历史文献与史料学</w:t>
            </w:r>
          </w:p>
        </w:tc>
        <w:tc>
          <w:tcPr>
            <w:tcW w:w="1102" w:type="dxa"/>
            <w:vAlign w:val="center"/>
          </w:tcPr>
          <w:p w14:paraId="3448474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XB3502002</w:t>
            </w:r>
          </w:p>
          <w:p w14:paraId="7F7711D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XB1902002</w:t>
            </w:r>
          </w:p>
        </w:tc>
        <w:tc>
          <w:tcPr>
            <w:tcW w:w="688" w:type="dxa"/>
            <w:vAlign w:val="center"/>
          </w:tcPr>
          <w:p w14:paraId="162CCAD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1FF5432">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Align w:val="center"/>
          </w:tcPr>
          <w:p w14:paraId="01AA2B6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 xml:space="preserve"> 考查</w:t>
            </w:r>
          </w:p>
        </w:tc>
      </w:tr>
      <w:tr w14:paraId="3B108D9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8F1BDA6">
            <w:pPr>
              <w:jc w:val="center"/>
              <w:rPr>
                <w:b/>
                <w:color w:val="000000" w:themeColor="text1"/>
                <w:sz w:val="18"/>
                <w:szCs w:val="18"/>
                <w14:textFill>
                  <w14:solidFill>
                    <w14:schemeClr w14:val="tx1"/>
                  </w14:solidFill>
                </w14:textFill>
              </w:rPr>
            </w:pPr>
          </w:p>
        </w:tc>
        <w:tc>
          <w:tcPr>
            <w:tcW w:w="1226" w:type="dxa"/>
            <w:vAlign w:val="center"/>
          </w:tcPr>
          <w:p w14:paraId="57DDE25F">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专业必修课</w:t>
            </w:r>
          </w:p>
          <w:p w14:paraId="76423A9D">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w:t>
            </w:r>
            <w:r>
              <w:rPr>
                <w:rFonts w:hint="eastAsia"/>
                <w:b/>
                <w:color w:val="000000" w:themeColor="text1"/>
                <w:sz w:val="18"/>
                <w:szCs w:val="18"/>
                <w14:textFill>
                  <w14:solidFill>
                    <w14:schemeClr w14:val="tx1"/>
                  </w14:solidFill>
                </w14:textFill>
              </w:rPr>
              <w:t>3</w:t>
            </w:r>
            <w:r>
              <w:rPr>
                <w:b/>
                <w:color w:val="000000" w:themeColor="text1"/>
                <w:sz w:val="18"/>
                <w:szCs w:val="18"/>
                <w14:textFill>
                  <w14:solidFill>
                    <w14:schemeClr w14:val="tx1"/>
                  </w14:solidFill>
                </w14:textFill>
              </w:rPr>
              <w:t>学分）</w:t>
            </w:r>
          </w:p>
        </w:tc>
        <w:tc>
          <w:tcPr>
            <w:tcW w:w="3516" w:type="dxa"/>
            <w:vAlign w:val="center"/>
          </w:tcPr>
          <w:p w14:paraId="65CF8CA6">
            <w:pPr>
              <w:rPr>
                <w:color w:val="000000" w:themeColor="text1"/>
                <w14:textFill>
                  <w14:solidFill>
                    <w14:schemeClr w14:val="tx1"/>
                  </w14:solidFill>
                </w14:textFill>
              </w:rPr>
            </w:pPr>
            <w:bookmarkStart w:id="2" w:name="OLE_LINK2"/>
            <w:bookmarkStart w:id="3" w:name="OLE_LINK1"/>
            <w:r>
              <w:rPr>
                <w:rFonts w:hint="eastAsia"/>
                <w:color w:val="000000" w:themeColor="text1"/>
                <w:sz w:val="18"/>
                <w:szCs w:val="18"/>
                <w14:textFill>
                  <w14:solidFill>
                    <w14:schemeClr w14:val="tx1"/>
                  </w14:solidFill>
                </w14:textFill>
              </w:rPr>
              <w:t>中国史理论与学术前沿</w:t>
            </w:r>
            <w:bookmarkEnd w:id="2"/>
            <w:bookmarkEnd w:id="3"/>
          </w:p>
        </w:tc>
        <w:tc>
          <w:tcPr>
            <w:tcW w:w="1102" w:type="dxa"/>
            <w:vAlign w:val="center"/>
          </w:tcPr>
          <w:p w14:paraId="7BAD6418">
            <w:pPr>
              <w:jc w:val="center"/>
              <w:rPr>
                <w:i/>
                <w:color w:val="000000" w:themeColor="text1"/>
                <w:sz w:val="18"/>
                <w:szCs w:val="18"/>
                <w14:textFill>
                  <w14:solidFill>
                    <w14:schemeClr w14:val="tx1"/>
                  </w14:solidFill>
                </w14:textFill>
              </w:rPr>
            </w:pPr>
            <w:r>
              <w:rPr>
                <w:i/>
                <w:color w:val="000000" w:themeColor="text1"/>
                <w:sz w:val="18"/>
                <w:szCs w:val="18"/>
                <w14:textFill>
                  <w14:solidFill>
                    <w14:schemeClr w14:val="tx1"/>
                  </w14:solidFill>
                </w14:textFill>
              </w:rPr>
              <w:t>XB3500203</w:t>
            </w:r>
          </w:p>
          <w:p w14:paraId="6653A0A2">
            <w:pPr>
              <w:jc w:val="center"/>
              <w:rPr>
                <w:color w:val="000000" w:themeColor="text1"/>
                <w:sz w:val="18"/>
                <w:szCs w:val="18"/>
                <w14:textFill>
                  <w14:solidFill>
                    <w14:schemeClr w14:val="tx1"/>
                  </w14:solidFill>
                </w14:textFill>
              </w:rPr>
            </w:pPr>
            <w:r>
              <w:rPr>
                <w:i/>
                <w:color w:val="000000" w:themeColor="text1"/>
                <w:sz w:val="18"/>
                <w:szCs w:val="18"/>
                <w14:textFill>
                  <w14:solidFill>
                    <w14:schemeClr w14:val="tx1"/>
                  </w14:solidFill>
                </w14:textFill>
              </w:rPr>
              <w:t>XB1902003</w:t>
            </w:r>
          </w:p>
        </w:tc>
        <w:tc>
          <w:tcPr>
            <w:tcW w:w="688" w:type="dxa"/>
            <w:vAlign w:val="center"/>
          </w:tcPr>
          <w:p w14:paraId="31464902">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3</w:t>
            </w:r>
          </w:p>
        </w:tc>
        <w:tc>
          <w:tcPr>
            <w:tcW w:w="709" w:type="dxa"/>
            <w:vAlign w:val="center"/>
          </w:tcPr>
          <w:p w14:paraId="706BA99D">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1</w:t>
            </w:r>
          </w:p>
        </w:tc>
        <w:tc>
          <w:tcPr>
            <w:tcW w:w="1045" w:type="dxa"/>
            <w:vAlign w:val="center"/>
          </w:tcPr>
          <w:p w14:paraId="6D56EEB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2F336B3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3CBE55BA">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非学位课</w:t>
            </w:r>
          </w:p>
        </w:tc>
        <w:tc>
          <w:tcPr>
            <w:tcW w:w="1226" w:type="dxa"/>
            <w:vMerge w:val="restart"/>
            <w:vAlign w:val="center"/>
          </w:tcPr>
          <w:p w14:paraId="6CEBA100">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公共通识课</w:t>
            </w:r>
          </w:p>
          <w:p w14:paraId="268C7FE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（2学分）</w:t>
            </w:r>
          </w:p>
        </w:tc>
        <w:tc>
          <w:tcPr>
            <w:tcW w:w="3516" w:type="dxa"/>
            <w:vAlign w:val="center"/>
          </w:tcPr>
          <w:p w14:paraId="771380FB">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《习近平谈治国理政》研读</w:t>
            </w:r>
          </w:p>
        </w:tc>
        <w:tc>
          <w:tcPr>
            <w:tcW w:w="1102" w:type="dxa"/>
            <w:vAlign w:val="center"/>
          </w:tcPr>
          <w:p w14:paraId="424802A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TT0000101</w:t>
            </w:r>
          </w:p>
        </w:tc>
        <w:tc>
          <w:tcPr>
            <w:tcW w:w="688" w:type="dxa"/>
            <w:vAlign w:val="center"/>
          </w:tcPr>
          <w:p w14:paraId="5F99FEF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31D6CB61">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84521EE">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考查</w:t>
            </w:r>
          </w:p>
        </w:tc>
      </w:tr>
      <w:tr w14:paraId="46403F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62A43ECB">
            <w:pPr>
              <w:jc w:val="center"/>
              <w:rPr>
                <w:b/>
                <w:color w:val="000000" w:themeColor="text1"/>
                <w:sz w:val="18"/>
                <w:szCs w:val="18"/>
                <w14:textFill>
                  <w14:solidFill>
                    <w14:schemeClr w14:val="tx1"/>
                  </w14:solidFill>
                </w14:textFill>
              </w:rPr>
            </w:pPr>
          </w:p>
        </w:tc>
        <w:tc>
          <w:tcPr>
            <w:tcW w:w="1226" w:type="dxa"/>
            <w:vMerge w:val="continue"/>
            <w:vAlign w:val="center"/>
          </w:tcPr>
          <w:p w14:paraId="5209E596">
            <w:pPr>
              <w:jc w:val="center"/>
              <w:rPr>
                <w:b/>
                <w:color w:val="000000" w:themeColor="text1"/>
                <w:sz w:val="18"/>
                <w:szCs w:val="18"/>
                <w14:textFill>
                  <w14:solidFill>
                    <w14:schemeClr w14:val="tx1"/>
                  </w14:solidFill>
                </w14:textFill>
              </w:rPr>
            </w:pPr>
          </w:p>
        </w:tc>
        <w:tc>
          <w:tcPr>
            <w:tcW w:w="3516" w:type="dxa"/>
            <w:vAlign w:val="center"/>
          </w:tcPr>
          <w:p w14:paraId="60B97E49">
            <w:pPr>
              <w:jc w:val="left"/>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马克思恩格斯列宁经典著作选读</w:t>
            </w:r>
          </w:p>
        </w:tc>
        <w:tc>
          <w:tcPr>
            <w:tcW w:w="1102" w:type="dxa"/>
            <w:vAlign w:val="center"/>
          </w:tcPr>
          <w:p w14:paraId="472EABB5">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TB000010</w:t>
            </w:r>
            <w:r>
              <w:rPr>
                <w:rFonts w:hint="eastAsia"/>
                <w:color w:val="000000" w:themeColor="text1"/>
                <w:sz w:val="18"/>
                <w:szCs w:val="18"/>
                <w14:textFill>
                  <w14:solidFill>
                    <w14:schemeClr w14:val="tx1"/>
                  </w14:solidFill>
                </w14:textFill>
              </w:rPr>
              <w:t>3</w:t>
            </w:r>
          </w:p>
        </w:tc>
        <w:tc>
          <w:tcPr>
            <w:tcW w:w="688" w:type="dxa"/>
            <w:vAlign w:val="center"/>
          </w:tcPr>
          <w:p w14:paraId="647E1BE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709" w:type="dxa"/>
            <w:vAlign w:val="center"/>
          </w:tcPr>
          <w:p w14:paraId="5500CB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Align w:val="center"/>
          </w:tcPr>
          <w:p w14:paraId="1A80476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考查</w:t>
            </w:r>
          </w:p>
        </w:tc>
      </w:tr>
      <w:tr w14:paraId="1011DC7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9D08F07">
            <w:pPr>
              <w:rPr>
                <w:b/>
                <w:color w:val="000000" w:themeColor="text1"/>
                <w:sz w:val="18"/>
                <w:szCs w:val="18"/>
                <w14:textFill>
                  <w14:solidFill>
                    <w14:schemeClr w14:val="tx1"/>
                  </w14:solidFill>
                </w14:textFill>
              </w:rPr>
            </w:pPr>
          </w:p>
        </w:tc>
        <w:tc>
          <w:tcPr>
            <w:tcW w:w="1226" w:type="dxa"/>
            <w:vMerge w:val="restart"/>
            <w:vAlign w:val="center"/>
          </w:tcPr>
          <w:p w14:paraId="410BD99B">
            <w:pPr>
              <w:adjustRightInd w:val="0"/>
              <w:snapToGrid w:val="0"/>
              <w:jc w:val="center"/>
              <w:rPr>
                <w:b/>
                <w:i/>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中国古代史、历史文献学方向</w:t>
            </w:r>
          </w:p>
          <w:p w14:paraId="7EA7F5E2">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tc>
        <w:tc>
          <w:tcPr>
            <w:tcW w:w="3516" w:type="dxa"/>
            <w:vAlign w:val="center"/>
          </w:tcPr>
          <w:p w14:paraId="0C90D27F">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中国古代经济史专题</w:t>
            </w:r>
          </w:p>
        </w:tc>
        <w:tc>
          <w:tcPr>
            <w:tcW w:w="1102" w:type="dxa"/>
            <w:vAlign w:val="center"/>
          </w:tcPr>
          <w:p w14:paraId="2AE7FB20">
            <w:pPr>
              <w:jc w:val="center"/>
              <w:rPr>
                <w:color w:val="000000" w:themeColor="text1"/>
                <w:sz w:val="18"/>
                <w:szCs w:val="18"/>
                <w14:textFill>
                  <w14:solidFill>
                    <w14:schemeClr w14:val="tx1"/>
                  </w14:solidFill>
                </w14:textFill>
              </w:rPr>
            </w:pPr>
            <w:bookmarkStart w:id="4" w:name="OLE_LINK10"/>
            <w:bookmarkStart w:id="5" w:name="OLE_LINK11"/>
            <w:r>
              <w:rPr>
                <w:i/>
                <w:color w:val="000000" w:themeColor="text1"/>
                <w:sz w:val="18"/>
                <w:szCs w:val="18"/>
                <w14:textFill>
                  <w14:solidFill>
                    <w14:schemeClr w14:val="tx1"/>
                  </w14:solidFill>
                </w14:textFill>
              </w:rPr>
              <w:t>XB3502101</w:t>
            </w:r>
            <w:bookmarkEnd w:id="4"/>
            <w:bookmarkEnd w:id="5"/>
          </w:p>
        </w:tc>
        <w:tc>
          <w:tcPr>
            <w:tcW w:w="688" w:type="dxa"/>
            <w:vAlign w:val="center"/>
          </w:tcPr>
          <w:p w14:paraId="2099BBD1">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44C6F573">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restart"/>
            <w:vAlign w:val="center"/>
          </w:tcPr>
          <w:p w14:paraId="1C2D4737">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w:t>
            </w:r>
            <w:r>
              <w:rPr>
                <w:rFonts w:hint="eastAsia"/>
                <w:color w:val="000000" w:themeColor="text1"/>
                <w:sz w:val="18"/>
                <w:szCs w:val="18"/>
                <w14:textFill>
                  <w14:solidFill>
                    <w14:schemeClr w14:val="tx1"/>
                  </w14:solidFill>
                </w14:textFill>
              </w:rPr>
              <w:t>6</w:t>
            </w:r>
            <w:r>
              <w:rPr>
                <w:color w:val="000000" w:themeColor="text1"/>
                <w:sz w:val="18"/>
                <w:szCs w:val="18"/>
                <w14:textFill>
                  <w14:solidFill>
                    <w14:schemeClr w14:val="tx1"/>
                  </w14:solidFill>
                </w14:textFill>
              </w:rPr>
              <w:t>学分</w:t>
            </w:r>
          </w:p>
        </w:tc>
      </w:tr>
      <w:tr w14:paraId="52D54D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8430EF5">
            <w:pPr>
              <w:rPr>
                <w:b/>
                <w:color w:val="000000" w:themeColor="text1"/>
                <w:sz w:val="18"/>
                <w:szCs w:val="18"/>
                <w14:textFill>
                  <w14:solidFill>
                    <w14:schemeClr w14:val="tx1"/>
                  </w14:solidFill>
                </w14:textFill>
              </w:rPr>
            </w:pPr>
          </w:p>
        </w:tc>
        <w:tc>
          <w:tcPr>
            <w:tcW w:w="1226" w:type="dxa"/>
            <w:vMerge w:val="continue"/>
            <w:vAlign w:val="center"/>
          </w:tcPr>
          <w:p w14:paraId="5FA1850C">
            <w:pPr>
              <w:adjustRightInd w:val="0"/>
              <w:snapToGrid w:val="0"/>
              <w:jc w:val="center"/>
              <w:rPr>
                <w:b/>
                <w:color w:val="FF0000"/>
                <w:sz w:val="18"/>
                <w:szCs w:val="18"/>
              </w:rPr>
            </w:pPr>
          </w:p>
        </w:tc>
        <w:tc>
          <w:tcPr>
            <w:tcW w:w="3516" w:type="dxa"/>
            <w:vAlign w:val="center"/>
          </w:tcPr>
          <w:p w14:paraId="527A1877">
            <w:pP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宋史</w:t>
            </w:r>
            <w:r>
              <w:rPr>
                <w:color w:val="000000" w:themeColor="text1"/>
                <w:sz w:val="18"/>
                <w:szCs w:val="18"/>
                <w14:textFill>
                  <w14:solidFill>
                    <w14:schemeClr w14:val="tx1"/>
                  </w14:solidFill>
                </w14:textFill>
              </w:rPr>
              <w:t>专题</w:t>
            </w:r>
          </w:p>
        </w:tc>
        <w:tc>
          <w:tcPr>
            <w:tcW w:w="1102" w:type="dxa"/>
            <w:vAlign w:val="center"/>
          </w:tcPr>
          <w:p w14:paraId="310977C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XB3502102</w:t>
            </w:r>
          </w:p>
        </w:tc>
        <w:tc>
          <w:tcPr>
            <w:tcW w:w="688" w:type="dxa"/>
            <w:vAlign w:val="center"/>
          </w:tcPr>
          <w:p w14:paraId="5344F25F">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71301A1">
            <w:pPr>
              <w:jc w:val="center"/>
              <w:rPr>
                <w:color w:val="000000" w:themeColor="text1"/>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4F322C2B">
            <w:pPr>
              <w:adjustRightInd w:val="0"/>
              <w:snapToGrid w:val="0"/>
              <w:jc w:val="center"/>
              <w:rPr>
                <w:color w:val="000000" w:themeColor="text1"/>
                <w:sz w:val="18"/>
                <w:szCs w:val="18"/>
                <w14:textFill>
                  <w14:solidFill>
                    <w14:schemeClr w14:val="tx1"/>
                  </w14:solidFill>
                </w14:textFill>
              </w:rPr>
            </w:pPr>
          </w:p>
        </w:tc>
      </w:tr>
      <w:tr w14:paraId="70E330B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11E0CE">
            <w:pPr>
              <w:rPr>
                <w:b/>
                <w:color w:val="000000" w:themeColor="text1"/>
                <w:sz w:val="18"/>
                <w:szCs w:val="18"/>
                <w14:textFill>
                  <w14:solidFill>
                    <w14:schemeClr w14:val="tx1"/>
                  </w14:solidFill>
                </w14:textFill>
              </w:rPr>
            </w:pPr>
          </w:p>
        </w:tc>
        <w:tc>
          <w:tcPr>
            <w:tcW w:w="1226" w:type="dxa"/>
            <w:vMerge w:val="continue"/>
            <w:vAlign w:val="center"/>
          </w:tcPr>
          <w:p w14:paraId="34EA1B73">
            <w:pPr>
              <w:jc w:val="center"/>
              <w:rPr>
                <w:b/>
                <w:color w:val="000000" w:themeColor="text1"/>
                <w:sz w:val="18"/>
                <w:szCs w:val="18"/>
                <w14:textFill>
                  <w14:solidFill>
                    <w14:schemeClr w14:val="tx1"/>
                  </w14:solidFill>
                </w14:textFill>
              </w:rPr>
            </w:pPr>
          </w:p>
        </w:tc>
        <w:tc>
          <w:tcPr>
            <w:tcW w:w="3516" w:type="dxa"/>
            <w:vAlign w:val="center"/>
          </w:tcPr>
          <w:p w14:paraId="142BD1BD">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辽夏金</w:t>
            </w:r>
            <w:r>
              <w:rPr>
                <w:color w:val="000000" w:themeColor="text1"/>
                <w:sz w:val="18"/>
                <w:szCs w:val="18"/>
                <w14:textFill>
                  <w14:solidFill>
                    <w14:schemeClr w14:val="tx1"/>
                  </w14:solidFill>
                </w14:textFill>
              </w:rPr>
              <w:t>史专题</w:t>
            </w:r>
          </w:p>
        </w:tc>
        <w:tc>
          <w:tcPr>
            <w:tcW w:w="1102" w:type="dxa"/>
            <w:vAlign w:val="center"/>
          </w:tcPr>
          <w:p w14:paraId="7019F3A8">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XB3502</w:t>
            </w: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03</w:t>
            </w:r>
          </w:p>
        </w:tc>
        <w:tc>
          <w:tcPr>
            <w:tcW w:w="688" w:type="dxa"/>
            <w:vAlign w:val="center"/>
          </w:tcPr>
          <w:p w14:paraId="2EA5767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CBF2FA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6D946492">
            <w:pPr>
              <w:jc w:val="center"/>
              <w:rPr>
                <w:color w:val="000000" w:themeColor="text1"/>
                <w:sz w:val="18"/>
                <w:szCs w:val="18"/>
                <w14:textFill>
                  <w14:solidFill>
                    <w14:schemeClr w14:val="tx1"/>
                  </w14:solidFill>
                </w14:textFill>
              </w:rPr>
            </w:pPr>
          </w:p>
        </w:tc>
      </w:tr>
      <w:tr w14:paraId="40CD059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CD879F1">
            <w:pPr>
              <w:rPr>
                <w:b/>
                <w:color w:val="000000" w:themeColor="text1"/>
                <w:sz w:val="18"/>
                <w:szCs w:val="18"/>
                <w14:textFill>
                  <w14:solidFill>
                    <w14:schemeClr w14:val="tx1"/>
                  </w14:solidFill>
                </w14:textFill>
              </w:rPr>
            </w:pPr>
          </w:p>
        </w:tc>
        <w:tc>
          <w:tcPr>
            <w:tcW w:w="1226" w:type="dxa"/>
            <w:vMerge w:val="continue"/>
            <w:vAlign w:val="center"/>
          </w:tcPr>
          <w:p w14:paraId="77CAF441">
            <w:pPr>
              <w:jc w:val="center"/>
              <w:rPr>
                <w:b/>
                <w:color w:val="000000" w:themeColor="text1"/>
                <w:sz w:val="18"/>
                <w:szCs w:val="18"/>
                <w14:textFill>
                  <w14:solidFill>
                    <w14:schemeClr w14:val="tx1"/>
                  </w14:solidFill>
                </w14:textFill>
              </w:rPr>
            </w:pPr>
          </w:p>
        </w:tc>
        <w:tc>
          <w:tcPr>
            <w:tcW w:w="3516" w:type="dxa"/>
            <w:vAlign w:val="center"/>
          </w:tcPr>
          <w:p w14:paraId="40095C6C">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宋代科技史专题</w:t>
            </w:r>
          </w:p>
        </w:tc>
        <w:tc>
          <w:tcPr>
            <w:tcW w:w="1102" w:type="dxa"/>
            <w:vAlign w:val="center"/>
          </w:tcPr>
          <w:p w14:paraId="422B69FC">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XB3502</w:t>
            </w:r>
            <w:r>
              <w:rPr>
                <w:rFonts w:hint="eastAsia"/>
                <w:color w:val="000000" w:themeColor="text1"/>
                <w:sz w:val="18"/>
                <w:szCs w:val="18"/>
                <w14:textFill>
                  <w14:solidFill>
                    <w14:schemeClr w14:val="tx1"/>
                  </w14:solidFill>
                </w14:textFill>
              </w:rPr>
              <w:t>2</w:t>
            </w:r>
            <w:r>
              <w:rPr>
                <w:color w:val="000000" w:themeColor="text1"/>
                <w:sz w:val="18"/>
                <w:szCs w:val="18"/>
                <w14:textFill>
                  <w14:solidFill>
                    <w14:schemeClr w14:val="tx1"/>
                  </w14:solidFill>
                </w14:textFill>
              </w:rPr>
              <w:t>04</w:t>
            </w:r>
          </w:p>
        </w:tc>
        <w:tc>
          <w:tcPr>
            <w:tcW w:w="688" w:type="dxa"/>
            <w:vAlign w:val="center"/>
          </w:tcPr>
          <w:p w14:paraId="168DBEB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56DA47F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F07FEF7">
            <w:pPr>
              <w:jc w:val="center"/>
              <w:rPr>
                <w:color w:val="000000" w:themeColor="text1"/>
                <w:sz w:val="18"/>
                <w:szCs w:val="18"/>
                <w14:textFill>
                  <w14:solidFill>
                    <w14:schemeClr w14:val="tx1"/>
                  </w14:solidFill>
                </w14:textFill>
              </w:rPr>
            </w:pPr>
          </w:p>
        </w:tc>
      </w:tr>
      <w:tr w14:paraId="44A6B2D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74" w:hRule="atLeast"/>
          <w:jc w:val="center"/>
        </w:trPr>
        <w:tc>
          <w:tcPr>
            <w:tcW w:w="571" w:type="dxa"/>
            <w:vMerge w:val="continue"/>
          </w:tcPr>
          <w:p w14:paraId="07810463">
            <w:pPr>
              <w:rPr>
                <w:b/>
                <w:color w:val="000000" w:themeColor="text1"/>
                <w:sz w:val="18"/>
                <w:szCs w:val="18"/>
                <w14:textFill>
                  <w14:solidFill>
                    <w14:schemeClr w14:val="tx1"/>
                  </w14:solidFill>
                </w14:textFill>
              </w:rPr>
            </w:pPr>
          </w:p>
        </w:tc>
        <w:tc>
          <w:tcPr>
            <w:tcW w:w="1226" w:type="dxa"/>
            <w:vMerge w:val="continue"/>
            <w:vAlign w:val="center"/>
          </w:tcPr>
          <w:p w14:paraId="7B920A53">
            <w:pPr>
              <w:jc w:val="center"/>
              <w:rPr>
                <w:b/>
                <w:color w:val="000000" w:themeColor="text1"/>
                <w:sz w:val="18"/>
                <w:szCs w:val="18"/>
                <w14:textFill>
                  <w14:solidFill>
                    <w14:schemeClr w14:val="tx1"/>
                  </w14:solidFill>
                </w14:textFill>
              </w:rPr>
            </w:pPr>
          </w:p>
        </w:tc>
        <w:tc>
          <w:tcPr>
            <w:tcW w:w="3516" w:type="dxa"/>
            <w:tcBorders>
              <w:bottom w:val="single" w:color="auto" w:sz="4" w:space="0"/>
            </w:tcBorders>
            <w:vAlign w:val="center"/>
          </w:tcPr>
          <w:p w14:paraId="2CA3137B">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宋代经济史专题</w:t>
            </w:r>
          </w:p>
        </w:tc>
        <w:tc>
          <w:tcPr>
            <w:tcW w:w="1102" w:type="dxa"/>
            <w:tcBorders>
              <w:bottom w:val="single" w:color="auto" w:sz="4" w:space="0"/>
            </w:tcBorders>
            <w:vAlign w:val="center"/>
          </w:tcPr>
          <w:p w14:paraId="072F1CCB">
            <w:pPr>
              <w:jc w:val="center"/>
              <w:rPr>
                <w:i/>
                <w:color w:val="000000" w:themeColor="text1"/>
                <w:sz w:val="18"/>
                <w:szCs w:val="18"/>
                <w14:textFill>
                  <w14:solidFill>
                    <w14:schemeClr w14:val="tx1"/>
                  </w14:solidFill>
                </w14:textFill>
              </w:rPr>
            </w:pPr>
            <w:r>
              <w:rPr>
                <w:i/>
                <w:color w:val="000000" w:themeColor="text1"/>
                <w:sz w:val="18"/>
                <w:szCs w:val="18"/>
                <w14:textFill>
                  <w14:solidFill>
                    <w14:schemeClr w14:val="tx1"/>
                  </w14:solidFill>
                </w14:textFill>
              </w:rPr>
              <w:t>XB3502</w:t>
            </w:r>
            <w:r>
              <w:rPr>
                <w:rFonts w:hint="eastAsia"/>
                <w:i/>
                <w:color w:val="000000" w:themeColor="text1"/>
                <w:sz w:val="18"/>
                <w:szCs w:val="18"/>
                <w14:textFill>
                  <w14:solidFill>
                    <w14:schemeClr w14:val="tx1"/>
                  </w14:solidFill>
                </w14:textFill>
              </w:rPr>
              <w:t>2</w:t>
            </w:r>
            <w:r>
              <w:rPr>
                <w:i/>
                <w:color w:val="000000" w:themeColor="text1"/>
                <w:sz w:val="18"/>
                <w:szCs w:val="18"/>
                <w14:textFill>
                  <w14:solidFill>
                    <w14:schemeClr w14:val="tx1"/>
                  </w14:solidFill>
                </w14:textFill>
              </w:rPr>
              <w:t>05</w:t>
            </w:r>
          </w:p>
        </w:tc>
        <w:tc>
          <w:tcPr>
            <w:tcW w:w="688" w:type="dxa"/>
            <w:tcBorders>
              <w:bottom w:val="single" w:color="auto" w:sz="4" w:space="0"/>
            </w:tcBorders>
            <w:vAlign w:val="center"/>
          </w:tcPr>
          <w:p w14:paraId="357059AF">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tcBorders>
              <w:bottom w:val="single" w:color="auto" w:sz="4" w:space="0"/>
            </w:tcBorders>
            <w:vAlign w:val="center"/>
          </w:tcPr>
          <w:p w14:paraId="322D626C">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12258687">
            <w:pPr>
              <w:jc w:val="center"/>
              <w:rPr>
                <w:color w:val="000000" w:themeColor="text1"/>
                <w:sz w:val="18"/>
                <w:szCs w:val="18"/>
                <w14:textFill>
                  <w14:solidFill>
                    <w14:schemeClr w14:val="tx1"/>
                  </w14:solidFill>
                </w14:textFill>
              </w:rPr>
            </w:pPr>
          </w:p>
        </w:tc>
      </w:tr>
      <w:tr w14:paraId="6BCCD2F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3" w:hRule="atLeast"/>
          <w:jc w:val="center"/>
        </w:trPr>
        <w:tc>
          <w:tcPr>
            <w:tcW w:w="571" w:type="dxa"/>
            <w:vMerge w:val="continue"/>
          </w:tcPr>
          <w:p w14:paraId="10271799">
            <w:pPr>
              <w:rPr>
                <w:b/>
                <w:color w:val="000000" w:themeColor="text1"/>
                <w:sz w:val="18"/>
                <w:szCs w:val="18"/>
                <w14:textFill>
                  <w14:solidFill>
                    <w14:schemeClr w14:val="tx1"/>
                  </w14:solidFill>
                </w14:textFill>
              </w:rPr>
            </w:pPr>
          </w:p>
        </w:tc>
        <w:tc>
          <w:tcPr>
            <w:tcW w:w="1226" w:type="dxa"/>
            <w:vMerge w:val="continue"/>
            <w:vAlign w:val="center"/>
          </w:tcPr>
          <w:p w14:paraId="46C114B6">
            <w:pPr>
              <w:jc w:val="center"/>
              <w:rPr>
                <w:b/>
                <w:color w:val="000000" w:themeColor="text1"/>
                <w:sz w:val="18"/>
                <w:szCs w:val="18"/>
                <w14:textFill>
                  <w14:solidFill>
                    <w14:schemeClr w14:val="tx1"/>
                  </w14:solidFill>
                </w14:textFill>
              </w:rPr>
            </w:pPr>
          </w:p>
        </w:tc>
        <w:tc>
          <w:tcPr>
            <w:tcW w:w="3516" w:type="dxa"/>
            <w:tcBorders>
              <w:top w:val="single" w:color="auto" w:sz="4" w:space="0"/>
            </w:tcBorders>
            <w:vAlign w:val="center"/>
          </w:tcPr>
          <w:p w14:paraId="78445292">
            <w:pPr>
              <w:adjustRightInd w:val="0"/>
              <w:snapToGrid w:val="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历史研究法</w:t>
            </w:r>
          </w:p>
        </w:tc>
        <w:tc>
          <w:tcPr>
            <w:tcW w:w="1102" w:type="dxa"/>
            <w:tcBorders>
              <w:top w:val="single" w:color="auto" w:sz="4" w:space="0"/>
            </w:tcBorders>
            <w:vAlign w:val="center"/>
          </w:tcPr>
          <w:p w14:paraId="70209DAD">
            <w:pPr>
              <w:jc w:val="center"/>
              <w:rPr>
                <w:i/>
                <w:color w:val="000000" w:themeColor="text1"/>
                <w:sz w:val="18"/>
                <w:szCs w:val="18"/>
                <w14:textFill>
                  <w14:solidFill>
                    <w14:schemeClr w14:val="tx1"/>
                  </w14:solidFill>
                </w14:textFill>
              </w:rPr>
            </w:pPr>
            <w:r>
              <w:rPr>
                <w:i/>
                <w:color w:val="000000" w:themeColor="text1"/>
                <w:sz w:val="18"/>
                <w:szCs w:val="18"/>
                <w14:textFill>
                  <w14:solidFill>
                    <w14:schemeClr w14:val="tx1"/>
                  </w14:solidFill>
                </w14:textFill>
              </w:rPr>
              <w:t>XB3502106</w:t>
            </w:r>
          </w:p>
        </w:tc>
        <w:tc>
          <w:tcPr>
            <w:tcW w:w="688" w:type="dxa"/>
            <w:tcBorders>
              <w:top w:val="single" w:color="auto" w:sz="4" w:space="0"/>
            </w:tcBorders>
            <w:vAlign w:val="center"/>
          </w:tcPr>
          <w:p w14:paraId="2E4DF2C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tcBorders>
              <w:top w:val="single" w:color="auto" w:sz="4" w:space="0"/>
            </w:tcBorders>
            <w:vAlign w:val="center"/>
          </w:tcPr>
          <w:p w14:paraId="7F66A82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204E02C4">
            <w:pPr>
              <w:jc w:val="center"/>
              <w:rPr>
                <w:color w:val="000000" w:themeColor="text1"/>
                <w:sz w:val="18"/>
                <w:szCs w:val="18"/>
                <w14:textFill>
                  <w14:solidFill>
                    <w14:schemeClr w14:val="tx1"/>
                  </w14:solidFill>
                </w14:textFill>
              </w:rPr>
            </w:pPr>
          </w:p>
        </w:tc>
      </w:tr>
      <w:tr w14:paraId="354315E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6D1E507">
            <w:pPr>
              <w:rPr>
                <w:b/>
                <w:color w:val="000000" w:themeColor="text1"/>
                <w:sz w:val="18"/>
                <w:szCs w:val="18"/>
                <w14:textFill>
                  <w14:solidFill>
                    <w14:schemeClr w14:val="tx1"/>
                  </w14:solidFill>
                </w14:textFill>
              </w:rPr>
            </w:pPr>
          </w:p>
        </w:tc>
        <w:tc>
          <w:tcPr>
            <w:tcW w:w="1226" w:type="dxa"/>
            <w:vMerge w:val="restart"/>
            <w:vAlign w:val="center"/>
          </w:tcPr>
          <w:p w14:paraId="4D4C2F0F">
            <w:pPr>
              <w:adjustRightInd w:val="0"/>
              <w:snapToGrid w:val="0"/>
              <w:jc w:val="center"/>
              <w:rPr>
                <w:b/>
                <w:i/>
                <w:color w:val="000000" w:themeColor="text1"/>
                <w:sz w:val="18"/>
                <w:szCs w:val="18"/>
                <w14:textFill>
                  <w14:solidFill>
                    <w14:schemeClr w14:val="tx1"/>
                  </w14:solidFill>
                </w14:textFill>
              </w:rPr>
            </w:pPr>
            <w:r>
              <w:rPr>
                <w:rFonts w:hint="eastAsia"/>
                <w:b/>
                <w:color w:val="000000" w:themeColor="text1"/>
                <w:sz w:val="18"/>
                <w:szCs w:val="18"/>
                <w14:textFill>
                  <w14:solidFill>
                    <w14:schemeClr w14:val="tx1"/>
                  </w14:solidFill>
                </w14:textFill>
              </w:rPr>
              <w:t>中国近现代史、中国专门史</w:t>
            </w:r>
            <w:r>
              <w:rPr>
                <w:b/>
                <w:color w:val="000000" w:themeColor="text1"/>
                <w:sz w:val="18"/>
                <w:szCs w:val="18"/>
                <w14:textFill>
                  <w14:solidFill>
                    <w14:schemeClr w14:val="tx1"/>
                  </w14:solidFill>
                </w14:textFill>
              </w:rPr>
              <w:t>方向</w:t>
            </w:r>
          </w:p>
          <w:p w14:paraId="7EB63367">
            <w:pPr>
              <w:adjustRightInd w:val="0"/>
              <w:snapToGrid w:val="0"/>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选修课</w:t>
            </w:r>
          </w:p>
          <w:p w14:paraId="2EDEF845">
            <w:pPr>
              <w:adjustRightInd w:val="0"/>
              <w:snapToGrid w:val="0"/>
              <w:jc w:val="center"/>
              <w:rPr>
                <w:b/>
                <w:color w:val="FF0000"/>
                <w:sz w:val="18"/>
                <w:szCs w:val="18"/>
              </w:rPr>
            </w:pPr>
          </w:p>
        </w:tc>
        <w:tc>
          <w:tcPr>
            <w:tcW w:w="3516" w:type="dxa"/>
            <w:vAlign w:val="center"/>
          </w:tcPr>
          <w:p w14:paraId="3AE740AA">
            <w:pPr>
              <w:rPr>
                <w:i/>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中国社会史专题</w:t>
            </w:r>
          </w:p>
        </w:tc>
        <w:tc>
          <w:tcPr>
            <w:tcW w:w="1102" w:type="dxa"/>
            <w:vAlign w:val="center"/>
          </w:tcPr>
          <w:p w14:paraId="54A88C2E">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w:t>
            </w:r>
            <w:r>
              <w:rPr>
                <w:color w:val="000000" w:themeColor="text1"/>
                <w:sz w:val="18"/>
                <w:szCs w:val="18"/>
                <w14:textFill>
                  <w14:solidFill>
                    <w14:schemeClr w14:val="tx1"/>
                  </w14:solidFill>
                </w14:textFill>
              </w:rPr>
              <w:t>1902205</w:t>
            </w:r>
          </w:p>
        </w:tc>
        <w:tc>
          <w:tcPr>
            <w:tcW w:w="688" w:type="dxa"/>
            <w:vAlign w:val="center"/>
          </w:tcPr>
          <w:p w14:paraId="6116930E">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2</w:t>
            </w:r>
          </w:p>
        </w:tc>
        <w:tc>
          <w:tcPr>
            <w:tcW w:w="709" w:type="dxa"/>
            <w:vAlign w:val="center"/>
          </w:tcPr>
          <w:p w14:paraId="3A1471D4">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045" w:type="dxa"/>
            <w:vMerge w:val="restart"/>
            <w:vAlign w:val="center"/>
          </w:tcPr>
          <w:p w14:paraId="18C41415">
            <w:pPr>
              <w:adjustRightInd w:val="0"/>
              <w:snapToGrid w:val="0"/>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本方向研究生至少选修6学分</w:t>
            </w:r>
          </w:p>
        </w:tc>
      </w:tr>
      <w:tr w14:paraId="4E5E8DA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69AC72E5">
            <w:pPr>
              <w:rPr>
                <w:b/>
                <w:color w:val="000000" w:themeColor="text1"/>
                <w:sz w:val="18"/>
                <w:szCs w:val="18"/>
                <w14:textFill>
                  <w14:solidFill>
                    <w14:schemeClr w14:val="tx1"/>
                  </w14:solidFill>
                </w14:textFill>
              </w:rPr>
            </w:pPr>
          </w:p>
        </w:tc>
        <w:tc>
          <w:tcPr>
            <w:tcW w:w="1226" w:type="dxa"/>
            <w:vMerge w:val="continue"/>
            <w:vAlign w:val="center"/>
          </w:tcPr>
          <w:p w14:paraId="17C0A092">
            <w:pPr>
              <w:adjustRightInd w:val="0"/>
              <w:snapToGrid w:val="0"/>
              <w:jc w:val="center"/>
              <w:rPr>
                <w:b/>
                <w:color w:val="FF0000"/>
                <w:sz w:val="18"/>
                <w:szCs w:val="18"/>
              </w:rPr>
            </w:pPr>
          </w:p>
        </w:tc>
        <w:tc>
          <w:tcPr>
            <w:tcW w:w="3516" w:type="dxa"/>
            <w:vAlign w:val="center"/>
          </w:tcPr>
          <w:p w14:paraId="53DCD1A9">
            <w:pPr>
              <w:rPr>
                <w:i/>
                <w:color w:val="FF0000"/>
                <w:sz w:val="18"/>
                <w:szCs w:val="18"/>
              </w:rPr>
            </w:pPr>
            <w:r>
              <w:rPr>
                <w:rFonts w:hint="eastAsia"/>
                <w:color w:val="000000"/>
                <w:sz w:val="18"/>
                <w:szCs w:val="18"/>
              </w:rPr>
              <w:t>中国文化史专题</w:t>
            </w:r>
          </w:p>
        </w:tc>
        <w:tc>
          <w:tcPr>
            <w:tcW w:w="1102" w:type="dxa"/>
            <w:vAlign w:val="center"/>
          </w:tcPr>
          <w:p w14:paraId="59642B5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w:t>
            </w:r>
            <w:r>
              <w:rPr>
                <w:color w:val="000000" w:themeColor="text1"/>
                <w:sz w:val="18"/>
                <w:szCs w:val="18"/>
                <w14:textFill>
                  <w14:solidFill>
                    <w14:schemeClr w14:val="tx1"/>
                  </w14:solidFill>
                </w14:textFill>
              </w:rPr>
              <w:t>1902206</w:t>
            </w:r>
          </w:p>
        </w:tc>
        <w:tc>
          <w:tcPr>
            <w:tcW w:w="688" w:type="dxa"/>
            <w:vAlign w:val="center"/>
          </w:tcPr>
          <w:p w14:paraId="72DEA3FB">
            <w:pPr>
              <w:jc w:val="center"/>
              <w:rPr>
                <w:color w:val="000000" w:themeColor="text1"/>
                <w:sz w:val="18"/>
                <w:szCs w:val="21"/>
                <w14:textFill>
                  <w14:solidFill>
                    <w14:schemeClr w14:val="tx1"/>
                  </w14:solidFill>
                </w14:textFill>
              </w:rPr>
            </w:pPr>
            <w:r>
              <w:rPr>
                <w:rFonts w:hint="eastAsia"/>
                <w:color w:val="000000" w:themeColor="text1"/>
                <w:sz w:val="18"/>
                <w:szCs w:val="21"/>
                <w14:textFill>
                  <w14:solidFill>
                    <w14:schemeClr w14:val="tx1"/>
                  </w14:solidFill>
                </w14:textFill>
              </w:rPr>
              <w:t>2</w:t>
            </w:r>
          </w:p>
        </w:tc>
        <w:tc>
          <w:tcPr>
            <w:tcW w:w="709" w:type="dxa"/>
            <w:vAlign w:val="center"/>
          </w:tcPr>
          <w:p w14:paraId="6245C10D">
            <w:pPr>
              <w:jc w:val="center"/>
              <w:rPr>
                <w:color w:val="000000" w:themeColor="text1"/>
                <w14:textFill>
                  <w14:solidFill>
                    <w14:schemeClr w14:val="tx1"/>
                  </w14:solidFill>
                </w14:textFill>
              </w:rPr>
            </w:pPr>
            <w:r>
              <w:rPr>
                <w:rFonts w:hint="eastAsia"/>
                <w:color w:val="000000" w:themeColor="text1"/>
                <w14:textFill>
                  <w14:solidFill>
                    <w14:schemeClr w14:val="tx1"/>
                  </w14:solidFill>
                </w14:textFill>
              </w:rPr>
              <w:t>2</w:t>
            </w:r>
          </w:p>
        </w:tc>
        <w:tc>
          <w:tcPr>
            <w:tcW w:w="1045" w:type="dxa"/>
            <w:vMerge w:val="continue"/>
            <w:vAlign w:val="center"/>
          </w:tcPr>
          <w:p w14:paraId="290C0D14">
            <w:pPr>
              <w:adjustRightInd w:val="0"/>
              <w:snapToGrid w:val="0"/>
              <w:jc w:val="center"/>
              <w:rPr>
                <w:color w:val="000000" w:themeColor="text1"/>
                <w:sz w:val="18"/>
                <w:szCs w:val="18"/>
                <w14:textFill>
                  <w14:solidFill>
                    <w14:schemeClr w14:val="tx1"/>
                  </w14:solidFill>
                </w14:textFill>
              </w:rPr>
            </w:pPr>
          </w:p>
        </w:tc>
      </w:tr>
      <w:tr w14:paraId="640BE33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C6E4F1D">
            <w:pPr>
              <w:rPr>
                <w:b/>
                <w:color w:val="000000" w:themeColor="text1"/>
                <w:sz w:val="18"/>
                <w:szCs w:val="18"/>
                <w14:textFill>
                  <w14:solidFill>
                    <w14:schemeClr w14:val="tx1"/>
                  </w14:solidFill>
                </w14:textFill>
              </w:rPr>
            </w:pPr>
          </w:p>
        </w:tc>
        <w:tc>
          <w:tcPr>
            <w:tcW w:w="1226" w:type="dxa"/>
            <w:vMerge w:val="continue"/>
          </w:tcPr>
          <w:p w14:paraId="4EDDCB86">
            <w:pPr>
              <w:jc w:val="center"/>
              <w:rPr>
                <w:b/>
                <w:color w:val="000000" w:themeColor="text1"/>
                <w:sz w:val="18"/>
                <w:szCs w:val="18"/>
                <w14:textFill>
                  <w14:solidFill>
                    <w14:schemeClr w14:val="tx1"/>
                  </w14:solidFill>
                </w14:textFill>
              </w:rPr>
            </w:pPr>
          </w:p>
        </w:tc>
        <w:tc>
          <w:tcPr>
            <w:tcW w:w="3516" w:type="dxa"/>
            <w:vAlign w:val="center"/>
          </w:tcPr>
          <w:p w14:paraId="2DD5B22A">
            <w:pPr>
              <w:adjustRightInd w:val="0"/>
              <w:snapToGrid w:val="0"/>
              <w:rPr>
                <w:i/>
                <w:color w:val="FF0000"/>
                <w:sz w:val="18"/>
                <w:szCs w:val="18"/>
              </w:rPr>
            </w:pPr>
            <w:r>
              <w:rPr>
                <w:rFonts w:hint="eastAsia"/>
                <w:color w:val="000000"/>
                <w:sz w:val="18"/>
                <w:szCs w:val="18"/>
              </w:rPr>
              <w:t>中国经济史专题</w:t>
            </w:r>
          </w:p>
        </w:tc>
        <w:tc>
          <w:tcPr>
            <w:tcW w:w="1102" w:type="dxa"/>
            <w:vAlign w:val="center"/>
          </w:tcPr>
          <w:p w14:paraId="7A20D0F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w:t>
            </w:r>
            <w:r>
              <w:rPr>
                <w:color w:val="000000" w:themeColor="text1"/>
                <w:sz w:val="18"/>
                <w:szCs w:val="18"/>
                <w14:textFill>
                  <w14:solidFill>
                    <w14:schemeClr w14:val="tx1"/>
                  </w14:solidFill>
                </w14:textFill>
              </w:rPr>
              <w:t>1902207</w:t>
            </w:r>
          </w:p>
        </w:tc>
        <w:tc>
          <w:tcPr>
            <w:tcW w:w="688" w:type="dxa"/>
            <w:vAlign w:val="center"/>
          </w:tcPr>
          <w:p w14:paraId="57FDA08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3803F3D8">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AAE8408">
            <w:pPr>
              <w:jc w:val="center"/>
              <w:rPr>
                <w:color w:val="000000" w:themeColor="text1"/>
                <w:sz w:val="18"/>
                <w:szCs w:val="18"/>
                <w14:textFill>
                  <w14:solidFill>
                    <w14:schemeClr w14:val="tx1"/>
                  </w14:solidFill>
                </w14:textFill>
              </w:rPr>
            </w:pPr>
          </w:p>
        </w:tc>
      </w:tr>
      <w:tr w14:paraId="5CE5AB2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EC29669">
            <w:pPr>
              <w:rPr>
                <w:b/>
                <w:color w:val="000000" w:themeColor="text1"/>
                <w:sz w:val="18"/>
                <w:szCs w:val="18"/>
                <w14:textFill>
                  <w14:solidFill>
                    <w14:schemeClr w14:val="tx1"/>
                  </w14:solidFill>
                </w14:textFill>
              </w:rPr>
            </w:pPr>
          </w:p>
        </w:tc>
        <w:tc>
          <w:tcPr>
            <w:tcW w:w="1226" w:type="dxa"/>
            <w:vMerge w:val="continue"/>
          </w:tcPr>
          <w:p w14:paraId="1A110BE5">
            <w:pPr>
              <w:jc w:val="center"/>
              <w:rPr>
                <w:b/>
                <w:color w:val="000000" w:themeColor="text1"/>
                <w:sz w:val="18"/>
                <w:szCs w:val="18"/>
                <w14:textFill>
                  <w14:solidFill>
                    <w14:schemeClr w14:val="tx1"/>
                  </w14:solidFill>
                </w14:textFill>
              </w:rPr>
            </w:pPr>
          </w:p>
        </w:tc>
        <w:tc>
          <w:tcPr>
            <w:tcW w:w="3516" w:type="dxa"/>
            <w:vAlign w:val="center"/>
          </w:tcPr>
          <w:p w14:paraId="1B020A30">
            <w:pPr>
              <w:adjustRightInd w:val="0"/>
              <w:snapToGrid w:val="0"/>
              <w:rPr>
                <w:i/>
                <w:color w:val="FF0000"/>
                <w:sz w:val="18"/>
                <w:szCs w:val="18"/>
              </w:rPr>
            </w:pPr>
            <w:r>
              <w:rPr>
                <w:rFonts w:hint="eastAsia"/>
                <w:color w:val="000000"/>
                <w:sz w:val="18"/>
                <w:szCs w:val="18"/>
              </w:rPr>
              <w:t>区域史研究专题</w:t>
            </w:r>
          </w:p>
        </w:tc>
        <w:tc>
          <w:tcPr>
            <w:tcW w:w="1102" w:type="dxa"/>
            <w:vAlign w:val="center"/>
          </w:tcPr>
          <w:p w14:paraId="384D9D8B">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XB</w:t>
            </w:r>
            <w:r>
              <w:rPr>
                <w:color w:val="000000" w:themeColor="text1"/>
                <w:sz w:val="18"/>
                <w:szCs w:val="18"/>
                <w14:textFill>
                  <w14:solidFill>
                    <w14:schemeClr w14:val="tx1"/>
                  </w14:solidFill>
                </w14:textFill>
              </w:rPr>
              <w:t>1902204</w:t>
            </w:r>
          </w:p>
        </w:tc>
        <w:tc>
          <w:tcPr>
            <w:tcW w:w="688" w:type="dxa"/>
            <w:vAlign w:val="center"/>
          </w:tcPr>
          <w:p w14:paraId="14A1A9A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709" w:type="dxa"/>
            <w:vAlign w:val="center"/>
          </w:tcPr>
          <w:p w14:paraId="18F52795">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2</w:t>
            </w:r>
          </w:p>
        </w:tc>
        <w:tc>
          <w:tcPr>
            <w:tcW w:w="1045" w:type="dxa"/>
            <w:vMerge w:val="continue"/>
            <w:vAlign w:val="center"/>
          </w:tcPr>
          <w:p w14:paraId="0FFC4B69">
            <w:pPr>
              <w:jc w:val="center"/>
              <w:rPr>
                <w:color w:val="000000" w:themeColor="text1"/>
                <w:sz w:val="18"/>
                <w:szCs w:val="18"/>
                <w14:textFill>
                  <w14:solidFill>
                    <w14:schemeClr w14:val="tx1"/>
                  </w14:solidFill>
                </w14:textFill>
              </w:rPr>
            </w:pPr>
          </w:p>
        </w:tc>
      </w:tr>
      <w:tr w14:paraId="169866A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77" w:hRule="atLeast"/>
          <w:jc w:val="center"/>
        </w:trPr>
        <w:tc>
          <w:tcPr>
            <w:tcW w:w="571" w:type="dxa"/>
            <w:vMerge w:val="restart"/>
            <w:vAlign w:val="center"/>
          </w:tcPr>
          <w:p w14:paraId="3718E404">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必修环节</w:t>
            </w:r>
          </w:p>
          <w:p w14:paraId="50F02CEB">
            <w:pPr>
              <w:jc w:val="center"/>
              <w:rPr>
                <w:b/>
                <w:color w:val="000000" w:themeColor="text1"/>
                <w:sz w:val="18"/>
                <w:szCs w:val="18"/>
                <w14:textFill>
                  <w14:solidFill>
                    <w14:schemeClr w14:val="tx1"/>
                  </w14:solidFill>
                </w14:textFill>
              </w:rPr>
            </w:pPr>
          </w:p>
        </w:tc>
        <w:tc>
          <w:tcPr>
            <w:tcW w:w="1226" w:type="dxa"/>
            <w:vMerge w:val="restart"/>
            <w:vAlign w:val="center"/>
          </w:tcPr>
          <w:p w14:paraId="28F80771">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素质拓展</w:t>
            </w:r>
          </w:p>
        </w:tc>
        <w:tc>
          <w:tcPr>
            <w:tcW w:w="3516" w:type="dxa"/>
            <w:vAlign w:val="center"/>
          </w:tcPr>
          <w:p w14:paraId="4E424C3F">
            <w:pPr>
              <w:rPr>
                <w:b/>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入学教育</w:t>
            </w:r>
          </w:p>
        </w:tc>
        <w:tc>
          <w:tcPr>
            <w:tcW w:w="1102" w:type="dxa"/>
            <w:vAlign w:val="center"/>
          </w:tcPr>
          <w:p w14:paraId="6073F0B1">
            <w:pPr>
              <w:jc w:val="center"/>
              <w:rPr>
                <w:color w:val="000000" w:themeColor="text1"/>
                <w:sz w:val="18"/>
                <w:szCs w:val="18"/>
                <w14:textFill>
                  <w14:solidFill>
                    <w14:schemeClr w14:val="tx1"/>
                  </w14:solidFill>
                </w14:textFill>
              </w:rPr>
            </w:pPr>
          </w:p>
        </w:tc>
        <w:tc>
          <w:tcPr>
            <w:tcW w:w="688" w:type="dxa"/>
            <w:vAlign w:val="center"/>
          </w:tcPr>
          <w:p w14:paraId="5AE58E0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33870A5F">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1</w:t>
            </w:r>
          </w:p>
        </w:tc>
        <w:tc>
          <w:tcPr>
            <w:tcW w:w="1045" w:type="dxa"/>
            <w:vMerge w:val="restart"/>
            <w:vAlign w:val="center"/>
          </w:tcPr>
          <w:p w14:paraId="5EA5B833">
            <w:pPr>
              <w:jc w:val="center"/>
              <w:rPr>
                <w:i/>
                <w:color w:val="FF0000"/>
                <w:sz w:val="18"/>
                <w:szCs w:val="18"/>
              </w:rPr>
            </w:pPr>
          </w:p>
        </w:tc>
      </w:tr>
      <w:tr w14:paraId="4CF1B57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97" w:hRule="atLeast"/>
          <w:jc w:val="center"/>
        </w:trPr>
        <w:tc>
          <w:tcPr>
            <w:tcW w:w="571" w:type="dxa"/>
            <w:vMerge w:val="continue"/>
            <w:vAlign w:val="center"/>
          </w:tcPr>
          <w:p w14:paraId="6FA5E9C1">
            <w:pPr>
              <w:jc w:val="center"/>
              <w:rPr>
                <w:b/>
                <w:color w:val="000000" w:themeColor="text1"/>
                <w:sz w:val="18"/>
                <w:szCs w:val="18"/>
                <w14:textFill>
                  <w14:solidFill>
                    <w14:schemeClr w14:val="tx1"/>
                  </w14:solidFill>
                </w14:textFill>
              </w:rPr>
            </w:pPr>
          </w:p>
        </w:tc>
        <w:tc>
          <w:tcPr>
            <w:tcW w:w="1226" w:type="dxa"/>
            <w:vMerge w:val="continue"/>
            <w:vAlign w:val="center"/>
          </w:tcPr>
          <w:p w14:paraId="4B0584F4">
            <w:pPr>
              <w:jc w:val="center"/>
              <w:rPr>
                <w:b/>
                <w:color w:val="000000" w:themeColor="text1"/>
                <w:sz w:val="18"/>
                <w:szCs w:val="18"/>
                <w14:textFill>
                  <w14:solidFill>
                    <w14:schemeClr w14:val="tx1"/>
                  </w14:solidFill>
                </w14:textFill>
              </w:rPr>
            </w:pPr>
          </w:p>
        </w:tc>
        <w:tc>
          <w:tcPr>
            <w:tcW w:w="3516" w:type="dxa"/>
            <w:vAlign w:val="center"/>
          </w:tcPr>
          <w:p w14:paraId="2DCA5796">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学术活动</w:t>
            </w:r>
          </w:p>
        </w:tc>
        <w:tc>
          <w:tcPr>
            <w:tcW w:w="1102" w:type="dxa"/>
            <w:vAlign w:val="center"/>
          </w:tcPr>
          <w:p w14:paraId="468EF241">
            <w:pPr>
              <w:jc w:val="center"/>
              <w:rPr>
                <w:color w:val="000000" w:themeColor="text1"/>
                <w:sz w:val="18"/>
                <w:szCs w:val="18"/>
                <w14:textFill>
                  <w14:solidFill>
                    <w14:schemeClr w14:val="tx1"/>
                  </w14:solidFill>
                </w14:textFill>
              </w:rPr>
            </w:pPr>
          </w:p>
        </w:tc>
        <w:tc>
          <w:tcPr>
            <w:tcW w:w="688" w:type="dxa"/>
            <w:vAlign w:val="center"/>
          </w:tcPr>
          <w:p w14:paraId="74F07C81">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709" w:type="dxa"/>
            <w:vAlign w:val="center"/>
          </w:tcPr>
          <w:p w14:paraId="48E55959">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1</w:t>
            </w:r>
          </w:p>
        </w:tc>
        <w:tc>
          <w:tcPr>
            <w:tcW w:w="1045" w:type="dxa"/>
            <w:vMerge w:val="continue"/>
            <w:vAlign w:val="center"/>
          </w:tcPr>
          <w:p w14:paraId="21A1882C">
            <w:pPr>
              <w:jc w:val="center"/>
              <w:rPr>
                <w:color w:val="000000" w:themeColor="text1"/>
                <w:sz w:val="18"/>
                <w:szCs w:val="18"/>
                <w14:textFill>
                  <w14:solidFill>
                    <w14:schemeClr w14:val="tx1"/>
                  </w14:solidFill>
                </w14:textFill>
              </w:rPr>
            </w:pPr>
          </w:p>
        </w:tc>
      </w:tr>
      <w:tr w14:paraId="538017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CB344DE">
            <w:pPr>
              <w:rPr>
                <w:b/>
                <w:color w:val="000000" w:themeColor="text1"/>
                <w:sz w:val="18"/>
                <w:szCs w:val="18"/>
                <w14:textFill>
                  <w14:solidFill>
                    <w14:schemeClr w14:val="tx1"/>
                  </w14:solidFill>
                </w14:textFill>
              </w:rPr>
            </w:pPr>
          </w:p>
        </w:tc>
        <w:tc>
          <w:tcPr>
            <w:tcW w:w="1226" w:type="dxa"/>
            <w:vMerge w:val="restart"/>
            <w:vAlign w:val="center"/>
          </w:tcPr>
          <w:p w14:paraId="7465D136">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0117F949">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102" w:type="dxa"/>
            <w:vAlign w:val="center"/>
          </w:tcPr>
          <w:p w14:paraId="0FC311F5">
            <w:pPr>
              <w:jc w:val="center"/>
              <w:rPr>
                <w:color w:val="000000" w:themeColor="text1"/>
                <w:sz w:val="18"/>
                <w:szCs w:val="18"/>
                <w14:textFill>
                  <w14:solidFill>
                    <w14:schemeClr w14:val="tx1"/>
                  </w14:solidFill>
                </w14:textFill>
              </w:rPr>
            </w:pPr>
          </w:p>
        </w:tc>
        <w:tc>
          <w:tcPr>
            <w:tcW w:w="688" w:type="dxa"/>
            <w:vAlign w:val="center"/>
          </w:tcPr>
          <w:p w14:paraId="49948C7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62DD99DE">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3</w:t>
            </w:r>
          </w:p>
        </w:tc>
        <w:tc>
          <w:tcPr>
            <w:tcW w:w="1045" w:type="dxa"/>
            <w:vMerge w:val="restart"/>
            <w:vAlign w:val="center"/>
          </w:tcPr>
          <w:p w14:paraId="6A64B9B4">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35352959">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49FAF16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42365DE">
            <w:pPr>
              <w:rPr>
                <w:b/>
                <w:color w:val="000000" w:themeColor="text1"/>
                <w:sz w:val="18"/>
                <w:szCs w:val="18"/>
                <w14:textFill>
                  <w14:solidFill>
                    <w14:schemeClr w14:val="tx1"/>
                  </w14:solidFill>
                </w14:textFill>
              </w:rPr>
            </w:pPr>
          </w:p>
        </w:tc>
        <w:tc>
          <w:tcPr>
            <w:tcW w:w="1226" w:type="dxa"/>
            <w:vMerge w:val="continue"/>
            <w:vAlign w:val="center"/>
          </w:tcPr>
          <w:p w14:paraId="0D07F661">
            <w:pPr>
              <w:jc w:val="center"/>
              <w:rPr>
                <w:b/>
                <w:color w:val="000000" w:themeColor="text1"/>
                <w:sz w:val="18"/>
                <w:szCs w:val="18"/>
                <w14:textFill>
                  <w14:solidFill>
                    <w14:schemeClr w14:val="tx1"/>
                  </w14:solidFill>
                </w14:textFill>
              </w:rPr>
            </w:pPr>
          </w:p>
        </w:tc>
        <w:tc>
          <w:tcPr>
            <w:tcW w:w="3516" w:type="dxa"/>
            <w:vAlign w:val="center"/>
          </w:tcPr>
          <w:p w14:paraId="05839D1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102" w:type="dxa"/>
            <w:vAlign w:val="center"/>
          </w:tcPr>
          <w:p w14:paraId="252F2C04">
            <w:pPr>
              <w:jc w:val="center"/>
              <w:rPr>
                <w:color w:val="000000" w:themeColor="text1"/>
                <w:sz w:val="18"/>
                <w:szCs w:val="18"/>
                <w14:textFill>
                  <w14:solidFill>
                    <w14:schemeClr w14:val="tx1"/>
                  </w14:solidFill>
                </w14:textFill>
              </w:rPr>
            </w:pPr>
          </w:p>
        </w:tc>
        <w:tc>
          <w:tcPr>
            <w:tcW w:w="688" w:type="dxa"/>
            <w:vAlign w:val="center"/>
          </w:tcPr>
          <w:p w14:paraId="1DB85E10">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44FD3FAA">
            <w:pPr>
              <w:jc w:val="center"/>
              <w:rPr>
                <w:rFonts w:hint="default" w:eastAsia="宋体"/>
                <w:iCs/>
                <w:color w:val="000000" w:themeColor="text1"/>
                <w:sz w:val="18"/>
                <w:szCs w:val="18"/>
                <w:lang w:val="en-US" w:eastAsia="zh-CN"/>
                <w14:textFill>
                  <w14:solidFill>
                    <w14:schemeClr w14:val="tx1"/>
                  </w14:solidFill>
                </w14:textFill>
              </w:rPr>
            </w:pPr>
            <w:r>
              <w:rPr>
                <w:rFonts w:hint="eastAsia"/>
                <w:iCs/>
                <w:color w:val="000000" w:themeColor="text1"/>
                <w:sz w:val="18"/>
                <w:szCs w:val="18"/>
                <w14:textFill>
                  <w14:solidFill>
                    <w14:schemeClr w14:val="tx1"/>
                  </w14:solidFill>
                </w14:textFill>
              </w:rPr>
              <w:t>3</w:t>
            </w:r>
            <w:r>
              <w:rPr>
                <w:rFonts w:hint="eastAsia"/>
                <w:iCs/>
                <w:color w:val="000000" w:themeColor="text1"/>
                <w:sz w:val="18"/>
                <w:szCs w:val="18"/>
                <w:lang w:val="en-US" w:eastAsia="zh-CN"/>
                <w14:textFill>
                  <w14:solidFill>
                    <w14:schemeClr w14:val="tx1"/>
                  </w14:solidFill>
                </w14:textFill>
              </w:rPr>
              <w:t>-4</w:t>
            </w:r>
          </w:p>
        </w:tc>
        <w:tc>
          <w:tcPr>
            <w:tcW w:w="1045" w:type="dxa"/>
            <w:vMerge w:val="continue"/>
            <w:vAlign w:val="center"/>
          </w:tcPr>
          <w:p w14:paraId="42802AE8">
            <w:pPr>
              <w:jc w:val="center"/>
              <w:rPr>
                <w:color w:val="000000" w:themeColor="text1"/>
                <w:sz w:val="18"/>
                <w:szCs w:val="18"/>
                <w14:textFill>
                  <w14:solidFill>
                    <w14:schemeClr w14:val="tx1"/>
                  </w14:solidFill>
                </w14:textFill>
              </w:rPr>
            </w:pPr>
          </w:p>
        </w:tc>
      </w:tr>
      <w:tr w14:paraId="41B9CCA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3B0CD90F">
            <w:pPr>
              <w:rPr>
                <w:b/>
                <w:color w:val="000000" w:themeColor="text1"/>
                <w:sz w:val="18"/>
                <w:szCs w:val="18"/>
                <w14:textFill>
                  <w14:solidFill>
                    <w14:schemeClr w14:val="tx1"/>
                  </w14:solidFill>
                </w14:textFill>
              </w:rPr>
            </w:pPr>
          </w:p>
        </w:tc>
        <w:tc>
          <w:tcPr>
            <w:tcW w:w="1226" w:type="dxa"/>
            <w:vMerge w:val="continue"/>
            <w:vAlign w:val="center"/>
          </w:tcPr>
          <w:p w14:paraId="76EFF4F4">
            <w:pPr>
              <w:jc w:val="center"/>
              <w:rPr>
                <w:b/>
                <w:color w:val="000000" w:themeColor="text1"/>
                <w:sz w:val="18"/>
                <w:szCs w:val="18"/>
                <w14:textFill>
                  <w14:solidFill>
                    <w14:schemeClr w14:val="tx1"/>
                  </w14:solidFill>
                </w14:textFill>
              </w:rPr>
            </w:pPr>
          </w:p>
        </w:tc>
        <w:tc>
          <w:tcPr>
            <w:tcW w:w="3516" w:type="dxa"/>
            <w:vAlign w:val="center"/>
          </w:tcPr>
          <w:p w14:paraId="6E95330B">
            <w:pPr>
              <w:rPr>
                <w:sz w:val="18"/>
                <w:szCs w:val="18"/>
              </w:rPr>
            </w:pPr>
            <w:r>
              <w:rPr>
                <w:sz w:val="18"/>
                <w:szCs w:val="18"/>
              </w:rPr>
              <w:t>论文中期进展报告</w:t>
            </w:r>
          </w:p>
        </w:tc>
        <w:tc>
          <w:tcPr>
            <w:tcW w:w="1102" w:type="dxa"/>
            <w:vAlign w:val="center"/>
          </w:tcPr>
          <w:p w14:paraId="6CD41751">
            <w:pPr>
              <w:jc w:val="center"/>
              <w:rPr>
                <w:color w:val="000000" w:themeColor="text1"/>
                <w:sz w:val="18"/>
                <w:szCs w:val="18"/>
                <w14:textFill>
                  <w14:solidFill>
                    <w14:schemeClr w14:val="tx1"/>
                  </w14:solidFill>
                </w14:textFill>
              </w:rPr>
            </w:pPr>
          </w:p>
        </w:tc>
        <w:tc>
          <w:tcPr>
            <w:tcW w:w="688" w:type="dxa"/>
            <w:vAlign w:val="center"/>
          </w:tcPr>
          <w:p w14:paraId="1F8F750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5D89C8CA">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5</w:t>
            </w:r>
          </w:p>
        </w:tc>
        <w:tc>
          <w:tcPr>
            <w:tcW w:w="1045" w:type="dxa"/>
            <w:vMerge w:val="continue"/>
          </w:tcPr>
          <w:p w14:paraId="09E8C427">
            <w:pPr>
              <w:jc w:val="center"/>
              <w:rPr>
                <w:color w:val="000000" w:themeColor="text1"/>
                <w:sz w:val="18"/>
                <w:szCs w:val="18"/>
                <w14:textFill>
                  <w14:solidFill>
                    <w14:schemeClr w14:val="tx1"/>
                  </w14:solidFill>
                </w14:textFill>
              </w:rPr>
            </w:pPr>
          </w:p>
        </w:tc>
      </w:tr>
      <w:tr w14:paraId="281393E3">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FEE181D">
            <w:pPr>
              <w:rPr>
                <w:b/>
                <w:color w:val="000000" w:themeColor="text1"/>
                <w:sz w:val="18"/>
                <w:szCs w:val="18"/>
                <w14:textFill>
                  <w14:solidFill>
                    <w14:schemeClr w14:val="tx1"/>
                  </w14:solidFill>
                </w14:textFill>
              </w:rPr>
            </w:pPr>
          </w:p>
        </w:tc>
        <w:tc>
          <w:tcPr>
            <w:tcW w:w="1226" w:type="dxa"/>
            <w:vMerge w:val="continue"/>
            <w:vAlign w:val="center"/>
          </w:tcPr>
          <w:p w14:paraId="3C1FCF67">
            <w:pPr>
              <w:jc w:val="center"/>
              <w:rPr>
                <w:b/>
                <w:color w:val="000000" w:themeColor="text1"/>
                <w:sz w:val="18"/>
                <w:szCs w:val="18"/>
                <w14:textFill>
                  <w14:solidFill>
                    <w14:schemeClr w14:val="tx1"/>
                  </w14:solidFill>
                </w14:textFill>
              </w:rPr>
            </w:pPr>
          </w:p>
        </w:tc>
        <w:tc>
          <w:tcPr>
            <w:tcW w:w="3516" w:type="dxa"/>
            <w:vAlign w:val="center"/>
          </w:tcPr>
          <w:p w14:paraId="2B64651B">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102" w:type="dxa"/>
            <w:vAlign w:val="center"/>
          </w:tcPr>
          <w:p w14:paraId="4587899C">
            <w:pPr>
              <w:jc w:val="center"/>
              <w:rPr>
                <w:color w:val="000000" w:themeColor="text1"/>
                <w:sz w:val="18"/>
                <w:szCs w:val="18"/>
                <w14:textFill>
                  <w14:solidFill>
                    <w14:schemeClr w14:val="tx1"/>
                  </w14:solidFill>
                </w14:textFill>
              </w:rPr>
            </w:pPr>
          </w:p>
        </w:tc>
        <w:tc>
          <w:tcPr>
            <w:tcW w:w="688" w:type="dxa"/>
            <w:vAlign w:val="center"/>
          </w:tcPr>
          <w:p w14:paraId="7BB7067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37806A3C">
            <w:pPr>
              <w:jc w:val="center"/>
              <w:rPr>
                <w:iCs/>
                <w:color w:val="000000" w:themeColor="text1"/>
                <w:sz w:val="18"/>
                <w:szCs w:val="18"/>
                <w14:textFill>
                  <w14:solidFill>
                    <w14:schemeClr w14:val="tx1"/>
                  </w14:solidFill>
                </w14:textFill>
              </w:rPr>
            </w:pPr>
            <w:r>
              <w:rPr>
                <w:rFonts w:hint="eastAsia"/>
                <w:iCs/>
                <w:color w:val="000000" w:themeColor="text1"/>
                <w:sz w:val="18"/>
                <w:szCs w:val="18"/>
                <w14:textFill>
                  <w14:solidFill>
                    <w14:schemeClr w14:val="tx1"/>
                  </w14:solidFill>
                </w14:textFill>
              </w:rPr>
              <w:t>8</w:t>
            </w:r>
          </w:p>
        </w:tc>
        <w:tc>
          <w:tcPr>
            <w:tcW w:w="1045" w:type="dxa"/>
            <w:vMerge w:val="continue"/>
          </w:tcPr>
          <w:p w14:paraId="547859A3">
            <w:pPr>
              <w:jc w:val="center"/>
              <w:rPr>
                <w:color w:val="000000" w:themeColor="text1"/>
                <w:sz w:val="18"/>
                <w:szCs w:val="18"/>
                <w14:textFill>
                  <w14:solidFill>
                    <w14:schemeClr w14:val="tx1"/>
                  </w14:solidFill>
                </w14:textFill>
              </w:rPr>
            </w:pPr>
          </w:p>
        </w:tc>
      </w:tr>
      <w:tr w14:paraId="415BE144">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21D44DC">
            <w:pPr>
              <w:rPr>
                <w:color w:val="000000" w:themeColor="text1"/>
                <w:sz w:val="18"/>
                <w:szCs w:val="18"/>
                <w14:textFill>
                  <w14:solidFill>
                    <w14:schemeClr w14:val="tx1"/>
                  </w14:solidFill>
                </w14:textFill>
              </w:rPr>
            </w:pPr>
          </w:p>
        </w:tc>
        <w:tc>
          <w:tcPr>
            <w:tcW w:w="1226" w:type="dxa"/>
            <w:vMerge w:val="continue"/>
          </w:tcPr>
          <w:p w14:paraId="07E753CA">
            <w:pPr>
              <w:jc w:val="center"/>
              <w:rPr>
                <w:color w:val="000000" w:themeColor="text1"/>
                <w:sz w:val="18"/>
                <w:szCs w:val="18"/>
                <w14:textFill>
                  <w14:solidFill>
                    <w14:schemeClr w14:val="tx1"/>
                  </w14:solidFill>
                </w14:textFill>
              </w:rPr>
            </w:pPr>
          </w:p>
        </w:tc>
        <w:tc>
          <w:tcPr>
            <w:tcW w:w="3516" w:type="dxa"/>
            <w:vAlign w:val="center"/>
          </w:tcPr>
          <w:p w14:paraId="508611C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102" w:type="dxa"/>
            <w:vAlign w:val="center"/>
          </w:tcPr>
          <w:p w14:paraId="4264A4E8">
            <w:pPr>
              <w:jc w:val="center"/>
              <w:rPr>
                <w:color w:val="000000" w:themeColor="text1"/>
                <w:sz w:val="18"/>
                <w:szCs w:val="18"/>
                <w14:textFill>
                  <w14:solidFill>
                    <w14:schemeClr w14:val="tx1"/>
                  </w14:solidFill>
                </w14:textFill>
              </w:rPr>
            </w:pPr>
          </w:p>
        </w:tc>
        <w:tc>
          <w:tcPr>
            <w:tcW w:w="688" w:type="dxa"/>
            <w:vAlign w:val="center"/>
          </w:tcPr>
          <w:p w14:paraId="2A17392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57F8D4C7">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0007ABF1">
            <w:pPr>
              <w:jc w:val="center"/>
              <w:rPr>
                <w:color w:val="000000" w:themeColor="text1"/>
                <w:sz w:val="18"/>
                <w:szCs w:val="18"/>
                <w14:textFill>
                  <w14:solidFill>
                    <w14:schemeClr w14:val="tx1"/>
                  </w14:solidFill>
                </w14:textFill>
              </w:rPr>
            </w:pPr>
          </w:p>
        </w:tc>
      </w:tr>
      <w:tr w14:paraId="27285679">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7CDDC7B1">
            <w:pPr>
              <w:rPr>
                <w:color w:val="000000" w:themeColor="text1"/>
                <w:sz w:val="18"/>
                <w:szCs w:val="18"/>
                <w14:textFill>
                  <w14:solidFill>
                    <w14:schemeClr w14:val="tx1"/>
                  </w14:solidFill>
                </w14:textFill>
              </w:rPr>
            </w:pPr>
          </w:p>
        </w:tc>
        <w:tc>
          <w:tcPr>
            <w:tcW w:w="1226" w:type="dxa"/>
            <w:vMerge w:val="continue"/>
          </w:tcPr>
          <w:p w14:paraId="6342BE8B">
            <w:pPr>
              <w:jc w:val="center"/>
              <w:rPr>
                <w:color w:val="000000" w:themeColor="text1"/>
                <w:sz w:val="18"/>
                <w:szCs w:val="18"/>
                <w14:textFill>
                  <w14:solidFill>
                    <w14:schemeClr w14:val="tx1"/>
                  </w14:solidFill>
                </w14:textFill>
              </w:rPr>
            </w:pPr>
          </w:p>
        </w:tc>
        <w:tc>
          <w:tcPr>
            <w:tcW w:w="3516" w:type="dxa"/>
            <w:vAlign w:val="center"/>
          </w:tcPr>
          <w:p w14:paraId="1294D46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102" w:type="dxa"/>
            <w:vAlign w:val="center"/>
          </w:tcPr>
          <w:p w14:paraId="72A5618F">
            <w:pPr>
              <w:jc w:val="center"/>
              <w:rPr>
                <w:color w:val="000000" w:themeColor="text1"/>
                <w:sz w:val="18"/>
                <w:szCs w:val="18"/>
                <w14:textFill>
                  <w14:solidFill>
                    <w14:schemeClr w14:val="tx1"/>
                  </w14:solidFill>
                </w14:textFill>
              </w:rPr>
            </w:pPr>
          </w:p>
        </w:tc>
        <w:tc>
          <w:tcPr>
            <w:tcW w:w="688" w:type="dxa"/>
            <w:vAlign w:val="center"/>
          </w:tcPr>
          <w:p w14:paraId="4D9CAB9A">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0</w:t>
            </w:r>
          </w:p>
        </w:tc>
        <w:tc>
          <w:tcPr>
            <w:tcW w:w="709" w:type="dxa"/>
            <w:vAlign w:val="center"/>
          </w:tcPr>
          <w:p w14:paraId="0E700824">
            <w:pPr>
              <w:jc w:val="center"/>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8</w:t>
            </w:r>
          </w:p>
        </w:tc>
        <w:tc>
          <w:tcPr>
            <w:tcW w:w="1045" w:type="dxa"/>
            <w:vMerge w:val="continue"/>
          </w:tcPr>
          <w:p w14:paraId="7AF514B5">
            <w:pPr>
              <w:jc w:val="center"/>
              <w:rPr>
                <w:color w:val="000000" w:themeColor="text1"/>
                <w:sz w:val="18"/>
                <w:szCs w:val="18"/>
                <w14:textFill>
                  <w14:solidFill>
                    <w14:schemeClr w14:val="tx1"/>
                  </w14:solidFill>
                </w14:textFill>
              </w:rPr>
            </w:pPr>
          </w:p>
        </w:tc>
      </w:tr>
    </w:tbl>
    <w:p w14:paraId="518A1707">
      <w:pPr>
        <w:spacing w:line="440" w:lineRule="exact"/>
        <w:ind w:firstLine="480" w:firstLineChars="200"/>
        <w:rPr>
          <w:rFonts w:eastAsiaTheme="minorEastAsia"/>
          <w:bCs/>
          <w:sz w:val="24"/>
        </w:rPr>
      </w:pPr>
      <w:r>
        <w:rPr>
          <w:rFonts w:eastAsiaTheme="minorEastAsia"/>
          <w:bCs/>
          <w:sz w:val="24"/>
        </w:rPr>
        <w:t>*公共外语课程按入学时的外国语考试科目修读相关语种。</w:t>
      </w:r>
    </w:p>
    <w:p w14:paraId="39A254CA">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239B9CC8">
      <w:pPr>
        <w:spacing w:line="440" w:lineRule="exact"/>
        <w:ind w:firstLine="480" w:firstLineChars="200"/>
        <w:rPr>
          <w:rFonts w:eastAsiaTheme="minorEastAsia"/>
          <w:bCs/>
          <w:sz w:val="24"/>
        </w:rPr>
      </w:pPr>
      <w:r>
        <w:rPr>
          <w:rFonts w:eastAsiaTheme="minorEastAsia"/>
          <w:bCs/>
          <w:sz w:val="24"/>
        </w:rPr>
        <w:t>1. 非学位课中的方向选修课模块由各培养单位自行设置，并给出具体选修学分要求。</w:t>
      </w:r>
    </w:p>
    <w:p w14:paraId="23DA5E81">
      <w:pPr>
        <w:spacing w:line="440" w:lineRule="exact"/>
        <w:ind w:firstLine="480" w:firstLineChars="200"/>
        <w:rPr>
          <w:rFonts w:eastAsiaTheme="minorEastAsia"/>
          <w:bCs/>
          <w:sz w:val="24"/>
        </w:rPr>
      </w:pPr>
      <w:r>
        <w:rPr>
          <w:rFonts w:eastAsiaTheme="minorEastAsia"/>
          <w:bCs/>
          <w:sz w:val="24"/>
        </w:rPr>
        <w:t>2. 毕业总学分：</w:t>
      </w:r>
      <w:r>
        <w:rPr>
          <w:rFonts w:hint="eastAsia" w:eastAsiaTheme="minorEastAsia"/>
          <w:bCs/>
          <w:sz w:val="24"/>
        </w:rPr>
        <w:t>学位课</w:t>
      </w:r>
      <w:r>
        <w:rPr>
          <w:rFonts w:eastAsiaTheme="minorEastAsia"/>
          <w:bCs/>
          <w:sz w:val="24"/>
        </w:rPr>
        <w:t>+</w:t>
      </w:r>
      <w:r>
        <w:rPr>
          <w:rFonts w:hint="eastAsia" w:eastAsiaTheme="minorEastAsia"/>
          <w:bCs/>
          <w:sz w:val="24"/>
        </w:rPr>
        <w:t>非学位课</w:t>
      </w:r>
      <w:r>
        <w:rPr>
          <w:rFonts w:eastAsiaTheme="minorEastAsia"/>
          <w:bCs/>
          <w:sz w:val="24"/>
        </w:rPr>
        <w:t>+必修环节。</w:t>
      </w:r>
    </w:p>
    <w:p w14:paraId="0B683709">
      <w:pPr>
        <w:ind w:left="321" w:leftChars="153" w:right="227"/>
        <w:jc w:val="center"/>
        <w:rPr>
          <w:rFonts w:eastAsia="黑体"/>
          <w:b/>
          <w:bCs/>
          <w:i/>
          <w:color w:val="FF0000"/>
          <w:sz w:val="36"/>
          <w:szCs w:val="36"/>
          <w:u w:val="single"/>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210FE3"/>
    <w:multiLevelType w:val="singleLevel"/>
    <w:tmpl w:val="E6210FE3"/>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0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08FF"/>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3E7"/>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D7B75"/>
    <w:rsid w:val="000E0380"/>
    <w:rsid w:val="000E1279"/>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1F39"/>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0FEB"/>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4DA5"/>
    <w:rsid w:val="002056DB"/>
    <w:rsid w:val="00205814"/>
    <w:rsid w:val="00206236"/>
    <w:rsid w:val="00206FD9"/>
    <w:rsid w:val="002072D0"/>
    <w:rsid w:val="002106EB"/>
    <w:rsid w:val="002120B8"/>
    <w:rsid w:val="002120E9"/>
    <w:rsid w:val="00212267"/>
    <w:rsid w:val="002153F9"/>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62B0"/>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3D8"/>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2866"/>
    <w:rsid w:val="00313F81"/>
    <w:rsid w:val="00314BE3"/>
    <w:rsid w:val="00314D3C"/>
    <w:rsid w:val="00316174"/>
    <w:rsid w:val="0031623B"/>
    <w:rsid w:val="00316326"/>
    <w:rsid w:val="00316470"/>
    <w:rsid w:val="00316817"/>
    <w:rsid w:val="00317FDF"/>
    <w:rsid w:val="00321FD1"/>
    <w:rsid w:val="00322D53"/>
    <w:rsid w:val="003235E9"/>
    <w:rsid w:val="00323D0D"/>
    <w:rsid w:val="00325D12"/>
    <w:rsid w:val="003267DB"/>
    <w:rsid w:val="00326A2C"/>
    <w:rsid w:val="003279B0"/>
    <w:rsid w:val="00330177"/>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2E9C"/>
    <w:rsid w:val="003539D7"/>
    <w:rsid w:val="00353D6B"/>
    <w:rsid w:val="003617F2"/>
    <w:rsid w:val="00361966"/>
    <w:rsid w:val="00362BF4"/>
    <w:rsid w:val="00364D73"/>
    <w:rsid w:val="00367064"/>
    <w:rsid w:val="00371E5D"/>
    <w:rsid w:val="00371F36"/>
    <w:rsid w:val="00372023"/>
    <w:rsid w:val="00374191"/>
    <w:rsid w:val="00375293"/>
    <w:rsid w:val="0037679D"/>
    <w:rsid w:val="00376F53"/>
    <w:rsid w:val="003825C6"/>
    <w:rsid w:val="00382F33"/>
    <w:rsid w:val="00383F4C"/>
    <w:rsid w:val="00383FF4"/>
    <w:rsid w:val="00384607"/>
    <w:rsid w:val="00386FF4"/>
    <w:rsid w:val="00387621"/>
    <w:rsid w:val="003908B7"/>
    <w:rsid w:val="0039122B"/>
    <w:rsid w:val="003916C3"/>
    <w:rsid w:val="0039293A"/>
    <w:rsid w:val="00392FBD"/>
    <w:rsid w:val="00393220"/>
    <w:rsid w:val="00397184"/>
    <w:rsid w:val="003A0041"/>
    <w:rsid w:val="003A1028"/>
    <w:rsid w:val="003A3458"/>
    <w:rsid w:val="003A3614"/>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262"/>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3319"/>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A04"/>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4B4D"/>
    <w:rsid w:val="004F7534"/>
    <w:rsid w:val="00501096"/>
    <w:rsid w:val="0050152F"/>
    <w:rsid w:val="00501D66"/>
    <w:rsid w:val="00502BCF"/>
    <w:rsid w:val="00503CA3"/>
    <w:rsid w:val="005064A0"/>
    <w:rsid w:val="00506B23"/>
    <w:rsid w:val="00507E05"/>
    <w:rsid w:val="00510950"/>
    <w:rsid w:val="00510D7E"/>
    <w:rsid w:val="00511113"/>
    <w:rsid w:val="00512343"/>
    <w:rsid w:val="0051322C"/>
    <w:rsid w:val="00514279"/>
    <w:rsid w:val="0051684C"/>
    <w:rsid w:val="00517A47"/>
    <w:rsid w:val="00521257"/>
    <w:rsid w:val="0052221B"/>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BF8"/>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3A19"/>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09A3"/>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6F37"/>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2A6"/>
    <w:rsid w:val="007F09CD"/>
    <w:rsid w:val="007F23CF"/>
    <w:rsid w:val="007F32A1"/>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A93"/>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1281"/>
    <w:rsid w:val="008634C1"/>
    <w:rsid w:val="0086368E"/>
    <w:rsid w:val="00863785"/>
    <w:rsid w:val="00864B60"/>
    <w:rsid w:val="00865008"/>
    <w:rsid w:val="008657A9"/>
    <w:rsid w:val="008658D6"/>
    <w:rsid w:val="00865AFC"/>
    <w:rsid w:val="00865FC3"/>
    <w:rsid w:val="00866D7F"/>
    <w:rsid w:val="00866FB1"/>
    <w:rsid w:val="008707CE"/>
    <w:rsid w:val="00870F59"/>
    <w:rsid w:val="00871138"/>
    <w:rsid w:val="008715FB"/>
    <w:rsid w:val="00872D83"/>
    <w:rsid w:val="00873461"/>
    <w:rsid w:val="0087407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5C05"/>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2986"/>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5BD4"/>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A73"/>
    <w:rsid w:val="00A43B69"/>
    <w:rsid w:val="00A440C7"/>
    <w:rsid w:val="00A45643"/>
    <w:rsid w:val="00A45AC3"/>
    <w:rsid w:val="00A51560"/>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2AF"/>
    <w:rsid w:val="00AE55ED"/>
    <w:rsid w:val="00AE57CA"/>
    <w:rsid w:val="00AE5A73"/>
    <w:rsid w:val="00AE61FF"/>
    <w:rsid w:val="00AE68F5"/>
    <w:rsid w:val="00AE6AF0"/>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687A"/>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4CF7"/>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323E"/>
    <w:rsid w:val="00B64732"/>
    <w:rsid w:val="00B65BCA"/>
    <w:rsid w:val="00B66183"/>
    <w:rsid w:val="00B66D67"/>
    <w:rsid w:val="00B66FC5"/>
    <w:rsid w:val="00B6727D"/>
    <w:rsid w:val="00B67703"/>
    <w:rsid w:val="00B73199"/>
    <w:rsid w:val="00B7337D"/>
    <w:rsid w:val="00B73397"/>
    <w:rsid w:val="00B7595E"/>
    <w:rsid w:val="00B75D73"/>
    <w:rsid w:val="00B7628E"/>
    <w:rsid w:val="00B77328"/>
    <w:rsid w:val="00B775AF"/>
    <w:rsid w:val="00B8038C"/>
    <w:rsid w:val="00B83EE0"/>
    <w:rsid w:val="00B85E52"/>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213B"/>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4B0A"/>
    <w:rsid w:val="00C45568"/>
    <w:rsid w:val="00C46780"/>
    <w:rsid w:val="00C46BAD"/>
    <w:rsid w:val="00C46FFC"/>
    <w:rsid w:val="00C47BDB"/>
    <w:rsid w:val="00C5117B"/>
    <w:rsid w:val="00C5162D"/>
    <w:rsid w:val="00C51F76"/>
    <w:rsid w:val="00C520A8"/>
    <w:rsid w:val="00C52100"/>
    <w:rsid w:val="00C526BE"/>
    <w:rsid w:val="00C52B00"/>
    <w:rsid w:val="00C52C9B"/>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5A12"/>
    <w:rsid w:val="00C76A7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5DC3"/>
    <w:rsid w:val="00CA6DCE"/>
    <w:rsid w:val="00CA7018"/>
    <w:rsid w:val="00CB0A42"/>
    <w:rsid w:val="00CB1865"/>
    <w:rsid w:val="00CB29E9"/>
    <w:rsid w:val="00CB3BAA"/>
    <w:rsid w:val="00CB4C98"/>
    <w:rsid w:val="00CB4F11"/>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1C11"/>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1BF4"/>
    <w:rsid w:val="00DA2DEE"/>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14D"/>
    <w:rsid w:val="00DE1E6F"/>
    <w:rsid w:val="00DE2B34"/>
    <w:rsid w:val="00DE31EA"/>
    <w:rsid w:val="00DE358F"/>
    <w:rsid w:val="00DE36F5"/>
    <w:rsid w:val="00DE5743"/>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3A2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249"/>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047"/>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3573"/>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A1D"/>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9EE"/>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0D7A"/>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26A3C24"/>
    <w:rsid w:val="104A090E"/>
    <w:rsid w:val="10D601E5"/>
    <w:rsid w:val="1E1E31CB"/>
    <w:rsid w:val="1FE96C05"/>
    <w:rsid w:val="29C56BF1"/>
    <w:rsid w:val="2B441CE7"/>
    <w:rsid w:val="2DDD227B"/>
    <w:rsid w:val="32A01FA9"/>
    <w:rsid w:val="39440937"/>
    <w:rsid w:val="4125649B"/>
    <w:rsid w:val="438433DD"/>
    <w:rsid w:val="44B26298"/>
    <w:rsid w:val="456450B8"/>
    <w:rsid w:val="477F2494"/>
    <w:rsid w:val="4B09298A"/>
    <w:rsid w:val="5385202A"/>
    <w:rsid w:val="54383362"/>
    <w:rsid w:val="5A131A6F"/>
    <w:rsid w:val="5EAC1F54"/>
    <w:rsid w:val="5F2E185D"/>
    <w:rsid w:val="64AD1228"/>
    <w:rsid w:val="6C6E0447"/>
    <w:rsid w:val="794D0264"/>
    <w:rsid w:val="7A560C63"/>
    <w:rsid w:val="7C613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0"/>
    <w:pPr>
      <w:keepNext/>
      <w:keepLines/>
      <w:spacing w:before="340" w:after="330" w:line="578" w:lineRule="auto"/>
      <w:jc w:val="center"/>
      <w:outlineLvl w:val="0"/>
    </w:pPr>
    <w:rPr>
      <w:rFonts w:eastAsia="华文行楷"/>
      <w:kern w:val="44"/>
      <w:sz w:val="44"/>
      <w:szCs w:val="20"/>
    </w:rPr>
  </w:style>
  <w:style w:type="paragraph" w:styleId="3">
    <w:name w:val="heading 2"/>
    <w:basedOn w:val="1"/>
    <w:next w:val="1"/>
    <w:link w:val="16"/>
    <w:qFormat/>
    <w:uiPriority w:val="99"/>
    <w:pPr>
      <w:keepNext/>
      <w:keepLines/>
      <w:spacing w:line="360" w:lineRule="auto"/>
      <w:jc w:val="center"/>
      <w:outlineLvl w:val="1"/>
    </w:pPr>
    <w:rPr>
      <w:rFonts w:ascii="Cambria" w:hAnsi="Cambria"/>
      <w:b/>
      <w:bCs/>
      <w:sz w:val="32"/>
      <w:szCs w:val="32"/>
    </w:rPr>
  </w:style>
  <w:style w:type="paragraph" w:styleId="4">
    <w:name w:val="heading 4"/>
    <w:basedOn w:val="1"/>
    <w:next w:val="1"/>
    <w:link w:val="26"/>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semiHidden/>
    <w:unhideWhenUsed/>
    <w:qFormat/>
    <w:uiPriority w:val="99"/>
    <w:pPr>
      <w:jc w:val="left"/>
    </w:pPr>
  </w:style>
  <w:style w:type="paragraph" w:styleId="6">
    <w:name w:val="Balloon Text"/>
    <w:basedOn w:val="1"/>
    <w:link w:val="21"/>
    <w:semiHidden/>
    <w:unhideWhenUsed/>
    <w:qFormat/>
    <w:uiPriority w:val="99"/>
    <w:rPr>
      <w:sz w:val="18"/>
      <w:szCs w:val="18"/>
    </w:rPr>
  </w:style>
  <w:style w:type="paragraph" w:styleId="7">
    <w:name w:val="footer"/>
    <w:basedOn w:val="1"/>
    <w:link w:val="23"/>
    <w:unhideWhenUsed/>
    <w:qFormat/>
    <w:uiPriority w:val="99"/>
    <w:pPr>
      <w:tabs>
        <w:tab w:val="center" w:pos="4153"/>
        <w:tab w:val="right" w:pos="8306"/>
      </w:tabs>
      <w:snapToGrid w:val="0"/>
      <w:jc w:val="left"/>
    </w:pPr>
    <w:rPr>
      <w:sz w:val="18"/>
      <w:szCs w:val="18"/>
    </w:rPr>
  </w:style>
  <w:style w:type="paragraph" w:styleId="8">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5"/>
    <w:next w:val="5"/>
    <w:link w:val="20"/>
    <w:semiHidden/>
    <w:unhideWhenUsed/>
    <w:qFormat/>
    <w:uiPriority w:val="99"/>
    <w:rPr>
      <w:b/>
      <w:bCs/>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22"/>
    <w:rPr>
      <w:b/>
      <w:bCs/>
    </w:rPr>
  </w:style>
  <w:style w:type="character" w:styleId="15">
    <w:name w:val="annotation reference"/>
    <w:basedOn w:val="13"/>
    <w:semiHidden/>
    <w:unhideWhenUsed/>
    <w:qFormat/>
    <w:uiPriority w:val="99"/>
    <w:rPr>
      <w:sz w:val="21"/>
      <w:szCs w:val="21"/>
    </w:rPr>
  </w:style>
  <w:style w:type="character" w:customStyle="1" w:styleId="16">
    <w:name w:val="标题 2 字符"/>
    <w:basedOn w:val="13"/>
    <w:link w:val="3"/>
    <w:qFormat/>
    <w:uiPriority w:val="99"/>
    <w:rPr>
      <w:rFonts w:ascii="Cambria" w:hAnsi="Cambria" w:eastAsia="宋体" w:cs="Times New Roman"/>
      <w:b/>
      <w:bCs/>
      <w:sz w:val="32"/>
      <w:szCs w:val="32"/>
    </w:rPr>
  </w:style>
  <w:style w:type="character" w:customStyle="1" w:styleId="17">
    <w:name w:val="标题 1 字符"/>
    <w:basedOn w:val="13"/>
    <w:link w:val="2"/>
    <w:qFormat/>
    <w:uiPriority w:val="0"/>
    <w:rPr>
      <w:rFonts w:ascii="Times New Roman" w:hAnsi="Times New Roman" w:eastAsia="华文行楷" w:cs="Times New Roman"/>
      <w:kern w:val="44"/>
      <w:sz w:val="44"/>
      <w:szCs w:val="20"/>
    </w:rPr>
  </w:style>
  <w:style w:type="paragraph" w:customStyle="1" w:styleId="18">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19">
    <w:name w:val="批注文字 字符"/>
    <w:basedOn w:val="13"/>
    <w:link w:val="5"/>
    <w:semiHidden/>
    <w:qFormat/>
    <w:uiPriority w:val="99"/>
    <w:rPr>
      <w:rFonts w:ascii="Times New Roman" w:hAnsi="Times New Roman" w:eastAsia="宋体" w:cs="Times New Roman"/>
      <w:szCs w:val="24"/>
    </w:rPr>
  </w:style>
  <w:style w:type="character" w:customStyle="1" w:styleId="20">
    <w:name w:val="批注主题 字符"/>
    <w:basedOn w:val="19"/>
    <w:link w:val="10"/>
    <w:semiHidden/>
    <w:qFormat/>
    <w:uiPriority w:val="99"/>
    <w:rPr>
      <w:rFonts w:ascii="Times New Roman" w:hAnsi="Times New Roman" w:eastAsia="宋体" w:cs="Times New Roman"/>
      <w:b/>
      <w:bCs/>
      <w:szCs w:val="24"/>
    </w:rPr>
  </w:style>
  <w:style w:type="character" w:customStyle="1" w:styleId="21">
    <w:name w:val="批注框文本 字符"/>
    <w:basedOn w:val="13"/>
    <w:link w:val="6"/>
    <w:semiHidden/>
    <w:qFormat/>
    <w:uiPriority w:val="99"/>
    <w:rPr>
      <w:rFonts w:ascii="Times New Roman" w:hAnsi="Times New Roman" w:eastAsia="宋体" w:cs="Times New Roman"/>
      <w:sz w:val="18"/>
      <w:szCs w:val="18"/>
    </w:rPr>
  </w:style>
  <w:style w:type="character" w:customStyle="1" w:styleId="22">
    <w:name w:val="页眉 字符"/>
    <w:basedOn w:val="13"/>
    <w:link w:val="8"/>
    <w:qFormat/>
    <w:uiPriority w:val="99"/>
    <w:rPr>
      <w:rFonts w:ascii="Times New Roman" w:hAnsi="Times New Roman" w:eastAsia="宋体" w:cs="Times New Roman"/>
      <w:sz w:val="18"/>
      <w:szCs w:val="18"/>
    </w:rPr>
  </w:style>
  <w:style w:type="character" w:customStyle="1" w:styleId="23">
    <w:name w:val="页脚 字符"/>
    <w:basedOn w:val="13"/>
    <w:link w:val="7"/>
    <w:qFormat/>
    <w:uiPriority w:val="99"/>
    <w:rPr>
      <w:rFonts w:ascii="Times New Roman" w:hAnsi="Times New Roman" w:eastAsia="宋体" w:cs="Times New Roman"/>
      <w:sz w:val="18"/>
      <w:szCs w:val="18"/>
    </w:rPr>
  </w:style>
  <w:style w:type="paragraph" w:customStyle="1" w:styleId="24">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5">
    <w:name w:val="List Paragraph"/>
    <w:basedOn w:val="1"/>
    <w:qFormat/>
    <w:uiPriority w:val="99"/>
    <w:pPr>
      <w:ind w:firstLine="420" w:firstLineChars="200"/>
    </w:pPr>
  </w:style>
  <w:style w:type="character" w:customStyle="1" w:styleId="26">
    <w:name w:val="标题 4 字符"/>
    <w:basedOn w:val="13"/>
    <w:link w:val="4"/>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D1D0DA-0FE0-4997-BB64-34D47274E5E0}">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6</Pages>
  <Words>4378</Words>
  <Characters>4627</Characters>
  <Lines>34</Lines>
  <Paragraphs>9</Paragraphs>
  <TotalTime>1</TotalTime>
  <ScaleCrop>false</ScaleCrop>
  <LinksUpToDate>false</LinksUpToDate>
  <CharactersWithSpaces>4645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2025-03-05T06:47:00Z</dcterms:created>
  <dc:creator>刘明旭</dc:creator>
  <cp:lastModifiedBy>碧云霜竹Donald</cp:lastModifiedBy>
  <cp:lastPrinted>2025-03-14T03:17:00Z</cp:lastPrinted>
  <dcterms:modified xsi:type="dcterms:W3CDTF">2025-06-13T08:55:48Z</dcterms:modified>
  <cp:revision>102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eyJoZGlkIjoiZWZjYTU2NGY2YzY0NDgzNDFkY2NhZTc1YWNkYjhlMWIiLCJ1c2VySWQiOiIyOTQ1NTAzNTgifQ==</vt:lpwstr>
  </property>
  <property fmtid="{D5CDD505-2E9C-101B-9397-08002B2CF9AE}" pid="4" name="ICV">
    <vt:lpwstr>0B1E48EED6D84D38A2C4D02E09150A7B_12</vt:lpwstr>
  </property>
</Properties>
</file>