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808ECF">
      <w:pPr>
        <w:ind w:left="321" w:leftChars="153" w:right="227"/>
        <w:jc w:val="center"/>
        <w:rPr>
          <w:rFonts w:eastAsia="黑体"/>
          <w:b/>
          <w:bCs/>
          <w:sz w:val="36"/>
          <w:szCs w:val="36"/>
        </w:rPr>
      </w:pPr>
      <w:r>
        <w:rPr>
          <w:rFonts w:hint="eastAsia" w:eastAsia="黑体"/>
          <w:b/>
          <w:bCs/>
          <w:sz w:val="36"/>
          <w:szCs w:val="36"/>
        </w:rPr>
        <w:t>世界史</w:t>
      </w:r>
      <w:r>
        <w:rPr>
          <w:rFonts w:eastAsia="黑体"/>
          <w:b/>
          <w:bCs/>
          <w:sz w:val="36"/>
          <w:szCs w:val="36"/>
        </w:rPr>
        <w:t>专业学术学位硕士研究生培养方案</w:t>
      </w:r>
    </w:p>
    <w:p w14:paraId="7A4452B1">
      <w:pPr>
        <w:ind w:left="321" w:leftChars="153" w:right="227"/>
        <w:jc w:val="center"/>
        <w:rPr>
          <w:rFonts w:eastAsia="黑体"/>
          <w:b/>
          <w:bCs/>
          <w:sz w:val="28"/>
          <w:szCs w:val="28"/>
        </w:rPr>
      </w:pPr>
      <w:r>
        <w:rPr>
          <w:rFonts w:eastAsia="黑体"/>
          <w:b/>
          <w:bCs/>
          <w:sz w:val="28"/>
          <w:szCs w:val="28"/>
        </w:rPr>
        <w:t>（</w:t>
      </w:r>
      <w:r>
        <w:rPr>
          <w:rFonts w:hint="eastAsia" w:eastAsia="黑体"/>
          <w:b/>
          <w:bCs/>
          <w:sz w:val="28"/>
          <w:szCs w:val="28"/>
        </w:rPr>
        <w:t>历史</w:t>
      </w:r>
      <w:r>
        <w:rPr>
          <w:rFonts w:eastAsia="黑体"/>
          <w:b/>
          <w:bCs/>
          <w:sz w:val="28"/>
          <w:szCs w:val="28"/>
        </w:rPr>
        <w:t>学院)</w:t>
      </w:r>
    </w:p>
    <w:p w14:paraId="71605CA0">
      <w:pPr>
        <w:adjustRightInd w:val="0"/>
        <w:snapToGrid w:val="0"/>
        <w:spacing w:line="360" w:lineRule="auto"/>
        <w:ind w:firstLine="560"/>
        <w:jc w:val="left"/>
        <w:rPr>
          <w:rFonts w:eastAsia="黑体"/>
          <w:bCs/>
          <w:sz w:val="28"/>
          <w:szCs w:val="28"/>
        </w:rPr>
      </w:pPr>
      <w:r>
        <w:rPr>
          <w:rFonts w:eastAsia="黑体"/>
          <w:bCs/>
          <w:sz w:val="28"/>
          <w:szCs w:val="28"/>
        </w:rPr>
        <w:t>一、专业名称、代码</w:t>
      </w:r>
    </w:p>
    <w:p w14:paraId="0B6BDFC1">
      <w:pPr>
        <w:adjustRightInd w:val="0"/>
        <w:snapToGrid w:val="0"/>
        <w:spacing w:line="360" w:lineRule="auto"/>
        <w:ind w:firstLine="472" w:firstLineChars="200"/>
        <w:jc w:val="left"/>
        <w:rPr>
          <w:rFonts w:ascii="宋体" w:hAnsi="宋体"/>
          <w:spacing w:val="-2"/>
          <w:sz w:val="24"/>
        </w:rPr>
      </w:pPr>
      <w:r>
        <w:rPr>
          <w:rFonts w:hint="eastAsia" w:ascii="宋体" w:hAnsi="宋体"/>
          <w:spacing w:val="-2"/>
          <w:sz w:val="24"/>
        </w:rPr>
        <w:t>专业名称：世界史</w:t>
      </w:r>
    </w:p>
    <w:p w14:paraId="32E7700F">
      <w:pPr>
        <w:adjustRightInd w:val="0"/>
        <w:snapToGrid w:val="0"/>
        <w:spacing w:line="360" w:lineRule="auto"/>
        <w:ind w:firstLine="472" w:firstLineChars="200"/>
        <w:jc w:val="left"/>
        <w:rPr>
          <w:spacing w:val="-2"/>
          <w:sz w:val="24"/>
        </w:rPr>
      </w:pPr>
      <w:r>
        <w:rPr>
          <w:rFonts w:hint="eastAsia" w:ascii="宋体" w:hAnsi="宋体"/>
          <w:spacing w:val="-2"/>
          <w:sz w:val="24"/>
        </w:rPr>
        <w:t>专业代码：</w:t>
      </w:r>
      <w:r>
        <w:rPr>
          <w:rFonts w:hint="eastAsia"/>
          <w:spacing w:val="-2"/>
          <w:sz w:val="24"/>
        </w:rPr>
        <w:t>0603</w:t>
      </w:r>
    </w:p>
    <w:p w14:paraId="490E3B11">
      <w:pPr>
        <w:adjustRightInd w:val="0"/>
        <w:snapToGrid w:val="0"/>
        <w:spacing w:line="360" w:lineRule="auto"/>
        <w:ind w:firstLine="560" w:firstLineChars="200"/>
        <w:jc w:val="left"/>
        <w:rPr>
          <w:rFonts w:eastAsiaTheme="minorEastAsia"/>
          <w:i/>
          <w:color w:val="FF0000"/>
          <w:sz w:val="24"/>
        </w:rPr>
      </w:pPr>
      <w:r>
        <w:rPr>
          <w:rFonts w:eastAsia="黑体"/>
          <w:bCs/>
          <w:sz w:val="28"/>
          <w:szCs w:val="28"/>
        </w:rPr>
        <w:t>二、</w:t>
      </w:r>
      <w:r>
        <w:rPr>
          <w:rFonts w:eastAsia="黑体"/>
          <w:bCs/>
          <w:color w:val="000000" w:themeColor="text1"/>
          <w:sz w:val="28"/>
          <w:szCs w:val="28"/>
          <w14:textFill>
            <w14:solidFill>
              <w14:schemeClr w14:val="tx1"/>
            </w14:solidFill>
          </w14:textFill>
        </w:rPr>
        <w:t>专业简介</w:t>
      </w:r>
    </w:p>
    <w:p w14:paraId="43777BF4">
      <w:pPr>
        <w:adjustRightInd w:val="0"/>
        <w:snapToGrid w:val="0"/>
        <w:spacing w:line="360" w:lineRule="auto"/>
        <w:ind w:firstLine="472" w:firstLineChars="200"/>
        <w:jc w:val="left"/>
        <w:rPr>
          <w:rFonts w:hint="eastAsia" w:ascii="仿宋_GB2312" w:hAnsi="ˎ̥"/>
          <w:sz w:val="24"/>
        </w:rPr>
      </w:pPr>
      <w:r>
        <w:rPr>
          <w:rFonts w:hint="eastAsia" w:ascii="宋体" w:hAnsi="宋体"/>
          <w:spacing w:val="-2"/>
          <w:sz w:val="24"/>
        </w:rPr>
        <w:t>河北大学世界史学科（</w:t>
      </w:r>
      <w:r>
        <w:rPr>
          <w:spacing w:val="-2"/>
          <w:sz w:val="24"/>
        </w:rPr>
        <w:t>0603</w:t>
      </w:r>
      <w:r>
        <w:rPr>
          <w:rFonts w:hint="eastAsia" w:ascii="宋体" w:hAnsi="宋体"/>
          <w:spacing w:val="-2"/>
          <w:sz w:val="24"/>
        </w:rPr>
        <w:t>）学术底蕴深厚，特色鲜明</w:t>
      </w:r>
      <w:r>
        <w:rPr>
          <w:rFonts w:hint="eastAsia" w:ascii="宋体" w:hAnsi="宋体"/>
          <w:sz w:val="24"/>
        </w:rPr>
        <w:t>。方豪、齐思和、杨生茂、乔明顺、周庆基等学者曾在此执教多年。乔明顺教授的中美关系研究、周庆基教授的世界史研究在国内外享有盛誉。本专业关注区域历史与发展，立足国际视野，侧重中西贯通，在区域现代化、中外交流比较等方面具有前沿性，对欧洲、美洲和东亚地区的研究最为深入和系统；重视国别历史与现实，兼重史料与现实价值的发掘与阐释。其中，对日本、英国、墨西哥、希腊等国研究较为深刻、成熟。在英国近代社会转型、古希腊奴隶制、日本政党政治、墨西哥贫富差距、</w:t>
      </w:r>
      <w:r>
        <w:rPr>
          <w:rFonts w:hint="eastAsia" w:ascii="宋体" w:hAnsi="宋体"/>
          <w:spacing w:val="-2"/>
          <w:sz w:val="24"/>
        </w:rPr>
        <w:t>《坤舆全图》与中西文化交流等领域已有一定影响力。</w:t>
      </w:r>
    </w:p>
    <w:p w14:paraId="556C788E">
      <w:pPr>
        <w:adjustRightInd w:val="0"/>
        <w:snapToGrid w:val="0"/>
        <w:spacing w:line="360" w:lineRule="auto"/>
        <w:ind w:firstLine="472" w:firstLineChars="200"/>
        <w:rPr>
          <w:rFonts w:eastAsiaTheme="minorEastAsia"/>
          <w:i/>
          <w:color w:val="FF0000"/>
          <w:sz w:val="24"/>
        </w:rPr>
      </w:pPr>
      <w:r>
        <w:rPr>
          <w:rFonts w:hint="eastAsia" w:ascii="宋体" w:hAnsi="宋体"/>
          <w:spacing w:val="-2"/>
          <w:sz w:val="24"/>
        </w:rPr>
        <w:t>本学科拥有一批年富力强的中青年学者。学术团队共有</w:t>
      </w:r>
      <w:r>
        <w:rPr>
          <w:rFonts w:hint="eastAsia"/>
          <w:spacing w:val="-2"/>
          <w:sz w:val="24"/>
        </w:rPr>
        <w:t>12</w:t>
      </w:r>
      <w:r>
        <w:rPr>
          <w:rFonts w:hint="eastAsia" w:ascii="宋体" w:hAnsi="宋体"/>
          <w:spacing w:val="-2"/>
          <w:sz w:val="24"/>
        </w:rPr>
        <w:t>人，教授</w:t>
      </w:r>
      <w:r>
        <w:rPr>
          <w:rFonts w:hint="eastAsia"/>
          <w:spacing w:val="-2"/>
          <w:sz w:val="24"/>
        </w:rPr>
        <w:t>3</w:t>
      </w:r>
      <w:r>
        <w:rPr>
          <w:rFonts w:hint="eastAsia" w:ascii="宋体" w:hAnsi="宋体"/>
          <w:spacing w:val="-2"/>
          <w:sz w:val="24"/>
        </w:rPr>
        <w:t>人，</w:t>
      </w:r>
      <w:r>
        <w:rPr>
          <w:rFonts w:hint="eastAsia"/>
          <w:spacing w:val="-2"/>
          <w:sz w:val="24"/>
        </w:rPr>
        <w:t>45</w:t>
      </w:r>
      <w:r>
        <w:rPr>
          <w:rFonts w:hint="eastAsia" w:ascii="宋体" w:hAnsi="宋体"/>
          <w:spacing w:val="-2"/>
          <w:sz w:val="24"/>
        </w:rPr>
        <w:t>岁以下的中青年教师</w:t>
      </w:r>
      <w:r>
        <w:rPr>
          <w:rFonts w:hint="eastAsia"/>
          <w:spacing w:val="-2"/>
          <w:sz w:val="24"/>
        </w:rPr>
        <w:t>4</w:t>
      </w:r>
      <w:r>
        <w:rPr>
          <w:rFonts w:hint="eastAsia" w:ascii="宋体" w:hAnsi="宋体"/>
          <w:spacing w:val="-2"/>
          <w:sz w:val="24"/>
        </w:rPr>
        <w:t>人，均有博士学位，具有较强的学术发展潜力。</w:t>
      </w:r>
    </w:p>
    <w:p w14:paraId="7D368280">
      <w:pPr>
        <w:adjustRightInd w:val="0"/>
        <w:snapToGrid w:val="0"/>
        <w:spacing w:line="360" w:lineRule="auto"/>
        <w:ind w:firstLine="560" w:firstLineChars="200"/>
        <w:rPr>
          <w:rFonts w:eastAsiaTheme="minorEastAsia"/>
          <w:i/>
          <w:color w:val="FF0000"/>
          <w:sz w:val="24"/>
        </w:rPr>
      </w:pPr>
      <w:r>
        <w:rPr>
          <w:rFonts w:eastAsia="黑体"/>
          <w:bCs/>
          <w:sz w:val="28"/>
          <w:szCs w:val="28"/>
        </w:rPr>
        <w:t>三、研究方向</w:t>
      </w:r>
    </w:p>
    <w:p w14:paraId="77C6D132">
      <w:pPr>
        <w:adjustRightInd w:val="0"/>
        <w:snapToGrid w:val="0"/>
        <w:spacing w:line="360" w:lineRule="auto"/>
        <w:ind w:firstLine="480" w:firstLineChars="200"/>
        <w:rPr>
          <w:bCs/>
          <w:sz w:val="24"/>
          <w:szCs w:val="28"/>
        </w:rPr>
      </w:pPr>
      <w:r>
        <w:rPr>
          <w:rFonts w:hint="eastAsia"/>
          <w:sz w:val="24"/>
        </w:rPr>
        <w:t>根据本专业导师的实际情况及培养的需要，本专业开设如下研究方向：</w:t>
      </w:r>
    </w:p>
    <w:p w14:paraId="7A7BD50B">
      <w:pPr>
        <w:numPr>
          <w:ilvl w:val="0"/>
          <w:numId w:val="1"/>
        </w:numPr>
        <w:adjustRightInd w:val="0"/>
        <w:snapToGrid w:val="0"/>
        <w:spacing w:line="360" w:lineRule="auto"/>
        <w:ind w:firstLine="480" w:firstLineChars="200"/>
        <w:rPr>
          <w:rFonts w:cs="仿宋"/>
          <w:sz w:val="24"/>
          <w:szCs w:val="28"/>
        </w:rPr>
      </w:pPr>
      <w:r>
        <w:rPr>
          <w:rFonts w:hint="eastAsia" w:cs="仿宋"/>
          <w:sz w:val="24"/>
          <w:szCs w:val="28"/>
        </w:rPr>
        <w:t>世界古代史：本研究方向包括希腊—罗马文明、拜占庭文明、西欧经济—社会史，旨在探究西方文化的缘起及传播和西欧社会转型，以古希腊语、拉丁语等古代语言解读原始文献为研究特色，进行西方文明的探索。</w:t>
      </w:r>
    </w:p>
    <w:p w14:paraId="5D83506C">
      <w:pPr>
        <w:numPr>
          <w:ilvl w:val="0"/>
          <w:numId w:val="1"/>
        </w:numPr>
        <w:adjustRightInd w:val="0"/>
        <w:snapToGrid w:val="0"/>
        <w:spacing w:line="360" w:lineRule="auto"/>
        <w:ind w:left="0" w:leftChars="0" w:firstLine="480" w:firstLineChars="200"/>
        <w:rPr>
          <w:rFonts w:cs="仿宋"/>
          <w:sz w:val="24"/>
          <w:szCs w:val="28"/>
        </w:rPr>
      </w:pPr>
      <w:r>
        <w:rPr>
          <w:rFonts w:hint="eastAsia" w:cs="仿宋"/>
          <w:sz w:val="24"/>
          <w:szCs w:val="28"/>
        </w:rPr>
        <w:t>世界近现代史：本研究方向包括欧洲近现代史、近现代拉美史、日本近现代史等，旨在探究欧美社会发展、大国博弈及环太平洋地区安全问题，利用英语、日语、葡萄牙语、西班牙语等多种语言，以近代以来西方和其他国家的发展路径为研究特色。</w:t>
      </w:r>
    </w:p>
    <w:p w14:paraId="638CD823">
      <w:pPr>
        <w:numPr>
          <w:ilvl w:val="0"/>
          <w:numId w:val="1"/>
        </w:numPr>
        <w:adjustRightInd w:val="0"/>
        <w:snapToGrid w:val="0"/>
        <w:spacing w:line="360" w:lineRule="auto"/>
        <w:ind w:left="0" w:leftChars="0" w:firstLine="480" w:firstLineChars="200"/>
        <w:rPr>
          <w:sz w:val="24"/>
          <w:szCs w:val="21"/>
        </w:rPr>
      </w:pPr>
      <w:r>
        <w:rPr>
          <w:rFonts w:hint="eastAsia" w:cs="仿宋"/>
          <w:sz w:val="24"/>
          <w:szCs w:val="28"/>
        </w:rPr>
        <w:t>世界地区与国别史：</w:t>
      </w:r>
      <w:r>
        <w:rPr>
          <w:rFonts w:hint="eastAsia"/>
          <w:spacing w:val="-2"/>
          <w:sz w:val="24"/>
        </w:rPr>
        <w:t>本方向主要从全球史研究的视野出发，关注各区域间政治、经济、文化上的互动，重点关注亚欧大陆上不同时期、不同地域出现的各个社区、政权以及文明的内核与差异，探究彼此之间的交往与影响。研究重点在于：（1）陆上及海上丝绸之路各线路沿途国家，及各区域之间直接或间接的交往；（2）南怀仁《坤舆全图》及相关问题的研究，一方面涉及欧洲舆图学及近代以来地图堪舆与绘制技术在东方的传播与演变，另一方面涉及明末清初基督教传教士的活动与影响；（3）近代以来东西方不同文化群体在思想、技术、艺术层面上相互影响，着重通过对文学、艺术作品的史学分析，从艺术的角度探究历史上的思想文化传播。该方面研究旨在开拓学生视野与培养历史分析能力，帮助学生从历史的纵深层面理解各个文明，特别是以中国为代表的东方文化与西方文明碰撞、交流的历史过程，了解和发掘中国文化对西方文明的贡献与影响。</w:t>
      </w:r>
    </w:p>
    <w:p w14:paraId="35E14726">
      <w:pPr>
        <w:adjustRightInd w:val="0"/>
        <w:snapToGrid w:val="0"/>
        <w:spacing w:line="360" w:lineRule="auto"/>
        <w:ind w:firstLine="560" w:firstLineChars="200"/>
        <w:rPr>
          <w:rFonts w:eastAsia="黑体"/>
          <w:bCs/>
          <w:sz w:val="28"/>
          <w:szCs w:val="28"/>
        </w:rPr>
      </w:pPr>
      <w:r>
        <w:rPr>
          <w:rFonts w:eastAsia="黑体"/>
          <w:bCs/>
          <w:sz w:val="28"/>
          <w:szCs w:val="28"/>
        </w:rPr>
        <w:t>四、学制及学习年限</w:t>
      </w:r>
    </w:p>
    <w:p w14:paraId="7313863A">
      <w:pPr>
        <w:adjustRightInd w:val="0"/>
        <w:snapToGrid w:val="0"/>
        <w:spacing w:line="360" w:lineRule="auto"/>
        <w:ind w:firstLine="480" w:firstLineChars="200"/>
      </w:pPr>
      <w:r>
        <w:rPr>
          <w:rFonts w:eastAsiaTheme="minorEastAsia"/>
          <w:color w:val="000000"/>
          <w:sz w:val="24"/>
        </w:rPr>
        <w:t>本专业学制为3年，在校最长学习年限（含休学）不超过6年。</w:t>
      </w:r>
      <w:r>
        <w:rPr>
          <w:rFonts w:hint="eastAsia"/>
          <w:sz w:val="24"/>
        </w:rPr>
        <w:t>达到要求的优秀研究生可以申请提前毕业</w:t>
      </w:r>
      <w:r>
        <w:rPr>
          <w:sz w:val="24"/>
        </w:rPr>
        <w:t>。</w:t>
      </w:r>
    </w:p>
    <w:p w14:paraId="528A5075">
      <w:pPr>
        <w:adjustRightInd w:val="0"/>
        <w:snapToGrid w:val="0"/>
        <w:spacing w:line="360" w:lineRule="auto"/>
        <w:ind w:firstLine="560" w:firstLineChars="200"/>
        <w:rPr>
          <w:rFonts w:eastAsia="黑体"/>
          <w:bCs/>
          <w:sz w:val="28"/>
          <w:szCs w:val="28"/>
        </w:rPr>
      </w:pPr>
      <w:r>
        <w:rPr>
          <w:rFonts w:eastAsia="黑体"/>
          <w:bCs/>
          <w:sz w:val="28"/>
          <w:szCs w:val="28"/>
        </w:rPr>
        <w:t>五、培养目标</w:t>
      </w:r>
    </w:p>
    <w:p w14:paraId="56CCAE3F">
      <w:pPr>
        <w:adjustRightInd w:val="0"/>
        <w:snapToGrid w:val="0"/>
        <w:spacing w:line="360" w:lineRule="auto"/>
        <w:ind w:firstLine="480"/>
        <w:rPr>
          <w:rFonts w:hint="eastAsia" w:ascii="Times New Roman" w:hAnsi="Times New Roman"/>
          <w:spacing w:val="-2"/>
          <w:sz w:val="24"/>
        </w:rPr>
      </w:pPr>
      <w:r>
        <w:rPr>
          <w:rFonts w:hint="eastAsia" w:ascii="Times New Roman" w:hAnsi="Times New Roman"/>
          <w:spacing w:val="-2"/>
          <w:sz w:val="24"/>
        </w:rPr>
        <w:t>以习近平新时代中国特色社会主义思想为指导，围绕立德树人任务，加强课程思政建设，服务国家战略和社会需求。</w:t>
      </w:r>
    </w:p>
    <w:p w14:paraId="6B907ADD">
      <w:pPr>
        <w:adjustRightInd w:val="0"/>
        <w:snapToGrid w:val="0"/>
        <w:spacing w:line="360" w:lineRule="auto"/>
        <w:ind w:firstLine="480"/>
        <w:rPr>
          <w:rFonts w:ascii="Times New Roman" w:hAnsi="Times New Roman"/>
          <w:spacing w:val="-2"/>
          <w:sz w:val="24"/>
        </w:rPr>
      </w:pPr>
      <w:r>
        <w:rPr>
          <w:rFonts w:hint="eastAsia" w:ascii="Times New Roman" w:hAnsi="Times New Roman"/>
          <w:spacing w:val="-2"/>
          <w:sz w:val="24"/>
        </w:rPr>
        <w:t>1.</w:t>
      </w:r>
      <w:r>
        <w:rPr>
          <w:rFonts w:hint="eastAsia"/>
          <w:spacing w:val="-2"/>
          <w:sz w:val="24"/>
          <w:lang w:val="en-US" w:eastAsia="zh-CN"/>
        </w:rPr>
        <w:t xml:space="preserve"> </w:t>
      </w:r>
      <w:r>
        <w:rPr>
          <w:rFonts w:hint="eastAsia" w:ascii="Times New Roman" w:hAnsi="Times New Roman"/>
          <w:spacing w:val="-2"/>
          <w:sz w:val="24"/>
        </w:rPr>
        <w:t>树立正确的中国特色社会主义核心价值观，具有坚定的理想信念，高尚的道德情操，优良的学术作风，高度的社会责任感。</w:t>
      </w:r>
    </w:p>
    <w:p w14:paraId="13F0A48F">
      <w:pPr>
        <w:adjustRightInd w:val="0"/>
        <w:snapToGrid w:val="0"/>
        <w:spacing w:line="360" w:lineRule="auto"/>
        <w:ind w:firstLine="480"/>
        <w:rPr>
          <w:rFonts w:ascii="Times New Roman" w:hAnsi="Times New Roman"/>
          <w:spacing w:val="-2"/>
          <w:sz w:val="24"/>
        </w:rPr>
      </w:pPr>
      <w:r>
        <w:rPr>
          <w:rFonts w:hint="eastAsia" w:ascii="Times New Roman" w:hAnsi="Times New Roman"/>
          <w:spacing w:val="-2"/>
          <w:sz w:val="24"/>
        </w:rPr>
        <w:t>2.</w:t>
      </w:r>
      <w:r>
        <w:rPr>
          <w:rFonts w:hint="eastAsia"/>
          <w:spacing w:val="-2"/>
          <w:sz w:val="24"/>
          <w:lang w:val="en-US" w:eastAsia="zh-CN"/>
        </w:rPr>
        <w:t xml:space="preserve"> </w:t>
      </w:r>
      <w:r>
        <w:rPr>
          <w:rFonts w:hint="eastAsia" w:ascii="Times New Roman" w:hAnsi="Times New Roman"/>
          <w:spacing w:val="-2"/>
          <w:sz w:val="24"/>
        </w:rPr>
        <w:t>培养学生全面、准确地掌握马克思主义的基本理论，拥护中国共产党的领导，拥护社会主义制度，热爱祖国，遵纪守法，品行端正，政治素质和思想素质都达到较高水平。培养德智体美劳全面发展的社会主义事业接班人。</w:t>
      </w:r>
    </w:p>
    <w:p w14:paraId="1C189E8D">
      <w:pPr>
        <w:adjustRightInd w:val="0"/>
        <w:snapToGrid w:val="0"/>
        <w:spacing w:line="360" w:lineRule="auto"/>
        <w:ind w:firstLine="472" w:firstLineChars="200"/>
        <w:rPr>
          <w:rFonts w:ascii="Times New Roman" w:hAnsi="Times New Roman"/>
          <w:spacing w:val="-2"/>
          <w:sz w:val="24"/>
        </w:rPr>
      </w:pPr>
      <w:r>
        <w:rPr>
          <w:rFonts w:hint="eastAsia" w:ascii="Times New Roman" w:hAnsi="Times New Roman"/>
          <w:spacing w:val="-2"/>
          <w:sz w:val="24"/>
        </w:rPr>
        <w:t>3.</w:t>
      </w:r>
      <w:r>
        <w:rPr>
          <w:rFonts w:hint="eastAsia"/>
          <w:spacing w:val="-2"/>
          <w:sz w:val="24"/>
          <w:lang w:val="en-US" w:eastAsia="zh-CN"/>
        </w:rPr>
        <w:t xml:space="preserve"> </w:t>
      </w:r>
      <w:r>
        <w:rPr>
          <w:rFonts w:hint="eastAsia" w:ascii="Times New Roman" w:hAnsi="Times New Roman"/>
          <w:spacing w:val="-2"/>
          <w:sz w:val="24"/>
        </w:rPr>
        <w:t>培养学生掌握扎实的历史学一级学科基础知识，在世界史专业方面建立相较完备的知识体系。培育学生的创新意识和创新能力，使之具备从事专业性科研工作和高层次教学工作的能力。</w:t>
      </w:r>
    </w:p>
    <w:p w14:paraId="4F56A308">
      <w:pPr>
        <w:adjustRightInd w:val="0"/>
        <w:snapToGrid w:val="0"/>
        <w:spacing w:line="360" w:lineRule="auto"/>
        <w:ind w:firstLine="472" w:firstLineChars="200"/>
        <w:rPr>
          <w:rFonts w:ascii="Times New Roman" w:hAnsi="Times New Roman"/>
          <w:spacing w:val="-2"/>
          <w:sz w:val="24"/>
        </w:rPr>
      </w:pPr>
      <w:r>
        <w:rPr>
          <w:rFonts w:hint="eastAsia" w:ascii="Times New Roman" w:hAnsi="Times New Roman"/>
          <w:spacing w:val="-2"/>
          <w:sz w:val="24"/>
        </w:rPr>
        <w:t>4.</w:t>
      </w:r>
      <w:r>
        <w:rPr>
          <w:rFonts w:hint="eastAsia"/>
          <w:spacing w:val="-2"/>
          <w:sz w:val="24"/>
          <w:lang w:val="en-US" w:eastAsia="zh-CN"/>
        </w:rPr>
        <w:t xml:space="preserve"> </w:t>
      </w:r>
      <w:r>
        <w:rPr>
          <w:rFonts w:hint="eastAsia" w:ascii="Times New Roman" w:hAnsi="Times New Roman"/>
          <w:spacing w:val="-2"/>
          <w:sz w:val="24"/>
        </w:rPr>
        <w:t>熟练掌握第一外语，初步掌握第二外语，能够直接阅读专业外文文献，利用外文资料开展研究工作，具有进行国际学术交流的能力；鼓励学生辅修社会学、经济学或人类学等历史亲缘学科的基本理论和研究路径，提升专业研究能力。</w:t>
      </w:r>
    </w:p>
    <w:p w14:paraId="4E9AA45F">
      <w:pPr>
        <w:keepNext w:val="0"/>
        <w:keepLines w:val="0"/>
        <w:pageBreakBefore w:val="0"/>
        <w:widowControl w:val="0"/>
        <w:kinsoku/>
        <w:wordWrap/>
        <w:overflowPunct/>
        <w:topLinePunct w:val="0"/>
        <w:autoSpaceDE/>
        <w:autoSpaceDN/>
        <w:bidi w:val="0"/>
        <w:adjustRightInd w:val="0"/>
        <w:snapToGrid w:val="0"/>
        <w:spacing w:line="360" w:lineRule="auto"/>
        <w:ind w:firstLine="480"/>
        <w:textAlignment w:val="auto"/>
        <w:rPr>
          <w:rFonts w:ascii="Times New Roman" w:hAnsi="Times New Roman"/>
        </w:rPr>
      </w:pPr>
      <w:r>
        <w:rPr>
          <w:rFonts w:hint="eastAsia" w:ascii="Times New Roman" w:hAnsi="Times New Roman"/>
          <w:spacing w:val="-2"/>
          <w:sz w:val="24"/>
        </w:rPr>
        <w:t>5.</w:t>
      </w:r>
      <w:r>
        <w:rPr>
          <w:rFonts w:hint="eastAsia"/>
          <w:spacing w:val="-2"/>
          <w:sz w:val="24"/>
          <w:lang w:val="en-US" w:eastAsia="zh-CN"/>
        </w:rPr>
        <w:t xml:space="preserve"> </w:t>
      </w:r>
      <w:r>
        <w:rPr>
          <w:rFonts w:hint="eastAsia" w:ascii="Times New Roman" w:hAnsi="Times New Roman"/>
          <w:spacing w:val="-2"/>
          <w:sz w:val="24"/>
        </w:rPr>
        <w:t>具有健康的身体和良好的心理素质，具有良好的团队意识和合作精神，在学习过程中有刻苦耐劳及坚韧不拔的精神和意志，并具有良好的心理素养。</w:t>
      </w:r>
    </w:p>
    <w:p w14:paraId="26A6EF0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asciiTheme="minorEastAsia" w:hAnsiTheme="minorEastAsia" w:eastAsiaTheme="minorEastAsia"/>
          <w:bCs/>
          <w:i/>
          <w:color w:val="FF0000"/>
          <w:sz w:val="24"/>
        </w:rPr>
      </w:pPr>
      <w:r>
        <w:rPr>
          <w:rFonts w:eastAsia="黑体"/>
          <w:bCs/>
          <w:sz w:val="28"/>
          <w:szCs w:val="28"/>
        </w:rPr>
        <w:t>六、培养方式</w:t>
      </w:r>
    </w:p>
    <w:p w14:paraId="70FDC6A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sz w:val="24"/>
          <w:szCs w:val="28"/>
        </w:rPr>
      </w:pPr>
      <w:r>
        <w:rPr>
          <w:rFonts w:hint="eastAsia"/>
          <w:sz w:val="24"/>
          <w:szCs w:val="28"/>
        </w:rPr>
        <w:t>本专业硕士生培养采取系统理论学习、进行科学研究、参加实践活动相结合的方法。在指导方式上，采取导师负责与导师组集体培养相结合的方式。</w:t>
      </w:r>
    </w:p>
    <w:p w14:paraId="62F5490E">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default" w:eastAsia="宋体"/>
          <w:bCs/>
          <w:sz w:val="24"/>
          <w:lang w:val="en-US" w:eastAsia="zh-CN"/>
        </w:rPr>
      </w:pPr>
      <w:r>
        <w:rPr>
          <w:rFonts w:hint="eastAsia"/>
          <w:sz w:val="24"/>
          <w:szCs w:val="28"/>
        </w:rPr>
        <w:t>在培养过程中，本专业</w:t>
      </w:r>
      <w:r>
        <w:rPr>
          <w:sz w:val="24"/>
          <w:szCs w:val="28"/>
        </w:rPr>
        <w:t>注重引进院外资源、校外资源和国外资源。根据世界史学科的特点，有计划地聘请国内外专家来校授课，鼓励学生选修跨学科课程，鼓励学生参加</w:t>
      </w:r>
      <w:r>
        <w:rPr>
          <w:rFonts w:hint="eastAsia"/>
          <w:sz w:val="24"/>
          <w:szCs w:val="28"/>
        </w:rPr>
        <w:t>学术</w:t>
      </w:r>
      <w:r>
        <w:rPr>
          <w:sz w:val="24"/>
          <w:szCs w:val="28"/>
        </w:rPr>
        <w:t>交流，支持学生赴进行学术调研、搜集资料或参加社会实践活动，让学生掌握跨学</w:t>
      </w:r>
      <w:r>
        <w:rPr>
          <w:rFonts w:hint="eastAsia"/>
          <w:sz w:val="24"/>
          <w:szCs w:val="28"/>
          <w:lang w:val="en-US" w:eastAsia="zh-CN"/>
        </w:rPr>
        <w:t xml:space="preserve">                                                                                            </w:t>
      </w:r>
    </w:p>
    <w:p w14:paraId="6F651DA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pPr>
      <w:r>
        <w:rPr>
          <w:rFonts w:hint="eastAsia" w:eastAsiaTheme="minorEastAsia"/>
          <w:bCs/>
          <w:sz w:val="24"/>
        </w:rPr>
        <w:t>在研究生完成培养方案规定的课程学习、考核成绩合格、获得规定的学分后，按照学校相关文件组织开展中期筛选工作。中期筛选对研究生经过课程学习后知识结构、能力素质等是否达到规定要求进行考核。根据《河北大学研究生中期筛选管理办法》，开展相关工作，一般在课程学习结束后一年内进行。对暂未通过考核的，由指导教师专门进行指导督促，延期再次考核。对不适宜继续攻读学位的，予以分流或淘汰。</w:t>
      </w:r>
    </w:p>
    <w:p w14:paraId="34AFDDF1">
      <w:pPr>
        <w:keepNext w:val="0"/>
        <w:keepLines w:val="0"/>
        <w:pageBreakBefore w:val="0"/>
        <w:widowControl w:val="0"/>
        <w:kinsoku/>
        <w:wordWrap/>
        <w:overflowPunct/>
        <w:topLinePunct w:val="0"/>
        <w:autoSpaceDE/>
        <w:autoSpaceDN/>
        <w:bidi w:val="0"/>
        <w:adjustRightInd w:val="0"/>
        <w:snapToGrid w:val="0"/>
        <w:spacing w:line="360" w:lineRule="auto"/>
        <w:ind w:firstLine="560" w:firstLineChars="200"/>
        <w:textAlignment w:val="auto"/>
        <w:rPr>
          <w:rFonts w:eastAsia="黑体"/>
          <w:bCs/>
          <w:sz w:val="28"/>
          <w:szCs w:val="28"/>
        </w:rPr>
      </w:pPr>
      <w:r>
        <w:rPr>
          <w:rFonts w:hint="eastAsia" w:eastAsia="黑体"/>
          <w:bCs/>
          <w:sz w:val="28"/>
          <w:szCs w:val="28"/>
        </w:rPr>
        <w:t>八</w:t>
      </w:r>
      <w:r>
        <w:rPr>
          <w:rFonts w:eastAsia="黑体"/>
          <w:bCs/>
          <w:sz w:val="28"/>
          <w:szCs w:val="28"/>
        </w:rPr>
        <w:t>、学位（毕业）论文</w:t>
      </w:r>
    </w:p>
    <w:p w14:paraId="45D961F2">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both"/>
        <w:textAlignment w:val="auto"/>
        <w:rPr>
          <w:rFonts w:ascii="Times New Roman" w:hAnsi="Times New Roman"/>
          <w:sz w:val="24"/>
        </w:rPr>
      </w:pPr>
      <w:r>
        <w:rPr>
          <w:rFonts w:ascii="Times New Roman" w:hAnsi="Times New Roman"/>
          <w:bCs/>
          <w:color w:val="222222"/>
          <w:kern w:val="0"/>
          <w:sz w:val="24"/>
        </w:rPr>
        <w:t>1.</w:t>
      </w:r>
      <w:r>
        <w:rPr>
          <w:rFonts w:hint="eastAsia"/>
          <w:bCs/>
          <w:color w:val="222222"/>
          <w:kern w:val="0"/>
          <w:sz w:val="24"/>
          <w:lang w:val="en-US" w:eastAsia="zh-CN"/>
        </w:rPr>
        <w:t xml:space="preserve"> </w:t>
      </w:r>
      <w:r>
        <w:rPr>
          <w:rFonts w:ascii="Times New Roman" w:hAnsi="Times New Roman"/>
          <w:bCs/>
          <w:color w:val="222222"/>
          <w:kern w:val="0"/>
          <w:sz w:val="24"/>
        </w:rPr>
        <w:t>总体要求：</w:t>
      </w:r>
      <w:r>
        <w:rPr>
          <w:rFonts w:ascii="Times New Roman" w:hAnsi="Times New Roman"/>
          <w:color w:val="000000" w:themeColor="text1"/>
          <w:kern w:val="0"/>
          <w:sz w:val="24"/>
          <w14:textFill>
            <w14:solidFill>
              <w14:schemeClr w14:val="tx1"/>
            </w14:solidFill>
          </w14:textFill>
        </w:rPr>
        <w:t>按照《河北大学关于开展2025版研究生培养方案修订工作的指导意见》（校政字</w:t>
      </w:r>
      <w:r>
        <w:rPr>
          <w:rFonts w:ascii="Times New Roman" w:hAnsi="Times New Roman" w:eastAsiaTheme="minorEastAsia"/>
          <w:bCs/>
          <w:sz w:val="24"/>
        </w:rPr>
        <w:t>〔2025〕</w:t>
      </w:r>
      <w:r>
        <w:rPr>
          <w:rFonts w:hint="eastAsia" w:ascii="Times New Roman" w:hAnsi="Times New Roman" w:eastAsiaTheme="minorEastAsia"/>
          <w:bCs/>
          <w:sz w:val="24"/>
        </w:rPr>
        <w:t>9</w:t>
      </w:r>
      <w:r>
        <w:rPr>
          <w:rFonts w:ascii="Times New Roman" w:hAnsi="Times New Roman" w:eastAsiaTheme="minorEastAsia"/>
          <w:bCs/>
          <w:sz w:val="24"/>
        </w:rPr>
        <w:t>号</w:t>
      </w:r>
      <w:r>
        <w:rPr>
          <w:rFonts w:ascii="Times New Roman" w:hAnsi="Times New Roman"/>
          <w:color w:val="000000" w:themeColor="text1"/>
          <w:kern w:val="0"/>
          <w:sz w:val="24"/>
          <w14:textFill>
            <w14:solidFill>
              <w14:schemeClr w14:val="tx1"/>
            </w14:solidFill>
          </w14:textFill>
        </w:rPr>
        <w:t>）规定，硕士研究生论文开题与答辩时间间隔原则上不少于12个月。</w:t>
      </w:r>
      <w:r>
        <w:rPr>
          <w:rFonts w:ascii="Times New Roman" w:hAnsi="Times New Roman"/>
          <w:bCs/>
          <w:color w:val="222222"/>
          <w:kern w:val="0"/>
          <w:sz w:val="24"/>
        </w:rPr>
        <w:t>学位（毕业）论文应当表明作者具有独立从事学术研究工作的能力，鼓励硕士研究生参与科学研究，取得创新性成果</w:t>
      </w:r>
      <w:r>
        <w:rPr>
          <w:rFonts w:hint="eastAsia" w:ascii="Times New Roman" w:hAnsi="Times New Roman"/>
          <w:bCs/>
          <w:color w:val="222222"/>
          <w:kern w:val="0"/>
          <w:sz w:val="24"/>
        </w:rPr>
        <w:t>。</w:t>
      </w:r>
    </w:p>
    <w:p w14:paraId="68CF7231">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both"/>
        <w:textAlignment w:val="auto"/>
        <w:rPr>
          <w:rFonts w:hint="eastAsia" w:ascii="Times New Roman" w:hAnsi="Times New Roman"/>
          <w:spacing w:val="-2"/>
          <w:sz w:val="24"/>
        </w:rPr>
      </w:pPr>
      <w:r>
        <w:rPr>
          <w:rFonts w:ascii="Times New Roman" w:hAnsi="Times New Roman"/>
          <w:bCs/>
          <w:color w:val="222222"/>
          <w:kern w:val="0"/>
          <w:sz w:val="24"/>
        </w:rPr>
        <w:t>2.</w:t>
      </w:r>
      <w:r>
        <w:rPr>
          <w:rFonts w:hint="eastAsia"/>
          <w:bCs/>
          <w:color w:val="222222"/>
          <w:kern w:val="0"/>
          <w:sz w:val="24"/>
          <w:lang w:val="en-US" w:eastAsia="zh-CN"/>
        </w:rPr>
        <w:t xml:space="preserve"> </w:t>
      </w:r>
      <w:r>
        <w:rPr>
          <w:rFonts w:ascii="Times New Roman" w:hAnsi="Times New Roman"/>
          <w:bCs/>
          <w:color w:val="222222"/>
          <w:kern w:val="0"/>
          <w:sz w:val="24"/>
        </w:rPr>
        <w:t>开题：</w:t>
      </w:r>
      <w:r>
        <w:rPr>
          <w:rFonts w:hint="eastAsia" w:ascii="Times New Roman" w:hAnsi="Times New Roman"/>
          <w:spacing w:val="-2"/>
          <w:sz w:val="24"/>
        </w:rPr>
        <w:t>学位论文工作是研究生培养的一个重要环节，是对教学工作和学生研究能力的全面检验。学位（毕业）论文应表明作者较好的掌握了本学科的基础理论、专门知识和基本技能，并取得一定水平的科研成果，不得抄袭和剽窃他人成果。学术硕士学位（毕业）论文的研究工作必须经过开题、预答辩、评审、答辩等环节。</w:t>
      </w:r>
    </w:p>
    <w:p w14:paraId="35367541">
      <w:pPr>
        <w:keepNext w:val="0"/>
        <w:keepLines w:val="0"/>
        <w:pageBreakBefore w:val="0"/>
        <w:widowControl/>
        <w:kinsoku/>
        <w:wordWrap/>
        <w:overflowPunct/>
        <w:topLinePunct w:val="0"/>
        <w:autoSpaceDE/>
        <w:autoSpaceDN/>
        <w:bidi w:val="0"/>
        <w:adjustRightInd w:val="0"/>
        <w:snapToGrid w:val="0"/>
        <w:spacing w:beforeAutospacing="0" w:afterAutospacing="0" w:line="360" w:lineRule="auto"/>
        <w:ind w:firstLine="480" w:firstLineChars="200"/>
        <w:jc w:val="both"/>
        <w:textAlignment w:val="auto"/>
        <w:rPr>
          <w:rFonts w:ascii="Times New Roman" w:hAnsi="Times New Roman"/>
          <w:spacing w:val="-2"/>
          <w:sz w:val="24"/>
        </w:rPr>
      </w:pPr>
      <w:r>
        <w:rPr>
          <w:rFonts w:ascii="Times New Roman" w:hAnsi="Times New Roman"/>
          <w:iCs/>
          <w:kern w:val="0"/>
          <w:sz w:val="24"/>
        </w:rPr>
        <w:t>原则上在入学后第3学期（最迟不超过第4学期）完成开题。开题由3-5名具有高级专业技术职务人员参加，以学术报告的方式进行。</w:t>
      </w:r>
    </w:p>
    <w:p w14:paraId="0E9FE747">
      <w:pPr>
        <w:keepNext w:val="0"/>
        <w:keepLines w:val="0"/>
        <w:pageBreakBefore w:val="0"/>
        <w:widowControl/>
        <w:numPr>
          <w:ilvl w:val="0"/>
          <w:numId w:val="2"/>
        </w:numPr>
        <w:kinsoku/>
        <w:wordWrap/>
        <w:overflowPunct/>
        <w:topLinePunct w:val="0"/>
        <w:autoSpaceDE/>
        <w:autoSpaceDN/>
        <w:bidi w:val="0"/>
        <w:adjustRightInd w:val="0"/>
        <w:snapToGrid w:val="0"/>
        <w:spacing w:beforeAutospacing="0" w:afterAutospacing="0" w:line="360" w:lineRule="auto"/>
        <w:ind w:firstLine="480" w:firstLineChars="200"/>
        <w:jc w:val="both"/>
        <w:textAlignment w:val="auto"/>
        <w:rPr>
          <w:rFonts w:ascii="Times New Roman" w:hAnsi="Times New Roman"/>
          <w:sz w:val="24"/>
        </w:rPr>
      </w:pPr>
      <w:r>
        <w:rPr>
          <w:rFonts w:ascii="Times New Roman" w:hAnsi="Times New Roman"/>
          <w:bCs/>
          <w:color w:val="222222"/>
          <w:kern w:val="0"/>
          <w:sz w:val="24"/>
        </w:rPr>
        <w:t>中期进展报告：</w:t>
      </w:r>
      <w:r>
        <w:rPr>
          <w:rFonts w:hint="eastAsia" w:ascii="Times New Roman" w:hAnsi="Times New Roman"/>
          <w:spacing w:val="-2"/>
          <w:sz w:val="24"/>
        </w:rPr>
        <w:t>中期进展报告是检查研究生个人综合能力及学位论文进展、指导研究生把握学位（毕业）论文方向、提高学位（毕业）论文质量的必要环节。中期进展报告原则上应在入学后第5学期进行；各导师组自行制定中期考核办法并组织考核。</w:t>
      </w:r>
    </w:p>
    <w:p w14:paraId="36D6AF72">
      <w:pPr>
        <w:keepNext w:val="0"/>
        <w:keepLines w:val="0"/>
        <w:pageBreakBefore w:val="0"/>
        <w:widowControl/>
        <w:numPr>
          <w:ilvl w:val="0"/>
          <w:numId w:val="2"/>
        </w:numPr>
        <w:kinsoku/>
        <w:wordWrap/>
        <w:overflowPunct/>
        <w:topLinePunct w:val="0"/>
        <w:autoSpaceDE/>
        <w:autoSpaceDN/>
        <w:bidi w:val="0"/>
        <w:adjustRightInd w:val="0"/>
        <w:snapToGrid w:val="0"/>
        <w:spacing w:beforeAutospacing="0" w:afterAutospacing="0" w:line="360" w:lineRule="auto"/>
        <w:ind w:firstLine="480" w:firstLineChars="200"/>
        <w:jc w:val="both"/>
        <w:textAlignment w:val="auto"/>
        <w:rPr>
          <w:rFonts w:ascii="Times New Roman" w:hAnsi="Times New Roman"/>
          <w:sz w:val="24"/>
        </w:rPr>
      </w:pPr>
      <w:r>
        <w:rPr>
          <w:rFonts w:ascii="Times New Roman" w:hAnsi="Times New Roman"/>
          <w:bCs/>
          <w:color w:val="222222"/>
          <w:kern w:val="0"/>
          <w:sz w:val="24"/>
        </w:rPr>
        <w:t>学位申请：</w:t>
      </w:r>
      <w:r>
        <w:rPr>
          <w:rFonts w:hint="eastAsia" w:ascii="Times New Roman" w:hAnsi="Times New Roman" w:cs="仿宋"/>
          <w:sz w:val="24"/>
        </w:rPr>
        <w:t>达到学位授予条件的申请人，经导师同意后，应于答辩前三个月，向所属学位评定分委员会提出学位申请，提交学位申请材料。</w:t>
      </w:r>
    </w:p>
    <w:p w14:paraId="0D9F0E67">
      <w:pPr>
        <w:keepNext w:val="0"/>
        <w:keepLines w:val="0"/>
        <w:pageBreakBefore w:val="0"/>
        <w:widowControl/>
        <w:numPr>
          <w:ilvl w:val="0"/>
          <w:numId w:val="2"/>
        </w:numPr>
        <w:kinsoku/>
        <w:wordWrap/>
        <w:overflowPunct/>
        <w:topLinePunct w:val="0"/>
        <w:autoSpaceDE/>
        <w:autoSpaceDN/>
        <w:bidi w:val="0"/>
        <w:adjustRightInd w:val="0"/>
        <w:snapToGrid w:val="0"/>
        <w:spacing w:beforeAutospacing="0" w:afterAutospacing="0" w:line="360" w:lineRule="auto"/>
        <w:ind w:firstLine="480" w:firstLineChars="200"/>
        <w:jc w:val="both"/>
        <w:textAlignment w:val="auto"/>
        <w:rPr>
          <w:rFonts w:ascii="Times New Roman" w:hAnsi="Times New Roman" w:cs="仿宋"/>
          <w:sz w:val="24"/>
        </w:rPr>
      </w:pPr>
      <w:r>
        <w:rPr>
          <w:rFonts w:ascii="Times New Roman" w:hAnsi="Times New Roman"/>
          <w:bCs/>
          <w:color w:val="222222"/>
          <w:kern w:val="0"/>
          <w:sz w:val="24"/>
        </w:rPr>
        <w:t>预答辩：</w:t>
      </w:r>
      <w:r>
        <w:rPr>
          <w:rFonts w:hint="eastAsia" w:ascii="Times New Roman" w:hAnsi="Times New Roman" w:cs="仿宋"/>
          <w:sz w:val="24"/>
        </w:rPr>
        <w:t>严格落实预答辩制度。预答辩组成员由三名专业相近方向导师或副教授组成，并可适当增加部分讲师。</w:t>
      </w:r>
    </w:p>
    <w:p w14:paraId="0C2F727C">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jc w:val="both"/>
        <w:textAlignment w:val="auto"/>
        <w:rPr>
          <w:rFonts w:ascii="Times New Roman" w:hAnsi="Times New Roman" w:cs="仿宋"/>
          <w:sz w:val="24"/>
        </w:rPr>
      </w:pPr>
      <w:r>
        <w:rPr>
          <w:kern w:val="0"/>
          <w:sz w:val="24"/>
        </w:rPr>
        <w:t>学位（毕业）论文预答辩在正式答辩前3个月进行</w:t>
      </w:r>
      <w:r>
        <w:rPr>
          <w:rFonts w:hint="eastAsia" w:ascii="Times New Roman" w:hAnsi="Times New Roman" w:cs="仿宋"/>
          <w:sz w:val="24"/>
        </w:rPr>
        <w:t>。所有拟申请学位的研究生必须参加预答辩。预答辩结果分为合格、修改、未通过。合格等级可在经过修改后进入机审及相应环节；修改等级必须要对论文进行逐项的认真修改后，经导师同意及预答辩同组老师全部签字同意后方可进入机审及相应环节；未通过等级经学院分学位委员会认定后做延期处理，不得进入机审及毕业流程。</w:t>
      </w:r>
    </w:p>
    <w:p w14:paraId="0380B3AA">
      <w:pPr>
        <w:keepNext w:val="0"/>
        <w:keepLines w:val="0"/>
        <w:pageBreakBefore w:val="0"/>
        <w:kinsoku/>
        <w:wordWrap/>
        <w:overflowPunct/>
        <w:topLinePunct w:val="0"/>
        <w:autoSpaceDE/>
        <w:autoSpaceDN/>
        <w:bidi w:val="0"/>
        <w:adjustRightInd w:val="0"/>
        <w:snapToGrid w:val="0"/>
        <w:spacing w:beforeAutospacing="0" w:afterAutospacing="0" w:line="360" w:lineRule="auto"/>
        <w:ind w:firstLine="480" w:firstLineChars="200"/>
        <w:jc w:val="both"/>
        <w:textAlignment w:val="auto"/>
        <w:rPr>
          <w:rFonts w:ascii="Times New Roman" w:hAnsi="Times New Roman" w:cs="仿宋"/>
          <w:sz w:val="24"/>
        </w:rPr>
      </w:pPr>
      <w:r>
        <w:rPr>
          <w:rFonts w:hint="eastAsia" w:ascii="Times New Roman" w:hAnsi="Times New Roman" w:cs="仿宋"/>
          <w:sz w:val="24"/>
        </w:rPr>
        <w:t>未经过预答辩论文不准进入机审等相应程序，必须延期处理。导师原则上应参与本学生预答辩环节，若因个人原因不能出席，需要书面情况说明留档备案。</w:t>
      </w:r>
    </w:p>
    <w:p w14:paraId="0FB12F6C">
      <w:pPr>
        <w:keepNext w:val="0"/>
        <w:keepLines w:val="0"/>
        <w:pageBreakBefore w:val="0"/>
        <w:widowControl/>
        <w:numPr>
          <w:ilvl w:val="0"/>
          <w:numId w:val="2"/>
        </w:numPr>
        <w:kinsoku/>
        <w:wordWrap/>
        <w:overflowPunct/>
        <w:topLinePunct w:val="0"/>
        <w:autoSpaceDE/>
        <w:autoSpaceDN/>
        <w:bidi w:val="0"/>
        <w:adjustRightInd w:val="0"/>
        <w:snapToGrid w:val="0"/>
        <w:spacing w:beforeAutospacing="0" w:afterAutospacing="0" w:line="360" w:lineRule="auto"/>
        <w:ind w:firstLine="480" w:firstLineChars="200"/>
        <w:jc w:val="both"/>
        <w:textAlignment w:val="auto"/>
        <w:rPr>
          <w:rFonts w:ascii="Times New Roman" w:hAnsi="Times New Roman"/>
          <w:color w:val="222222"/>
          <w:kern w:val="0"/>
          <w:sz w:val="24"/>
        </w:rPr>
      </w:pPr>
      <w:r>
        <w:rPr>
          <w:rFonts w:ascii="Times New Roman" w:hAnsi="Times New Roman"/>
          <w:bCs/>
          <w:color w:val="222222"/>
          <w:kern w:val="0"/>
          <w:sz w:val="24"/>
        </w:rPr>
        <w:t>论文评阅：</w:t>
      </w:r>
      <w:r>
        <w:rPr>
          <w:rFonts w:ascii="Times New Roman" w:hAnsi="Times New Roman"/>
          <w:color w:val="222222"/>
          <w:kern w:val="0"/>
          <w:sz w:val="24"/>
        </w:rPr>
        <w:t>学位（毕业）论文在获得导师组认可，经培养单位形式审查合格，并通过预答辩，方可提出进入评阅程序的申请。论文评阅在正式答辩前40天由研究生提出，由培养单位依据相关规定进行匿名评审。评阅结果及异议处理按照《河北大学研究生学位论文或者实践成果评审管理办法》（校政字〔2025〕8号）执行。</w:t>
      </w:r>
    </w:p>
    <w:p w14:paraId="4EA0E5EB">
      <w:pPr>
        <w:keepNext w:val="0"/>
        <w:keepLines w:val="0"/>
        <w:pageBreakBefore w:val="0"/>
        <w:widowControl/>
        <w:numPr>
          <w:ilvl w:val="0"/>
          <w:numId w:val="2"/>
        </w:numPr>
        <w:kinsoku/>
        <w:wordWrap/>
        <w:overflowPunct/>
        <w:topLinePunct w:val="0"/>
        <w:autoSpaceDE/>
        <w:autoSpaceDN/>
        <w:bidi w:val="0"/>
        <w:adjustRightInd w:val="0"/>
        <w:snapToGrid w:val="0"/>
        <w:spacing w:beforeAutospacing="0" w:afterAutospacing="0" w:line="360" w:lineRule="auto"/>
        <w:ind w:firstLine="480" w:firstLineChars="200"/>
        <w:jc w:val="both"/>
        <w:textAlignment w:val="auto"/>
        <w:rPr>
          <w:rFonts w:ascii="Times New Roman" w:hAnsi="Times New Roman"/>
          <w:sz w:val="24"/>
        </w:rPr>
      </w:pPr>
      <w:r>
        <w:rPr>
          <w:rFonts w:ascii="Times New Roman" w:hAnsi="Times New Roman"/>
          <w:bCs/>
          <w:color w:val="222222"/>
          <w:kern w:val="0"/>
          <w:sz w:val="24"/>
        </w:rPr>
        <w:t>答辩：学位（毕业）论文答辩按照</w:t>
      </w:r>
      <w:r>
        <w:rPr>
          <w:rFonts w:ascii="Times New Roman" w:hAnsi="Times New Roman"/>
          <w:color w:val="222222"/>
          <w:kern w:val="0"/>
          <w:sz w:val="24"/>
        </w:rPr>
        <w:t>《河北大学博士、硕士学位授予工作实施细则》（校政字〔2025〕7号）执行。</w:t>
      </w:r>
      <w:r>
        <w:rPr>
          <w:rFonts w:ascii="Times New Roman" w:hAnsi="Times New Roman" w:cs="仿宋"/>
          <w:sz w:val="24"/>
          <w:szCs w:val="28"/>
        </w:rPr>
        <w:t>硕士研究生必须完成培养方案所规定的各项要求并且成绩达标方可申请学位论文答辩。答辩及学位授予程序严格按照</w:t>
      </w:r>
      <w:r>
        <w:rPr>
          <w:rFonts w:ascii="Times New Roman" w:hAnsi="Times New Roman"/>
          <w:color w:val="222222"/>
          <w:kern w:val="0"/>
          <w:sz w:val="24"/>
        </w:rPr>
        <w:t>《河北大学博士、硕士学位授予工作实施细则》（校政字〔2025〕7号）</w:t>
      </w:r>
      <w:r>
        <w:rPr>
          <w:rFonts w:ascii="Times New Roman" w:hAnsi="Times New Roman" w:cs="仿宋"/>
          <w:sz w:val="24"/>
          <w:szCs w:val="28"/>
        </w:rPr>
        <w:t>的有关规定执行。硕士生通过学位审核后，颁发硕士学位证书、硕士生毕业证书。</w:t>
      </w:r>
    </w:p>
    <w:p w14:paraId="5B343D0F">
      <w:pPr>
        <w:adjustRightInd w:val="0"/>
        <w:snapToGrid w:val="0"/>
        <w:spacing w:line="360" w:lineRule="auto"/>
        <w:ind w:firstLine="560" w:firstLineChars="200"/>
        <w:rPr>
          <w:rFonts w:eastAsia="黑体"/>
          <w:bCs/>
          <w:sz w:val="28"/>
          <w:szCs w:val="28"/>
        </w:rPr>
      </w:pPr>
      <w:r>
        <w:rPr>
          <w:rFonts w:hint="eastAsia" w:eastAsia="黑体"/>
          <w:bCs/>
          <w:sz w:val="28"/>
          <w:szCs w:val="28"/>
        </w:rPr>
        <w:t>九</w:t>
      </w:r>
      <w:r>
        <w:rPr>
          <w:rFonts w:eastAsia="黑体"/>
          <w:bCs/>
          <w:sz w:val="28"/>
          <w:szCs w:val="28"/>
        </w:rPr>
        <w:t>、毕业条件</w:t>
      </w:r>
    </w:p>
    <w:p w14:paraId="2F682D28">
      <w:pPr>
        <w:adjustRightInd w:val="0"/>
        <w:snapToGrid w:val="0"/>
        <w:spacing w:line="360" w:lineRule="auto"/>
        <w:ind w:firstLine="480" w:firstLineChars="200"/>
        <w:rPr>
          <w:rFonts w:eastAsiaTheme="minorEastAsia"/>
          <w:bCs/>
          <w:sz w:val="24"/>
        </w:rPr>
      </w:pPr>
      <w:r>
        <w:rPr>
          <w:rFonts w:eastAsiaTheme="minorEastAsia"/>
          <w:bCs/>
          <w:sz w:val="24"/>
        </w:rPr>
        <w:t>1. 课程学习。研究生在规定修业年限内完成培养方案规定的课程学习，考核成绩合格，获得规定的学分。</w:t>
      </w:r>
    </w:p>
    <w:p w14:paraId="349EE6EA">
      <w:pPr>
        <w:adjustRightInd w:val="0"/>
        <w:snapToGrid w:val="0"/>
        <w:spacing w:line="360" w:lineRule="auto"/>
        <w:ind w:firstLine="480" w:firstLineChars="200"/>
        <w:rPr>
          <w:rFonts w:eastAsiaTheme="minorEastAsia"/>
          <w:color w:val="000000"/>
          <w:sz w:val="24"/>
        </w:rPr>
      </w:pPr>
      <w:r>
        <w:rPr>
          <w:rFonts w:eastAsiaTheme="minorEastAsia"/>
          <w:bCs/>
          <w:sz w:val="24"/>
        </w:rPr>
        <w:t>2. 学术活动。研究生</w:t>
      </w:r>
      <w:r>
        <w:rPr>
          <w:rFonts w:eastAsiaTheme="minorEastAsia"/>
          <w:color w:val="000000"/>
          <w:sz w:val="24"/>
        </w:rPr>
        <w:t>在读期间参加</w:t>
      </w:r>
      <w:r>
        <w:rPr>
          <w:rFonts w:eastAsiaTheme="minorEastAsia"/>
          <w:sz w:val="24"/>
        </w:rPr>
        <w:t>不少于10次学术活动，并撰写学术报告小结；以主讲人或宣讲人身份，参加在校内外举行的学术报告或学术讲座不少于1次。</w:t>
      </w:r>
    </w:p>
    <w:p w14:paraId="09F142A9">
      <w:pPr>
        <w:adjustRightInd w:val="0"/>
        <w:snapToGrid w:val="0"/>
        <w:spacing w:line="360" w:lineRule="auto"/>
        <w:ind w:firstLine="480" w:firstLineChars="200"/>
        <w:rPr>
          <w:rFonts w:eastAsiaTheme="minorEastAsia"/>
          <w:bCs/>
          <w:sz w:val="24"/>
        </w:rPr>
      </w:pPr>
      <w:r>
        <w:rPr>
          <w:rFonts w:eastAsiaTheme="minorEastAsia"/>
          <w:color w:val="000000"/>
          <w:sz w:val="24"/>
        </w:rPr>
        <w:t>3. 符合提前毕业条件的研究生，可按照学校相关规定</w:t>
      </w:r>
      <w:r>
        <w:rPr>
          <w:rFonts w:eastAsiaTheme="minorEastAsia"/>
          <w:bCs/>
          <w:sz w:val="24"/>
        </w:rPr>
        <w:t>申请</w:t>
      </w:r>
      <w:r>
        <w:rPr>
          <w:rFonts w:eastAsiaTheme="minorEastAsia"/>
          <w:color w:val="000000"/>
          <w:sz w:val="24"/>
        </w:rPr>
        <w:t>提前毕业。</w:t>
      </w:r>
    </w:p>
    <w:p w14:paraId="7C6218E1">
      <w:pPr>
        <w:adjustRightInd w:val="0"/>
        <w:snapToGrid w:val="0"/>
        <w:spacing w:line="360" w:lineRule="auto"/>
        <w:ind w:firstLine="480" w:firstLineChars="200"/>
        <w:rPr>
          <w:rFonts w:eastAsiaTheme="minorEastAsia"/>
          <w:bCs/>
          <w:sz w:val="24"/>
        </w:rPr>
      </w:pPr>
      <w:r>
        <w:rPr>
          <w:rFonts w:eastAsiaTheme="minorEastAsia"/>
          <w:bCs/>
          <w:sz w:val="24"/>
        </w:rPr>
        <w:t>4. 论文答辩。学位（毕业）论文经专家评审合格、通过学位（毕业）答辩，符合毕业资格审查后，准予毕业。</w:t>
      </w:r>
    </w:p>
    <w:p w14:paraId="3621D46D">
      <w:pPr>
        <w:adjustRightInd w:val="0"/>
        <w:snapToGrid w:val="0"/>
        <w:spacing w:line="360" w:lineRule="auto"/>
        <w:ind w:firstLine="560" w:firstLineChars="200"/>
        <w:rPr>
          <w:rFonts w:eastAsia="黑体"/>
          <w:bCs/>
          <w:sz w:val="28"/>
          <w:szCs w:val="28"/>
        </w:rPr>
      </w:pPr>
      <w:r>
        <w:rPr>
          <w:rFonts w:hint="eastAsia" w:eastAsia="黑体"/>
          <w:bCs/>
          <w:sz w:val="28"/>
          <w:szCs w:val="28"/>
        </w:rPr>
        <w:t>十</w:t>
      </w:r>
      <w:r>
        <w:rPr>
          <w:rFonts w:eastAsia="黑体"/>
          <w:bCs/>
          <w:sz w:val="28"/>
          <w:szCs w:val="28"/>
        </w:rPr>
        <w:t>、创新性成果</w:t>
      </w:r>
    </w:p>
    <w:p w14:paraId="0B9FD8EA">
      <w:pPr>
        <w:adjustRightInd w:val="0"/>
        <w:snapToGrid w:val="0"/>
        <w:spacing w:line="360" w:lineRule="auto"/>
        <w:ind w:firstLine="480" w:firstLineChars="200"/>
      </w:pPr>
      <w:r>
        <w:rPr>
          <w:rFonts w:hint="eastAsia" w:ascii="仿宋" w:hAnsi="仿宋"/>
          <w:sz w:val="24"/>
          <w:szCs w:val="28"/>
        </w:rPr>
        <w:t>本专业鼓励研究生在导师的指导下，将研究成果形成论文公开发表；鼓励研究生进入导师的课题研究中，学习科研的基本思路和方法。</w:t>
      </w:r>
    </w:p>
    <w:p w14:paraId="12C6A6BA">
      <w:pPr>
        <w:adjustRightInd w:val="0"/>
        <w:snapToGrid w:val="0"/>
        <w:spacing w:line="360" w:lineRule="auto"/>
        <w:ind w:firstLine="560" w:firstLineChars="200"/>
        <w:rPr>
          <w:rFonts w:eastAsia="黑体"/>
          <w:bCs/>
          <w:sz w:val="28"/>
          <w:szCs w:val="28"/>
        </w:rPr>
      </w:pPr>
      <w:r>
        <w:rPr>
          <w:rFonts w:eastAsia="黑体"/>
          <w:bCs/>
          <w:sz w:val="28"/>
          <w:szCs w:val="28"/>
        </w:rPr>
        <w:t>十一、学位授予</w:t>
      </w:r>
    </w:p>
    <w:p w14:paraId="5F42DD12">
      <w:pPr>
        <w:adjustRightInd w:val="0"/>
        <w:snapToGrid w:val="0"/>
        <w:spacing w:line="360" w:lineRule="auto"/>
        <w:ind w:firstLine="480" w:firstLineChars="200"/>
        <w:rPr>
          <w:rFonts w:eastAsiaTheme="minorEastAsia"/>
          <w:bCs/>
          <w:sz w:val="24"/>
        </w:rPr>
      </w:pPr>
      <w:r>
        <w:rPr>
          <w:rFonts w:eastAsiaTheme="minorEastAsia"/>
          <w:bCs/>
          <w:color w:val="000000" w:themeColor="text1"/>
          <w:sz w:val="24"/>
          <w14:textFill>
            <w14:solidFill>
              <w14:schemeClr w14:val="tx1"/>
            </w14:solidFill>
          </w14:textFill>
        </w:rPr>
        <w:t>研究生通过毕业资格审查，</w:t>
      </w:r>
      <w:r>
        <w:rPr>
          <w:color w:val="222222"/>
          <w:kern w:val="0"/>
          <w:sz w:val="24"/>
        </w:rPr>
        <w:t>满足</w:t>
      </w:r>
      <w:r>
        <w:rPr>
          <w:rFonts w:hint="eastAsia"/>
          <w:color w:val="222222"/>
          <w:kern w:val="0"/>
          <w:sz w:val="24"/>
        </w:rPr>
        <w:t>历史学院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《河北大学博士、硕士学位授予工作实施细则》（校政字〔2025〕7号）</w:t>
      </w:r>
      <w:r>
        <w:rPr>
          <w:rFonts w:eastAsiaTheme="minorEastAsia"/>
          <w:bCs/>
          <w:sz w:val="24"/>
        </w:rPr>
        <w:t>的有关规定，达到学校学位授予标准，经学校学位评定委员会审议，授予硕士学位。</w:t>
      </w:r>
    </w:p>
    <w:p w14:paraId="7D91FFDB">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二</w:t>
      </w:r>
      <w:r>
        <w:rPr>
          <w:rFonts w:eastAsia="黑体"/>
          <w:bCs/>
          <w:sz w:val="28"/>
          <w:szCs w:val="28"/>
        </w:rPr>
        <w:t>、学分及课程设置</w:t>
      </w:r>
    </w:p>
    <w:p w14:paraId="4644F9CD">
      <w:pPr>
        <w:spacing w:line="440" w:lineRule="exact"/>
        <w:ind w:firstLine="480" w:firstLineChars="200"/>
        <w:rPr>
          <w:rFonts w:eastAsiaTheme="minorEastAsia"/>
          <w:sz w:val="24"/>
        </w:rPr>
      </w:pPr>
      <w:r>
        <w:rPr>
          <w:rFonts w:eastAsiaTheme="minorEastAsia"/>
          <w:sz w:val="24"/>
        </w:rPr>
        <w:t>本专业最低毕业学分为</w:t>
      </w:r>
      <w:r>
        <w:rPr>
          <w:rFonts w:hint="eastAsia" w:eastAsiaTheme="minorEastAsia"/>
          <w:sz w:val="24"/>
        </w:rPr>
        <w:t>24</w:t>
      </w:r>
      <w:r>
        <w:rPr>
          <w:rFonts w:eastAsiaTheme="minorEastAsia"/>
          <w:sz w:val="24"/>
        </w:rPr>
        <w:t>分，其中学位课</w:t>
      </w:r>
      <w:r>
        <w:rPr>
          <w:rFonts w:hint="eastAsia" w:eastAsiaTheme="minorEastAsia"/>
          <w:sz w:val="24"/>
        </w:rPr>
        <w:t>12</w:t>
      </w:r>
      <w:r>
        <w:rPr>
          <w:rFonts w:eastAsiaTheme="minorEastAsia"/>
          <w:sz w:val="24"/>
        </w:rPr>
        <w:t>学分，非学位课</w:t>
      </w:r>
      <w:r>
        <w:rPr>
          <w:rFonts w:hint="eastAsia" w:eastAsiaTheme="minorEastAsia"/>
          <w:sz w:val="24"/>
        </w:rPr>
        <w:t>10</w:t>
      </w:r>
      <w:r>
        <w:rPr>
          <w:rFonts w:eastAsiaTheme="minorEastAsia"/>
          <w:sz w:val="24"/>
        </w:rPr>
        <w:t>学分，必修环节</w:t>
      </w:r>
      <w:r>
        <w:rPr>
          <w:rFonts w:hint="eastAsia" w:eastAsiaTheme="minorEastAsia"/>
          <w:sz w:val="24"/>
        </w:rPr>
        <w:t>2</w:t>
      </w:r>
      <w:r>
        <w:rPr>
          <w:rFonts w:eastAsiaTheme="minorEastAsia"/>
          <w:sz w:val="24"/>
        </w:rPr>
        <w:t>分。</w:t>
      </w:r>
    </w:p>
    <w:p w14:paraId="2096D226">
      <w:pPr>
        <w:adjustRightInd w:val="0"/>
        <w:snapToGrid w:val="0"/>
        <w:spacing w:line="360" w:lineRule="auto"/>
        <w:ind w:firstLine="480"/>
        <w:rPr>
          <w:rFonts w:eastAsiaTheme="minorEastAsia"/>
          <w:sz w:val="24"/>
        </w:rPr>
      </w:pPr>
      <w:r>
        <w:rPr>
          <w:rFonts w:hint="eastAsia" w:eastAsiaTheme="minorEastAsia"/>
          <w:sz w:val="24"/>
        </w:rPr>
        <w:t>本科非历史学或世界史专业的学生需跟随本科生修习世界通史，并取得合格成绩。</w:t>
      </w:r>
    </w:p>
    <w:p w14:paraId="71EC73E5">
      <w:pPr>
        <w:adjustRightInd w:val="0"/>
        <w:snapToGrid w:val="0"/>
        <w:spacing w:line="360" w:lineRule="auto"/>
        <w:ind w:firstLine="480"/>
        <w:rPr>
          <w:sz w:val="24"/>
        </w:rPr>
      </w:pPr>
      <w:r>
        <w:rPr>
          <w:rFonts w:hint="eastAsia"/>
          <w:sz w:val="24"/>
        </w:rPr>
        <w:t>课程考核方式包括考试和考查，成绩均按百分成绩评定。</w:t>
      </w:r>
    </w:p>
    <w:p w14:paraId="7CAECF86">
      <w:pPr>
        <w:adjustRightInd w:val="0"/>
        <w:snapToGrid w:val="0"/>
        <w:spacing w:line="360" w:lineRule="auto"/>
        <w:ind w:firstLine="480"/>
        <w:rPr>
          <w:sz w:val="24"/>
        </w:rPr>
      </w:pPr>
      <w:r>
        <w:rPr>
          <w:rFonts w:hint="eastAsia" w:eastAsiaTheme="minorEastAsia"/>
          <w:sz w:val="24"/>
        </w:rPr>
        <w:t>研究生课程考试不设补考环节，</w:t>
      </w:r>
      <w:r>
        <w:rPr>
          <w:sz w:val="24"/>
        </w:rPr>
        <w:t>考试成绩</w:t>
      </w:r>
      <w:r>
        <w:rPr>
          <w:rFonts w:hint="eastAsia"/>
          <w:sz w:val="24"/>
        </w:rPr>
        <w:t>低于60分的需重修。</w:t>
      </w:r>
    </w:p>
    <w:p w14:paraId="32662EBB">
      <w:pPr>
        <w:spacing w:after="156" w:afterLines="50" w:line="440" w:lineRule="exact"/>
        <w:ind w:firstLine="482" w:firstLineChars="200"/>
        <w:jc w:val="center"/>
        <w:rPr>
          <w:rFonts w:eastAsiaTheme="minorEastAsia"/>
          <w:b/>
          <w:bCs/>
          <w:sz w:val="24"/>
        </w:rPr>
      </w:pPr>
      <w:r>
        <w:rPr>
          <w:rFonts w:hint="eastAsia" w:eastAsiaTheme="minorEastAsia"/>
          <w:b/>
          <w:bCs/>
          <w:sz w:val="24"/>
        </w:rPr>
        <w:t>世界史</w:t>
      </w:r>
      <w:r>
        <w:rPr>
          <w:rFonts w:eastAsiaTheme="minorEastAsia"/>
          <w:b/>
          <w:bCs/>
          <w:sz w:val="24"/>
        </w:rPr>
        <w:t>专业学术学位硕士研究生课程及培养环节设置一览表</w:t>
      </w:r>
    </w:p>
    <w:tbl>
      <w:tblPr>
        <w:tblStyle w:val="12"/>
        <w:tblW w:w="8857"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571"/>
        <w:gridCol w:w="1226"/>
        <w:gridCol w:w="3516"/>
        <w:gridCol w:w="1081"/>
        <w:gridCol w:w="709"/>
        <w:gridCol w:w="709"/>
        <w:gridCol w:w="1045"/>
      </w:tblGrid>
      <w:tr w14:paraId="3AE8224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1797" w:type="dxa"/>
            <w:gridSpan w:val="2"/>
            <w:vAlign w:val="center"/>
          </w:tcPr>
          <w:p w14:paraId="2C45B204">
            <w:pPr>
              <w:jc w:val="center"/>
              <w:rPr>
                <w:b/>
                <w:szCs w:val="21"/>
              </w:rPr>
            </w:pPr>
            <w:r>
              <w:rPr>
                <w:b/>
                <w:szCs w:val="21"/>
              </w:rPr>
              <w:t>课程类别</w:t>
            </w:r>
          </w:p>
        </w:tc>
        <w:tc>
          <w:tcPr>
            <w:tcW w:w="3516" w:type="dxa"/>
            <w:vAlign w:val="center"/>
          </w:tcPr>
          <w:p w14:paraId="7FE31D35">
            <w:pPr>
              <w:jc w:val="center"/>
              <w:rPr>
                <w:b/>
                <w:szCs w:val="21"/>
              </w:rPr>
            </w:pPr>
            <w:r>
              <w:rPr>
                <w:b/>
                <w:szCs w:val="21"/>
              </w:rPr>
              <w:t>课程说明</w:t>
            </w:r>
          </w:p>
        </w:tc>
        <w:tc>
          <w:tcPr>
            <w:tcW w:w="1081" w:type="dxa"/>
            <w:vAlign w:val="center"/>
          </w:tcPr>
          <w:p w14:paraId="5EFF3FEC">
            <w:pPr>
              <w:jc w:val="center"/>
              <w:rPr>
                <w:b/>
                <w:szCs w:val="21"/>
              </w:rPr>
            </w:pPr>
            <w:r>
              <w:rPr>
                <w:b/>
                <w:szCs w:val="21"/>
              </w:rPr>
              <w:t>课程编号</w:t>
            </w:r>
          </w:p>
        </w:tc>
        <w:tc>
          <w:tcPr>
            <w:tcW w:w="709" w:type="dxa"/>
            <w:vAlign w:val="center"/>
          </w:tcPr>
          <w:p w14:paraId="4C6BE59B">
            <w:pPr>
              <w:jc w:val="center"/>
              <w:rPr>
                <w:b/>
                <w:szCs w:val="21"/>
              </w:rPr>
            </w:pPr>
            <w:r>
              <w:rPr>
                <w:b/>
                <w:szCs w:val="21"/>
              </w:rPr>
              <w:t>学分</w:t>
            </w:r>
          </w:p>
        </w:tc>
        <w:tc>
          <w:tcPr>
            <w:tcW w:w="709" w:type="dxa"/>
            <w:vAlign w:val="center"/>
          </w:tcPr>
          <w:p w14:paraId="5F0A60C8">
            <w:pPr>
              <w:jc w:val="center"/>
              <w:rPr>
                <w:b/>
                <w:szCs w:val="21"/>
              </w:rPr>
            </w:pPr>
            <w:r>
              <w:rPr>
                <w:b/>
                <w:szCs w:val="21"/>
              </w:rPr>
              <w:t>学期</w:t>
            </w:r>
          </w:p>
        </w:tc>
        <w:tc>
          <w:tcPr>
            <w:tcW w:w="1045" w:type="dxa"/>
            <w:vAlign w:val="center"/>
          </w:tcPr>
          <w:p w14:paraId="56759AF2">
            <w:pPr>
              <w:jc w:val="center"/>
              <w:rPr>
                <w:b/>
                <w:szCs w:val="21"/>
              </w:rPr>
            </w:pPr>
            <w:r>
              <w:rPr>
                <w:b/>
                <w:szCs w:val="21"/>
              </w:rPr>
              <w:t>备注</w:t>
            </w:r>
          </w:p>
        </w:tc>
      </w:tr>
      <w:tr w14:paraId="6293E5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restart"/>
            <w:vAlign w:val="center"/>
          </w:tcPr>
          <w:p w14:paraId="45BCED77">
            <w:pPr>
              <w:jc w:val="center"/>
              <w:rPr>
                <w:b/>
                <w:sz w:val="18"/>
                <w:szCs w:val="18"/>
              </w:rPr>
            </w:pPr>
            <w:r>
              <w:rPr>
                <w:b/>
                <w:sz w:val="18"/>
                <w:szCs w:val="18"/>
              </w:rPr>
              <w:t>学位课</w:t>
            </w:r>
          </w:p>
        </w:tc>
        <w:tc>
          <w:tcPr>
            <w:tcW w:w="1226" w:type="dxa"/>
            <w:vMerge w:val="restart"/>
            <w:vAlign w:val="center"/>
          </w:tcPr>
          <w:p w14:paraId="234E3E86">
            <w:pPr>
              <w:jc w:val="center"/>
              <w:rPr>
                <w:b/>
                <w:sz w:val="18"/>
                <w:szCs w:val="18"/>
              </w:rPr>
            </w:pPr>
            <w:r>
              <w:rPr>
                <w:b/>
                <w:sz w:val="18"/>
                <w:szCs w:val="18"/>
              </w:rPr>
              <w:t>公共必修课</w:t>
            </w:r>
          </w:p>
          <w:p w14:paraId="291735AA">
            <w:pPr>
              <w:jc w:val="center"/>
              <w:rPr>
                <w:b/>
                <w:sz w:val="18"/>
                <w:szCs w:val="18"/>
              </w:rPr>
            </w:pPr>
            <w:r>
              <w:rPr>
                <w:b/>
                <w:sz w:val="18"/>
                <w:szCs w:val="18"/>
              </w:rPr>
              <w:t>（</w:t>
            </w:r>
            <w:r>
              <w:rPr>
                <w:rFonts w:hint="eastAsia"/>
                <w:b/>
                <w:sz w:val="18"/>
                <w:szCs w:val="18"/>
              </w:rPr>
              <w:t>4</w:t>
            </w:r>
            <w:r>
              <w:rPr>
                <w:b/>
                <w:sz w:val="18"/>
                <w:szCs w:val="18"/>
              </w:rPr>
              <w:t>学分）</w:t>
            </w:r>
          </w:p>
        </w:tc>
        <w:tc>
          <w:tcPr>
            <w:tcW w:w="3516" w:type="dxa"/>
            <w:vAlign w:val="center"/>
          </w:tcPr>
          <w:p w14:paraId="45C85D1A">
            <w:pPr>
              <w:rPr>
                <w:sz w:val="18"/>
                <w:szCs w:val="18"/>
              </w:rPr>
            </w:pPr>
            <w:r>
              <w:rPr>
                <w:sz w:val="18"/>
                <w:szCs w:val="18"/>
              </w:rPr>
              <w:t>新时代中国特色社会主义理论与实践</w:t>
            </w:r>
          </w:p>
        </w:tc>
        <w:tc>
          <w:tcPr>
            <w:tcW w:w="1081" w:type="dxa"/>
            <w:vAlign w:val="center"/>
          </w:tcPr>
          <w:p w14:paraId="55B7F083">
            <w:pPr>
              <w:jc w:val="center"/>
              <w:rPr>
                <w:sz w:val="18"/>
                <w:szCs w:val="18"/>
              </w:rPr>
            </w:pPr>
            <w:r>
              <w:rPr>
                <w:sz w:val="18"/>
                <w:szCs w:val="18"/>
              </w:rPr>
              <w:t>TS0000001</w:t>
            </w:r>
          </w:p>
        </w:tc>
        <w:tc>
          <w:tcPr>
            <w:tcW w:w="709" w:type="dxa"/>
            <w:vAlign w:val="center"/>
          </w:tcPr>
          <w:p w14:paraId="64EC4ECF">
            <w:pPr>
              <w:jc w:val="center"/>
              <w:rPr>
                <w:sz w:val="18"/>
                <w:szCs w:val="18"/>
              </w:rPr>
            </w:pPr>
            <w:r>
              <w:rPr>
                <w:sz w:val="18"/>
                <w:szCs w:val="18"/>
              </w:rPr>
              <w:t>2</w:t>
            </w:r>
          </w:p>
        </w:tc>
        <w:tc>
          <w:tcPr>
            <w:tcW w:w="709" w:type="dxa"/>
            <w:vAlign w:val="center"/>
          </w:tcPr>
          <w:p w14:paraId="02FD715B">
            <w:pPr>
              <w:jc w:val="center"/>
              <w:rPr>
                <w:sz w:val="18"/>
                <w:szCs w:val="18"/>
              </w:rPr>
            </w:pPr>
            <w:r>
              <w:rPr>
                <w:sz w:val="18"/>
                <w:szCs w:val="18"/>
              </w:rPr>
              <w:t>1</w:t>
            </w:r>
          </w:p>
        </w:tc>
        <w:tc>
          <w:tcPr>
            <w:tcW w:w="1045" w:type="dxa"/>
            <w:vAlign w:val="center"/>
          </w:tcPr>
          <w:p w14:paraId="36A7F1BF">
            <w:pPr>
              <w:jc w:val="center"/>
              <w:rPr>
                <w:sz w:val="18"/>
                <w:szCs w:val="18"/>
              </w:rPr>
            </w:pPr>
            <w:r>
              <w:rPr>
                <w:rFonts w:hint="eastAsia"/>
                <w:sz w:val="18"/>
                <w:szCs w:val="18"/>
              </w:rPr>
              <w:t>考查</w:t>
            </w:r>
          </w:p>
        </w:tc>
      </w:tr>
      <w:tr w14:paraId="3F9123FA">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45" w:hRule="atLeast"/>
          <w:jc w:val="center"/>
        </w:trPr>
        <w:tc>
          <w:tcPr>
            <w:tcW w:w="571" w:type="dxa"/>
            <w:vMerge w:val="continue"/>
            <w:vAlign w:val="center"/>
          </w:tcPr>
          <w:p w14:paraId="3FD517BC">
            <w:pPr>
              <w:jc w:val="center"/>
              <w:rPr>
                <w:b/>
                <w:sz w:val="18"/>
                <w:szCs w:val="18"/>
              </w:rPr>
            </w:pPr>
          </w:p>
        </w:tc>
        <w:tc>
          <w:tcPr>
            <w:tcW w:w="1226" w:type="dxa"/>
            <w:vMerge w:val="continue"/>
            <w:vAlign w:val="center"/>
          </w:tcPr>
          <w:p w14:paraId="4DD8A85B">
            <w:pPr>
              <w:jc w:val="center"/>
              <w:rPr>
                <w:b/>
                <w:sz w:val="18"/>
                <w:szCs w:val="18"/>
              </w:rPr>
            </w:pPr>
          </w:p>
        </w:tc>
        <w:tc>
          <w:tcPr>
            <w:tcW w:w="3516" w:type="dxa"/>
            <w:vAlign w:val="center"/>
          </w:tcPr>
          <w:p w14:paraId="5371CDFC">
            <w:pPr>
              <w:rPr>
                <w:sz w:val="18"/>
                <w:szCs w:val="18"/>
              </w:rPr>
            </w:pPr>
            <w:r>
              <w:rPr>
                <w:sz w:val="18"/>
                <w:szCs w:val="18"/>
              </w:rPr>
              <w:t>通用学术英语</w:t>
            </w:r>
          </w:p>
        </w:tc>
        <w:tc>
          <w:tcPr>
            <w:tcW w:w="1081" w:type="dxa"/>
            <w:vAlign w:val="center"/>
          </w:tcPr>
          <w:p w14:paraId="6506B7B0">
            <w:pPr>
              <w:jc w:val="center"/>
              <w:rPr>
                <w:sz w:val="18"/>
                <w:szCs w:val="18"/>
              </w:rPr>
            </w:pPr>
            <w:r>
              <w:rPr>
                <w:sz w:val="18"/>
                <w:szCs w:val="18"/>
              </w:rPr>
              <w:t>TS0000002</w:t>
            </w:r>
          </w:p>
        </w:tc>
        <w:tc>
          <w:tcPr>
            <w:tcW w:w="709" w:type="dxa"/>
            <w:vAlign w:val="center"/>
          </w:tcPr>
          <w:p w14:paraId="193CD119">
            <w:pPr>
              <w:jc w:val="center"/>
              <w:rPr>
                <w:sz w:val="18"/>
                <w:szCs w:val="18"/>
              </w:rPr>
            </w:pPr>
            <w:r>
              <w:rPr>
                <w:sz w:val="18"/>
                <w:szCs w:val="18"/>
              </w:rPr>
              <w:t>2</w:t>
            </w:r>
          </w:p>
        </w:tc>
        <w:tc>
          <w:tcPr>
            <w:tcW w:w="709" w:type="dxa"/>
            <w:vAlign w:val="center"/>
          </w:tcPr>
          <w:p w14:paraId="73037D03">
            <w:pPr>
              <w:jc w:val="center"/>
              <w:rPr>
                <w:sz w:val="18"/>
                <w:szCs w:val="18"/>
              </w:rPr>
            </w:pPr>
            <w:r>
              <w:rPr>
                <w:sz w:val="18"/>
                <w:szCs w:val="18"/>
              </w:rPr>
              <w:t>1</w:t>
            </w:r>
          </w:p>
        </w:tc>
        <w:tc>
          <w:tcPr>
            <w:tcW w:w="1045" w:type="dxa"/>
            <w:vAlign w:val="center"/>
          </w:tcPr>
          <w:p w14:paraId="34FDA8A9">
            <w:pPr>
              <w:jc w:val="center"/>
              <w:rPr>
                <w:sz w:val="18"/>
                <w:szCs w:val="18"/>
              </w:rPr>
            </w:pPr>
            <w:r>
              <w:rPr>
                <w:rFonts w:hint="eastAsia"/>
                <w:sz w:val="18"/>
                <w:szCs w:val="18"/>
              </w:rPr>
              <w:t>考查</w:t>
            </w:r>
          </w:p>
        </w:tc>
      </w:tr>
      <w:tr w14:paraId="549C96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40C0C347">
            <w:pPr>
              <w:jc w:val="center"/>
              <w:rPr>
                <w:b/>
                <w:sz w:val="18"/>
                <w:szCs w:val="18"/>
              </w:rPr>
            </w:pPr>
          </w:p>
        </w:tc>
        <w:tc>
          <w:tcPr>
            <w:tcW w:w="1226" w:type="dxa"/>
            <w:vMerge w:val="restart"/>
            <w:vAlign w:val="center"/>
          </w:tcPr>
          <w:p w14:paraId="6C68483F">
            <w:pPr>
              <w:jc w:val="center"/>
              <w:rPr>
                <w:b/>
                <w:sz w:val="18"/>
                <w:szCs w:val="18"/>
              </w:rPr>
            </w:pPr>
            <w:r>
              <w:rPr>
                <w:rFonts w:hint="eastAsia"/>
                <w:b/>
                <w:sz w:val="18"/>
                <w:szCs w:val="18"/>
              </w:rPr>
              <w:t>学科基础课（4学分）</w:t>
            </w:r>
          </w:p>
        </w:tc>
        <w:tc>
          <w:tcPr>
            <w:tcW w:w="3516" w:type="dxa"/>
            <w:vAlign w:val="center"/>
          </w:tcPr>
          <w:p w14:paraId="6B8FDDFF">
            <w:pPr>
              <w:rPr>
                <w:sz w:val="18"/>
                <w:szCs w:val="18"/>
              </w:rPr>
            </w:pPr>
            <w:r>
              <w:rPr>
                <w:rFonts w:hint="eastAsia"/>
                <w:sz w:val="18"/>
                <w:szCs w:val="18"/>
              </w:rPr>
              <w:t>世界史重要问题研究</w:t>
            </w:r>
          </w:p>
        </w:tc>
        <w:tc>
          <w:tcPr>
            <w:tcW w:w="1081" w:type="dxa"/>
            <w:vAlign w:val="center"/>
          </w:tcPr>
          <w:p w14:paraId="6FE01118">
            <w:pPr>
              <w:jc w:val="center"/>
              <w:rPr>
                <w:sz w:val="18"/>
                <w:szCs w:val="18"/>
              </w:rPr>
            </w:pPr>
            <w:r>
              <w:rPr>
                <w:rFonts w:hint="eastAsia"/>
                <w:sz w:val="18"/>
                <w:szCs w:val="18"/>
              </w:rPr>
              <w:t>XS</w:t>
            </w:r>
            <w:r>
              <w:rPr>
                <w:sz w:val="18"/>
                <w:szCs w:val="18"/>
              </w:rPr>
              <w:t>1904004</w:t>
            </w:r>
          </w:p>
        </w:tc>
        <w:tc>
          <w:tcPr>
            <w:tcW w:w="709" w:type="dxa"/>
            <w:vAlign w:val="center"/>
          </w:tcPr>
          <w:p w14:paraId="52B18A33">
            <w:pPr>
              <w:jc w:val="center"/>
              <w:rPr>
                <w:sz w:val="18"/>
                <w:szCs w:val="18"/>
              </w:rPr>
            </w:pPr>
            <w:r>
              <w:rPr>
                <w:rFonts w:hint="eastAsia"/>
                <w:sz w:val="18"/>
                <w:szCs w:val="18"/>
              </w:rPr>
              <w:t>2</w:t>
            </w:r>
          </w:p>
        </w:tc>
        <w:tc>
          <w:tcPr>
            <w:tcW w:w="709" w:type="dxa"/>
            <w:vAlign w:val="center"/>
          </w:tcPr>
          <w:p w14:paraId="08BC8B18">
            <w:pPr>
              <w:jc w:val="center"/>
              <w:rPr>
                <w:sz w:val="18"/>
                <w:szCs w:val="18"/>
              </w:rPr>
            </w:pPr>
            <w:r>
              <w:rPr>
                <w:rFonts w:hint="eastAsia"/>
                <w:sz w:val="18"/>
                <w:szCs w:val="18"/>
              </w:rPr>
              <w:t>1</w:t>
            </w:r>
          </w:p>
        </w:tc>
        <w:tc>
          <w:tcPr>
            <w:tcW w:w="1045" w:type="dxa"/>
            <w:vAlign w:val="center"/>
          </w:tcPr>
          <w:p w14:paraId="7E1314B9">
            <w:pPr>
              <w:jc w:val="center"/>
              <w:rPr>
                <w:sz w:val="18"/>
                <w:szCs w:val="18"/>
              </w:rPr>
            </w:pPr>
            <w:r>
              <w:rPr>
                <w:rFonts w:hint="eastAsia"/>
                <w:sz w:val="18"/>
                <w:szCs w:val="18"/>
              </w:rPr>
              <w:t>考查</w:t>
            </w:r>
          </w:p>
        </w:tc>
      </w:tr>
      <w:tr w14:paraId="6BA415A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25CBFE4A">
            <w:pPr>
              <w:jc w:val="center"/>
              <w:rPr>
                <w:b/>
                <w:sz w:val="18"/>
                <w:szCs w:val="18"/>
              </w:rPr>
            </w:pPr>
          </w:p>
        </w:tc>
        <w:tc>
          <w:tcPr>
            <w:tcW w:w="1226" w:type="dxa"/>
            <w:vMerge w:val="continue"/>
            <w:vAlign w:val="center"/>
          </w:tcPr>
          <w:p w14:paraId="6E80627C">
            <w:pPr>
              <w:jc w:val="center"/>
              <w:rPr>
                <w:b/>
                <w:sz w:val="18"/>
                <w:szCs w:val="18"/>
              </w:rPr>
            </w:pPr>
          </w:p>
        </w:tc>
        <w:tc>
          <w:tcPr>
            <w:tcW w:w="3516" w:type="dxa"/>
          </w:tcPr>
          <w:p w14:paraId="3B5787E5">
            <w:r>
              <w:rPr>
                <w:sz w:val="18"/>
                <w:szCs w:val="18"/>
              </w:rPr>
              <w:t>学术道德与论文写作</w:t>
            </w:r>
          </w:p>
        </w:tc>
        <w:tc>
          <w:tcPr>
            <w:tcW w:w="1081" w:type="dxa"/>
            <w:vAlign w:val="center"/>
          </w:tcPr>
          <w:p w14:paraId="3E165995">
            <w:pPr>
              <w:jc w:val="center"/>
              <w:rPr>
                <w:sz w:val="18"/>
                <w:szCs w:val="18"/>
              </w:rPr>
            </w:pPr>
            <w:r>
              <w:rPr>
                <w:rFonts w:hint="eastAsia"/>
                <w:sz w:val="18"/>
                <w:szCs w:val="18"/>
              </w:rPr>
              <w:t>XS</w:t>
            </w:r>
            <w:r>
              <w:rPr>
                <w:sz w:val="18"/>
                <w:szCs w:val="18"/>
              </w:rPr>
              <w:t>1904005</w:t>
            </w:r>
          </w:p>
        </w:tc>
        <w:tc>
          <w:tcPr>
            <w:tcW w:w="709" w:type="dxa"/>
            <w:vAlign w:val="center"/>
          </w:tcPr>
          <w:p w14:paraId="1A69D21C">
            <w:pPr>
              <w:jc w:val="center"/>
              <w:rPr>
                <w:sz w:val="18"/>
                <w:szCs w:val="18"/>
              </w:rPr>
            </w:pPr>
            <w:r>
              <w:rPr>
                <w:rFonts w:hint="eastAsia"/>
                <w:sz w:val="18"/>
                <w:szCs w:val="18"/>
              </w:rPr>
              <w:t>2</w:t>
            </w:r>
          </w:p>
        </w:tc>
        <w:tc>
          <w:tcPr>
            <w:tcW w:w="709" w:type="dxa"/>
            <w:vAlign w:val="center"/>
          </w:tcPr>
          <w:p w14:paraId="2FC64782">
            <w:pPr>
              <w:jc w:val="center"/>
              <w:rPr>
                <w:sz w:val="18"/>
                <w:szCs w:val="18"/>
              </w:rPr>
            </w:pPr>
            <w:r>
              <w:rPr>
                <w:rFonts w:hint="eastAsia"/>
                <w:sz w:val="18"/>
                <w:szCs w:val="18"/>
              </w:rPr>
              <w:t>1</w:t>
            </w:r>
          </w:p>
        </w:tc>
        <w:tc>
          <w:tcPr>
            <w:tcW w:w="1045" w:type="dxa"/>
            <w:vAlign w:val="center"/>
          </w:tcPr>
          <w:p w14:paraId="6E91A6CE">
            <w:pPr>
              <w:jc w:val="center"/>
              <w:rPr>
                <w:sz w:val="18"/>
                <w:szCs w:val="18"/>
              </w:rPr>
            </w:pPr>
            <w:r>
              <w:rPr>
                <w:rFonts w:hint="eastAsia"/>
                <w:sz w:val="18"/>
                <w:szCs w:val="18"/>
              </w:rPr>
              <w:t>考查</w:t>
            </w:r>
          </w:p>
        </w:tc>
      </w:tr>
      <w:tr w14:paraId="50F5C61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397CF04E">
            <w:pPr>
              <w:jc w:val="center"/>
              <w:rPr>
                <w:b/>
                <w:sz w:val="18"/>
                <w:szCs w:val="18"/>
              </w:rPr>
            </w:pPr>
          </w:p>
        </w:tc>
        <w:tc>
          <w:tcPr>
            <w:tcW w:w="1226" w:type="dxa"/>
            <w:vMerge w:val="restart"/>
            <w:vAlign w:val="center"/>
          </w:tcPr>
          <w:p w14:paraId="40B9B8FD">
            <w:pPr>
              <w:jc w:val="center"/>
              <w:rPr>
                <w:b/>
                <w:sz w:val="18"/>
                <w:szCs w:val="18"/>
              </w:rPr>
            </w:pPr>
            <w:r>
              <w:rPr>
                <w:b/>
                <w:sz w:val="18"/>
                <w:szCs w:val="18"/>
              </w:rPr>
              <w:t>专业必修课</w:t>
            </w:r>
          </w:p>
          <w:p w14:paraId="4A61A6F2">
            <w:pPr>
              <w:jc w:val="center"/>
              <w:rPr>
                <w:b/>
                <w:sz w:val="18"/>
                <w:szCs w:val="18"/>
              </w:rPr>
            </w:pPr>
            <w:r>
              <w:rPr>
                <w:rFonts w:hint="eastAsia"/>
                <w:b/>
                <w:sz w:val="18"/>
                <w:szCs w:val="18"/>
              </w:rPr>
              <w:t>（4</w:t>
            </w:r>
            <w:r>
              <w:rPr>
                <w:b/>
                <w:sz w:val="18"/>
                <w:szCs w:val="18"/>
              </w:rPr>
              <w:t>学分）</w:t>
            </w:r>
          </w:p>
        </w:tc>
        <w:tc>
          <w:tcPr>
            <w:tcW w:w="3516" w:type="dxa"/>
            <w:shd w:val="clear" w:color="auto" w:fill="auto"/>
          </w:tcPr>
          <w:p w14:paraId="30E25C61">
            <w:r>
              <w:rPr>
                <w:rFonts w:hint="eastAsia"/>
                <w:sz w:val="18"/>
                <w:szCs w:val="18"/>
              </w:rPr>
              <w:t>世界史研究的理论与方法</w:t>
            </w:r>
          </w:p>
        </w:tc>
        <w:tc>
          <w:tcPr>
            <w:tcW w:w="1081" w:type="dxa"/>
            <w:shd w:val="clear" w:color="auto" w:fill="auto"/>
            <w:vAlign w:val="center"/>
          </w:tcPr>
          <w:p w14:paraId="56C49AE7">
            <w:pPr>
              <w:jc w:val="center"/>
              <w:rPr>
                <w:sz w:val="18"/>
                <w:szCs w:val="18"/>
              </w:rPr>
            </w:pPr>
            <w:r>
              <w:rPr>
                <w:rFonts w:hint="eastAsia"/>
                <w:sz w:val="18"/>
                <w:szCs w:val="18"/>
              </w:rPr>
              <w:t>XS</w:t>
            </w:r>
            <w:r>
              <w:rPr>
                <w:sz w:val="18"/>
                <w:szCs w:val="18"/>
              </w:rPr>
              <w:t>1904006</w:t>
            </w:r>
          </w:p>
        </w:tc>
        <w:tc>
          <w:tcPr>
            <w:tcW w:w="709" w:type="dxa"/>
            <w:shd w:val="clear" w:color="auto" w:fill="auto"/>
            <w:vAlign w:val="center"/>
          </w:tcPr>
          <w:p w14:paraId="48D27056">
            <w:pPr>
              <w:jc w:val="center"/>
              <w:rPr>
                <w:sz w:val="18"/>
                <w:szCs w:val="18"/>
              </w:rPr>
            </w:pPr>
            <w:r>
              <w:rPr>
                <w:rFonts w:hint="eastAsia"/>
                <w:sz w:val="18"/>
                <w:szCs w:val="18"/>
              </w:rPr>
              <w:t>3</w:t>
            </w:r>
          </w:p>
        </w:tc>
        <w:tc>
          <w:tcPr>
            <w:tcW w:w="709" w:type="dxa"/>
            <w:shd w:val="clear" w:color="auto" w:fill="auto"/>
            <w:vAlign w:val="center"/>
          </w:tcPr>
          <w:p w14:paraId="795B11CF">
            <w:pPr>
              <w:jc w:val="center"/>
              <w:rPr>
                <w:sz w:val="18"/>
                <w:szCs w:val="18"/>
              </w:rPr>
            </w:pPr>
            <w:r>
              <w:rPr>
                <w:rFonts w:hint="eastAsia"/>
                <w:sz w:val="18"/>
                <w:szCs w:val="18"/>
              </w:rPr>
              <w:t>1</w:t>
            </w:r>
          </w:p>
        </w:tc>
        <w:tc>
          <w:tcPr>
            <w:tcW w:w="1045" w:type="dxa"/>
            <w:shd w:val="clear" w:color="auto" w:fill="auto"/>
            <w:vAlign w:val="center"/>
          </w:tcPr>
          <w:p w14:paraId="4331E0F2">
            <w:pPr>
              <w:jc w:val="center"/>
              <w:rPr>
                <w:sz w:val="18"/>
                <w:szCs w:val="18"/>
              </w:rPr>
            </w:pPr>
            <w:r>
              <w:rPr>
                <w:rFonts w:hint="eastAsia"/>
                <w:sz w:val="18"/>
                <w:szCs w:val="18"/>
              </w:rPr>
              <w:t>考查</w:t>
            </w:r>
          </w:p>
        </w:tc>
      </w:tr>
      <w:tr w14:paraId="226EA55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vAlign w:val="center"/>
          </w:tcPr>
          <w:p w14:paraId="0F267651">
            <w:pPr>
              <w:jc w:val="center"/>
              <w:rPr>
                <w:b/>
                <w:sz w:val="18"/>
                <w:szCs w:val="18"/>
              </w:rPr>
            </w:pPr>
          </w:p>
        </w:tc>
        <w:tc>
          <w:tcPr>
            <w:tcW w:w="1226" w:type="dxa"/>
            <w:vMerge w:val="continue"/>
            <w:vAlign w:val="center"/>
          </w:tcPr>
          <w:p w14:paraId="120CA95B">
            <w:pPr>
              <w:jc w:val="center"/>
              <w:rPr>
                <w:b/>
                <w:sz w:val="18"/>
                <w:szCs w:val="18"/>
              </w:rPr>
            </w:pPr>
          </w:p>
        </w:tc>
        <w:tc>
          <w:tcPr>
            <w:tcW w:w="3516" w:type="dxa"/>
          </w:tcPr>
          <w:p w14:paraId="2E14502C">
            <w:r>
              <w:rPr>
                <w:rFonts w:hint="eastAsia"/>
                <w:sz w:val="18"/>
                <w:szCs w:val="18"/>
              </w:rPr>
              <w:t>人工智能与世界史研究</w:t>
            </w:r>
          </w:p>
        </w:tc>
        <w:tc>
          <w:tcPr>
            <w:tcW w:w="1081" w:type="dxa"/>
            <w:shd w:val="clear" w:color="auto" w:fill="auto"/>
            <w:vAlign w:val="center"/>
          </w:tcPr>
          <w:p w14:paraId="73DECB4E">
            <w:pPr>
              <w:jc w:val="center"/>
              <w:rPr>
                <w:sz w:val="18"/>
                <w:szCs w:val="18"/>
              </w:rPr>
            </w:pPr>
            <w:r>
              <w:rPr>
                <w:rFonts w:hint="eastAsia"/>
                <w:sz w:val="18"/>
                <w:szCs w:val="18"/>
              </w:rPr>
              <w:t>XS</w:t>
            </w:r>
            <w:r>
              <w:rPr>
                <w:sz w:val="18"/>
                <w:szCs w:val="18"/>
              </w:rPr>
              <w:t>1904007</w:t>
            </w:r>
          </w:p>
        </w:tc>
        <w:tc>
          <w:tcPr>
            <w:tcW w:w="709" w:type="dxa"/>
            <w:vAlign w:val="center"/>
          </w:tcPr>
          <w:p w14:paraId="76C64452">
            <w:pPr>
              <w:ind w:firstLine="180" w:firstLineChars="100"/>
              <w:rPr>
                <w:sz w:val="18"/>
                <w:szCs w:val="18"/>
              </w:rPr>
            </w:pPr>
            <w:r>
              <w:rPr>
                <w:rFonts w:hint="eastAsia"/>
                <w:sz w:val="18"/>
                <w:szCs w:val="18"/>
              </w:rPr>
              <w:t>1</w:t>
            </w:r>
          </w:p>
        </w:tc>
        <w:tc>
          <w:tcPr>
            <w:tcW w:w="709" w:type="dxa"/>
            <w:vAlign w:val="center"/>
          </w:tcPr>
          <w:p w14:paraId="285BAADE">
            <w:pPr>
              <w:jc w:val="center"/>
              <w:rPr>
                <w:sz w:val="18"/>
                <w:szCs w:val="18"/>
              </w:rPr>
            </w:pPr>
            <w:r>
              <w:rPr>
                <w:rFonts w:hint="eastAsia"/>
                <w:sz w:val="18"/>
                <w:szCs w:val="18"/>
              </w:rPr>
              <w:t>2</w:t>
            </w:r>
          </w:p>
        </w:tc>
        <w:tc>
          <w:tcPr>
            <w:tcW w:w="1045" w:type="dxa"/>
            <w:vAlign w:val="center"/>
          </w:tcPr>
          <w:p w14:paraId="6D856953">
            <w:pPr>
              <w:jc w:val="center"/>
              <w:rPr>
                <w:sz w:val="18"/>
                <w:szCs w:val="18"/>
              </w:rPr>
            </w:pPr>
            <w:r>
              <w:rPr>
                <w:rFonts w:hint="eastAsia"/>
                <w:sz w:val="18"/>
                <w:szCs w:val="18"/>
              </w:rPr>
              <w:t>考查</w:t>
            </w:r>
          </w:p>
        </w:tc>
      </w:tr>
      <w:tr w14:paraId="473A3F90">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39" w:hRule="atLeast"/>
          <w:jc w:val="center"/>
        </w:trPr>
        <w:tc>
          <w:tcPr>
            <w:tcW w:w="571" w:type="dxa"/>
            <w:vMerge w:val="restart"/>
            <w:vAlign w:val="center"/>
          </w:tcPr>
          <w:p w14:paraId="4176C65E">
            <w:pPr>
              <w:jc w:val="center"/>
              <w:rPr>
                <w:b/>
                <w:sz w:val="18"/>
                <w:szCs w:val="18"/>
              </w:rPr>
            </w:pPr>
            <w:r>
              <w:rPr>
                <w:b/>
                <w:sz w:val="18"/>
                <w:szCs w:val="18"/>
              </w:rPr>
              <w:t>非学位课</w:t>
            </w:r>
          </w:p>
        </w:tc>
        <w:tc>
          <w:tcPr>
            <w:tcW w:w="1226" w:type="dxa"/>
            <w:vMerge w:val="restart"/>
            <w:vAlign w:val="center"/>
          </w:tcPr>
          <w:p w14:paraId="53231424">
            <w:pPr>
              <w:jc w:val="center"/>
              <w:rPr>
                <w:b/>
                <w:sz w:val="18"/>
                <w:szCs w:val="18"/>
              </w:rPr>
            </w:pPr>
            <w:r>
              <w:rPr>
                <w:b/>
                <w:sz w:val="18"/>
                <w:szCs w:val="18"/>
              </w:rPr>
              <w:t>公共通识课</w:t>
            </w:r>
          </w:p>
          <w:p w14:paraId="45F656FC">
            <w:pPr>
              <w:jc w:val="center"/>
              <w:rPr>
                <w:b/>
                <w:sz w:val="18"/>
                <w:szCs w:val="18"/>
              </w:rPr>
            </w:pPr>
            <w:r>
              <w:rPr>
                <w:b/>
                <w:sz w:val="18"/>
                <w:szCs w:val="18"/>
              </w:rPr>
              <w:t>（</w:t>
            </w:r>
            <w:r>
              <w:rPr>
                <w:rFonts w:hint="eastAsia"/>
                <w:b/>
                <w:sz w:val="18"/>
                <w:szCs w:val="18"/>
              </w:rPr>
              <w:t>2</w:t>
            </w:r>
            <w:r>
              <w:rPr>
                <w:b/>
                <w:sz w:val="18"/>
                <w:szCs w:val="18"/>
              </w:rPr>
              <w:t>学分）</w:t>
            </w:r>
          </w:p>
        </w:tc>
        <w:tc>
          <w:tcPr>
            <w:tcW w:w="3516" w:type="dxa"/>
            <w:vAlign w:val="center"/>
          </w:tcPr>
          <w:p w14:paraId="057ECA68">
            <w:pPr>
              <w:rPr>
                <w:sz w:val="18"/>
                <w:szCs w:val="18"/>
              </w:rPr>
            </w:pPr>
            <w:r>
              <w:rPr>
                <w:sz w:val="18"/>
                <w:szCs w:val="18"/>
              </w:rPr>
              <w:t>《习近平谈治国理政》研读</w:t>
            </w:r>
          </w:p>
        </w:tc>
        <w:tc>
          <w:tcPr>
            <w:tcW w:w="1081" w:type="dxa"/>
            <w:vAlign w:val="center"/>
          </w:tcPr>
          <w:p w14:paraId="0CCB01EF">
            <w:pPr>
              <w:jc w:val="center"/>
              <w:rPr>
                <w:sz w:val="18"/>
                <w:szCs w:val="18"/>
              </w:rPr>
            </w:pPr>
            <w:r>
              <w:rPr>
                <w:sz w:val="18"/>
                <w:szCs w:val="18"/>
              </w:rPr>
              <w:t>TT0000101</w:t>
            </w:r>
          </w:p>
        </w:tc>
        <w:tc>
          <w:tcPr>
            <w:tcW w:w="709" w:type="dxa"/>
            <w:vAlign w:val="center"/>
          </w:tcPr>
          <w:p w14:paraId="27A4EDD0">
            <w:pPr>
              <w:jc w:val="center"/>
              <w:rPr>
                <w:sz w:val="18"/>
                <w:szCs w:val="18"/>
              </w:rPr>
            </w:pPr>
            <w:r>
              <w:rPr>
                <w:rFonts w:hint="eastAsia"/>
                <w:sz w:val="18"/>
                <w:szCs w:val="18"/>
              </w:rPr>
              <w:t>1</w:t>
            </w:r>
          </w:p>
        </w:tc>
        <w:tc>
          <w:tcPr>
            <w:tcW w:w="709" w:type="dxa"/>
            <w:vAlign w:val="center"/>
          </w:tcPr>
          <w:p w14:paraId="66C3B832">
            <w:pPr>
              <w:jc w:val="center"/>
              <w:rPr>
                <w:sz w:val="18"/>
                <w:szCs w:val="18"/>
              </w:rPr>
            </w:pPr>
            <w:r>
              <w:rPr>
                <w:sz w:val="18"/>
                <w:szCs w:val="18"/>
              </w:rPr>
              <w:t>2</w:t>
            </w:r>
          </w:p>
        </w:tc>
        <w:tc>
          <w:tcPr>
            <w:tcW w:w="1045" w:type="dxa"/>
            <w:vAlign w:val="center"/>
          </w:tcPr>
          <w:p w14:paraId="70F8B720">
            <w:pPr>
              <w:jc w:val="center"/>
              <w:rPr>
                <w:sz w:val="18"/>
                <w:szCs w:val="18"/>
              </w:rPr>
            </w:pPr>
            <w:r>
              <w:rPr>
                <w:sz w:val="18"/>
                <w:szCs w:val="18"/>
              </w:rPr>
              <w:t>考查</w:t>
            </w:r>
          </w:p>
        </w:tc>
      </w:tr>
      <w:tr w14:paraId="56F85EF1">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16" w:hRule="atLeast"/>
          <w:jc w:val="center"/>
        </w:trPr>
        <w:tc>
          <w:tcPr>
            <w:tcW w:w="571" w:type="dxa"/>
            <w:vMerge w:val="continue"/>
            <w:vAlign w:val="center"/>
          </w:tcPr>
          <w:p w14:paraId="58478322">
            <w:pPr>
              <w:jc w:val="center"/>
              <w:rPr>
                <w:b/>
                <w:sz w:val="18"/>
                <w:szCs w:val="18"/>
              </w:rPr>
            </w:pPr>
          </w:p>
        </w:tc>
        <w:tc>
          <w:tcPr>
            <w:tcW w:w="1226" w:type="dxa"/>
            <w:vMerge w:val="continue"/>
            <w:vAlign w:val="center"/>
          </w:tcPr>
          <w:p w14:paraId="5C784A48">
            <w:pPr>
              <w:jc w:val="center"/>
              <w:rPr>
                <w:b/>
                <w:sz w:val="18"/>
                <w:szCs w:val="18"/>
              </w:rPr>
            </w:pPr>
          </w:p>
        </w:tc>
        <w:tc>
          <w:tcPr>
            <w:tcW w:w="3516" w:type="dxa"/>
            <w:vAlign w:val="center"/>
          </w:tcPr>
          <w:p w14:paraId="4B770F02">
            <w:pPr>
              <w:rPr>
                <w:sz w:val="18"/>
                <w:szCs w:val="18"/>
              </w:rPr>
            </w:pPr>
            <w:r>
              <w:rPr>
                <w:sz w:val="18"/>
                <w:szCs w:val="18"/>
              </w:rPr>
              <w:t>马克思主义与社会科学方法论</w:t>
            </w:r>
          </w:p>
        </w:tc>
        <w:tc>
          <w:tcPr>
            <w:tcW w:w="1081" w:type="dxa"/>
            <w:vAlign w:val="center"/>
          </w:tcPr>
          <w:p w14:paraId="5F63F547">
            <w:pPr>
              <w:jc w:val="center"/>
              <w:rPr>
                <w:sz w:val="18"/>
                <w:szCs w:val="18"/>
              </w:rPr>
            </w:pPr>
            <w:r>
              <w:rPr>
                <w:sz w:val="18"/>
                <w:szCs w:val="18"/>
              </w:rPr>
              <w:t>TS0000101</w:t>
            </w:r>
          </w:p>
        </w:tc>
        <w:tc>
          <w:tcPr>
            <w:tcW w:w="709" w:type="dxa"/>
            <w:vAlign w:val="center"/>
          </w:tcPr>
          <w:p w14:paraId="57585BE7">
            <w:pPr>
              <w:jc w:val="center"/>
              <w:rPr>
                <w:sz w:val="18"/>
                <w:szCs w:val="18"/>
              </w:rPr>
            </w:pPr>
            <w:r>
              <w:rPr>
                <w:rFonts w:hint="eastAsia"/>
                <w:sz w:val="18"/>
                <w:szCs w:val="18"/>
              </w:rPr>
              <w:t>1</w:t>
            </w:r>
          </w:p>
        </w:tc>
        <w:tc>
          <w:tcPr>
            <w:tcW w:w="709" w:type="dxa"/>
            <w:vAlign w:val="center"/>
          </w:tcPr>
          <w:p w14:paraId="19D98D8E">
            <w:pPr>
              <w:jc w:val="center"/>
              <w:rPr>
                <w:sz w:val="18"/>
                <w:szCs w:val="18"/>
              </w:rPr>
            </w:pPr>
            <w:r>
              <w:rPr>
                <w:sz w:val="18"/>
                <w:szCs w:val="18"/>
              </w:rPr>
              <w:t>2</w:t>
            </w:r>
          </w:p>
        </w:tc>
        <w:tc>
          <w:tcPr>
            <w:tcW w:w="1045" w:type="dxa"/>
            <w:vAlign w:val="center"/>
          </w:tcPr>
          <w:p w14:paraId="7DCAD727">
            <w:pPr>
              <w:jc w:val="center"/>
              <w:rPr>
                <w:sz w:val="18"/>
                <w:szCs w:val="18"/>
              </w:rPr>
            </w:pPr>
            <w:r>
              <w:rPr>
                <w:sz w:val="18"/>
                <w:szCs w:val="18"/>
              </w:rPr>
              <w:t>考查</w:t>
            </w:r>
          </w:p>
        </w:tc>
      </w:tr>
      <w:tr w14:paraId="4145568B">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523" w:hRule="atLeast"/>
          <w:jc w:val="center"/>
        </w:trPr>
        <w:tc>
          <w:tcPr>
            <w:tcW w:w="571" w:type="dxa"/>
            <w:vMerge w:val="continue"/>
          </w:tcPr>
          <w:p w14:paraId="7508FB4B">
            <w:pPr>
              <w:rPr>
                <w:b/>
                <w:sz w:val="18"/>
                <w:szCs w:val="18"/>
              </w:rPr>
            </w:pPr>
          </w:p>
        </w:tc>
        <w:tc>
          <w:tcPr>
            <w:tcW w:w="1226" w:type="dxa"/>
            <w:vMerge w:val="restart"/>
            <w:vAlign w:val="center"/>
          </w:tcPr>
          <w:p w14:paraId="380514BB">
            <w:pPr>
              <w:adjustRightInd w:val="0"/>
              <w:snapToGrid w:val="0"/>
              <w:jc w:val="center"/>
              <w:rPr>
                <w:b/>
                <w:bCs w:val="0"/>
                <w:i/>
                <w:sz w:val="18"/>
                <w:szCs w:val="18"/>
              </w:rPr>
            </w:pPr>
            <w:r>
              <w:rPr>
                <w:rFonts w:hint="eastAsia"/>
                <w:b/>
                <w:bCs w:val="0"/>
                <w:sz w:val="18"/>
                <w:szCs w:val="18"/>
              </w:rPr>
              <w:t>专业</w:t>
            </w:r>
          </w:p>
          <w:p w14:paraId="3065AA86">
            <w:pPr>
              <w:adjustRightInd w:val="0"/>
              <w:snapToGrid w:val="0"/>
              <w:jc w:val="center"/>
              <w:rPr>
                <w:b/>
                <w:sz w:val="18"/>
                <w:szCs w:val="18"/>
              </w:rPr>
            </w:pPr>
            <w:r>
              <w:rPr>
                <w:b/>
                <w:bCs w:val="0"/>
                <w:sz w:val="18"/>
                <w:szCs w:val="18"/>
              </w:rPr>
              <w:t>选修课</w:t>
            </w:r>
            <w:r>
              <w:rPr>
                <w:rFonts w:hint="eastAsia"/>
                <w:b/>
                <w:bCs w:val="0"/>
                <w:sz w:val="18"/>
                <w:szCs w:val="18"/>
              </w:rPr>
              <w:t>，各方向研究至少修读8学分</w:t>
            </w:r>
          </w:p>
        </w:tc>
        <w:tc>
          <w:tcPr>
            <w:tcW w:w="3516" w:type="dxa"/>
            <w:vAlign w:val="center"/>
          </w:tcPr>
          <w:p w14:paraId="6BB80514">
            <w:pPr>
              <w:rPr>
                <w:i/>
                <w:sz w:val="18"/>
                <w:szCs w:val="18"/>
              </w:rPr>
            </w:pPr>
            <w:r>
              <w:rPr>
                <w:rFonts w:hint="eastAsia"/>
                <w:sz w:val="18"/>
                <w:szCs w:val="18"/>
              </w:rPr>
              <w:t>古希腊罗马</w:t>
            </w:r>
            <w:r>
              <w:rPr>
                <w:sz w:val="18"/>
                <w:szCs w:val="18"/>
              </w:rPr>
              <w:t>史专题</w:t>
            </w:r>
          </w:p>
        </w:tc>
        <w:tc>
          <w:tcPr>
            <w:tcW w:w="1081" w:type="dxa"/>
            <w:vAlign w:val="center"/>
          </w:tcPr>
          <w:p w14:paraId="06D3C8BA">
            <w:pPr>
              <w:jc w:val="center"/>
              <w:rPr>
                <w:sz w:val="18"/>
                <w:szCs w:val="18"/>
              </w:rPr>
            </w:pPr>
            <w:r>
              <w:rPr>
                <w:rFonts w:hint="eastAsia"/>
                <w:sz w:val="18"/>
                <w:szCs w:val="18"/>
              </w:rPr>
              <w:t>XS</w:t>
            </w:r>
            <w:r>
              <w:rPr>
                <w:sz w:val="18"/>
                <w:szCs w:val="18"/>
              </w:rPr>
              <w:t>1904201</w:t>
            </w:r>
          </w:p>
        </w:tc>
        <w:tc>
          <w:tcPr>
            <w:tcW w:w="709" w:type="dxa"/>
            <w:vAlign w:val="center"/>
          </w:tcPr>
          <w:p w14:paraId="66ACE609">
            <w:pPr>
              <w:jc w:val="center"/>
              <w:rPr>
                <w:iCs/>
                <w:sz w:val="18"/>
                <w:szCs w:val="18"/>
              </w:rPr>
            </w:pPr>
            <w:r>
              <w:rPr>
                <w:rFonts w:hint="eastAsia"/>
                <w:iCs/>
                <w:sz w:val="18"/>
                <w:szCs w:val="18"/>
              </w:rPr>
              <w:t>2</w:t>
            </w:r>
          </w:p>
        </w:tc>
        <w:tc>
          <w:tcPr>
            <w:tcW w:w="709" w:type="dxa"/>
            <w:vAlign w:val="center"/>
          </w:tcPr>
          <w:p w14:paraId="6A33EF20">
            <w:pPr>
              <w:jc w:val="center"/>
              <w:rPr>
                <w:iCs/>
                <w:sz w:val="18"/>
                <w:szCs w:val="18"/>
              </w:rPr>
            </w:pPr>
            <w:r>
              <w:rPr>
                <w:rFonts w:hint="eastAsia"/>
                <w:iCs/>
                <w:sz w:val="18"/>
                <w:szCs w:val="18"/>
              </w:rPr>
              <w:t>1</w:t>
            </w:r>
          </w:p>
        </w:tc>
        <w:tc>
          <w:tcPr>
            <w:tcW w:w="1045" w:type="dxa"/>
            <w:vAlign w:val="center"/>
          </w:tcPr>
          <w:p w14:paraId="27409DE5">
            <w:pPr>
              <w:adjustRightInd w:val="0"/>
              <w:snapToGrid w:val="0"/>
              <w:jc w:val="center"/>
              <w:rPr>
                <w:sz w:val="18"/>
                <w:szCs w:val="18"/>
              </w:rPr>
            </w:pPr>
            <w:r>
              <w:rPr>
                <w:rFonts w:hint="eastAsia"/>
                <w:sz w:val="18"/>
                <w:szCs w:val="18"/>
              </w:rPr>
              <w:t>考查</w:t>
            </w:r>
          </w:p>
        </w:tc>
      </w:tr>
      <w:tr w14:paraId="0841D545">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28" w:hRule="atLeast"/>
          <w:jc w:val="center"/>
        </w:trPr>
        <w:tc>
          <w:tcPr>
            <w:tcW w:w="571" w:type="dxa"/>
            <w:vMerge w:val="continue"/>
          </w:tcPr>
          <w:p w14:paraId="175AF70A">
            <w:pPr>
              <w:rPr>
                <w:b/>
                <w:sz w:val="18"/>
                <w:szCs w:val="18"/>
              </w:rPr>
            </w:pPr>
          </w:p>
        </w:tc>
        <w:tc>
          <w:tcPr>
            <w:tcW w:w="1226" w:type="dxa"/>
            <w:vMerge w:val="continue"/>
            <w:vAlign w:val="center"/>
          </w:tcPr>
          <w:p w14:paraId="3DE27663">
            <w:pPr>
              <w:adjustRightInd w:val="0"/>
              <w:snapToGrid w:val="0"/>
              <w:jc w:val="center"/>
              <w:rPr>
                <w:b/>
                <w:sz w:val="18"/>
                <w:szCs w:val="18"/>
              </w:rPr>
            </w:pPr>
          </w:p>
        </w:tc>
        <w:tc>
          <w:tcPr>
            <w:tcW w:w="3516" w:type="dxa"/>
            <w:vAlign w:val="center"/>
          </w:tcPr>
          <w:p w14:paraId="00CA0731">
            <w:pPr>
              <w:rPr>
                <w:i/>
                <w:sz w:val="18"/>
                <w:szCs w:val="18"/>
              </w:rPr>
            </w:pPr>
            <w:r>
              <w:rPr>
                <w:rFonts w:hint="eastAsia"/>
                <w:sz w:val="18"/>
                <w:szCs w:val="18"/>
              </w:rPr>
              <w:t>古典语言学导论</w:t>
            </w:r>
          </w:p>
        </w:tc>
        <w:tc>
          <w:tcPr>
            <w:tcW w:w="1081" w:type="dxa"/>
            <w:vAlign w:val="center"/>
          </w:tcPr>
          <w:p w14:paraId="10D9A6AD">
            <w:pPr>
              <w:jc w:val="center"/>
              <w:rPr>
                <w:sz w:val="18"/>
                <w:szCs w:val="18"/>
              </w:rPr>
            </w:pPr>
            <w:r>
              <w:rPr>
                <w:rFonts w:hint="eastAsia"/>
                <w:sz w:val="18"/>
                <w:szCs w:val="18"/>
              </w:rPr>
              <w:t>XS</w:t>
            </w:r>
            <w:r>
              <w:rPr>
                <w:sz w:val="18"/>
                <w:szCs w:val="18"/>
              </w:rPr>
              <w:t>1904</w:t>
            </w:r>
            <w:r>
              <w:rPr>
                <w:rFonts w:hint="eastAsia"/>
                <w:sz w:val="18"/>
                <w:szCs w:val="18"/>
              </w:rPr>
              <w:t>2</w:t>
            </w:r>
            <w:r>
              <w:rPr>
                <w:sz w:val="18"/>
                <w:szCs w:val="18"/>
              </w:rPr>
              <w:t>02</w:t>
            </w:r>
          </w:p>
        </w:tc>
        <w:tc>
          <w:tcPr>
            <w:tcW w:w="709" w:type="dxa"/>
            <w:vAlign w:val="center"/>
          </w:tcPr>
          <w:p w14:paraId="5488E791">
            <w:pPr>
              <w:jc w:val="center"/>
              <w:rPr>
                <w:iCs/>
                <w:sz w:val="18"/>
                <w:szCs w:val="18"/>
              </w:rPr>
            </w:pPr>
            <w:r>
              <w:rPr>
                <w:rFonts w:hint="eastAsia"/>
                <w:iCs/>
                <w:sz w:val="18"/>
                <w:szCs w:val="18"/>
              </w:rPr>
              <w:t>2</w:t>
            </w:r>
          </w:p>
        </w:tc>
        <w:tc>
          <w:tcPr>
            <w:tcW w:w="709" w:type="dxa"/>
            <w:vAlign w:val="center"/>
          </w:tcPr>
          <w:p w14:paraId="636C7DE0">
            <w:pPr>
              <w:jc w:val="center"/>
              <w:rPr>
                <w:iCs/>
                <w:sz w:val="18"/>
                <w:szCs w:val="18"/>
              </w:rPr>
            </w:pPr>
            <w:r>
              <w:rPr>
                <w:rFonts w:hint="eastAsia"/>
                <w:iCs/>
                <w:sz w:val="18"/>
                <w:szCs w:val="18"/>
              </w:rPr>
              <w:t>2</w:t>
            </w:r>
          </w:p>
        </w:tc>
        <w:tc>
          <w:tcPr>
            <w:tcW w:w="1045" w:type="dxa"/>
            <w:vAlign w:val="center"/>
          </w:tcPr>
          <w:p w14:paraId="09C6A1B3">
            <w:pPr>
              <w:adjustRightInd w:val="0"/>
              <w:snapToGrid w:val="0"/>
              <w:jc w:val="center"/>
              <w:rPr>
                <w:sz w:val="18"/>
                <w:szCs w:val="18"/>
              </w:rPr>
            </w:pPr>
            <w:r>
              <w:rPr>
                <w:rFonts w:hint="eastAsia"/>
                <w:sz w:val="18"/>
                <w:szCs w:val="18"/>
              </w:rPr>
              <w:t>考查</w:t>
            </w:r>
          </w:p>
        </w:tc>
      </w:tr>
      <w:tr w14:paraId="27C65DB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60" w:hRule="atLeast"/>
          <w:jc w:val="center"/>
        </w:trPr>
        <w:tc>
          <w:tcPr>
            <w:tcW w:w="571" w:type="dxa"/>
            <w:vMerge w:val="continue"/>
          </w:tcPr>
          <w:p w14:paraId="0D180A35">
            <w:pPr>
              <w:rPr>
                <w:b/>
                <w:sz w:val="18"/>
                <w:szCs w:val="18"/>
              </w:rPr>
            </w:pPr>
          </w:p>
        </w:tc>
        <w:tc>
          <w:tcPr>
            <w:tcW w:w="1226" w:type="dxa"/>
            <w:vMerge w:val="continue"/>
            <w:vAlign w:val="center"/>
          </w:tcPr>
          <w:p w14:paraId="73E718B7">
            <w:pPr>
              <w:adjustRightInd w:val="0"/>
              <w:snapToGrid w:val="0"/>
              <w:jc w:val="center"/>
              <w:rPr>
                <w:rFonts w:ascii="宋体" w:hAnsi="宋体" w:cs="宋体"/>
                <w:b/>
                <w:sz w:val="18"/>
                <w:szCs w:val="18"/>
              </w:rPr>
            </w:pPr>
          </w:p>
        </w:tc>
        <w:tc>
          <w:tcPr>
            <w:tcW w:w="3516" w:type="dxa"/>
            <w:vAlign w:val="center"/>
          </w:tcPr>
          <w:p w14:paraId="22BCEDDB">
            <w:pPr>
              <w:rPr>
                <w:i/>
                <w:sz w:val="18"/>
                <w:szCs w:val="18"/>
              </w:rPr>
            </w:pPr>
            <w:r>
              <w:rPr>
                <w:rFonts w:hint="eastAsia"/>
                <w:sz w:val="18"/>
                <w:szCs w:val="18"/>
              </w:rPr>
              <w:t>日美关系史专题</w:t>
            </w:r>
          </w:p>
        </w:tc>
        <w:tc>
          <w:tcPr>
            <w:tcW w:w="1081" w:type="dxa"/>
            <w:vAlign w:val="center"/>
          </w:tcPr>
          <w:p w14:paraId="1D32C49D">
            <w:pPr>
              <w:jc w:val="center"/>
              <w:rPr>
                <w:i/>
                <w:sz w:val="18"/>
                <w:szCs w:val="18"/>
              </w:rPr>
            </w:pPr>
            <w:r>
              <w:rPr>
                <w:rFonts w:hint="eastAsia"/>
                <w:sz w:val="18"/>
                <w:szCs w:val="18"/>
              </w:rPr>
              <w:t>XS</w:t>
            </w:r>
            <w:r>
              <w:rPr>
                <w:sz w:val="18"/>
                <w:szCs w:val="18"/>
              </w:rPr>
              <w:t>1904203</w:t>
            </w:r>
          </w:p>
        </w:tc>
        <w:tc>
          <w:tcPr>
            <w:tcW w:w="709" w:type="dxa"/>
            <w:vAlign w:val="center"/>
          </w:tcPr>
          <w:p w14:paraId="56F76E5A">
            <w:pPr>
              <w:jc w:val="center"/>
              <w:rPr>
                <w:iCs/>
                <w:sz w:val="18"/>
                <w:szCs w:val="18"/>
              </w:rPr>
            </w:pPr>
            <w:r>
              <w:rPr>
                <w:rFonts w:hint="eastAsia"/>
                <w:iCs/>
                <w:sz w:val="18"/>
                <w:szCs w:val="18"/>
              </w:rPr>
              <w:t>2</w:t>
            </w:r>
          </w:p>
        </w:tc>
        <w:tc>
          <w:tcPr>
            <w:tcW w:w="709" w:type="dxa"/>
            <w:vAlign w:val="center"/>
          </w:tcPr>
          <w:p w14:paraId="250F73C3">
            <w:pPr>
              <w:jc w:val="center"/>
              <w:rPr>
                <w:iCs/>
                <w:sz w:val="18"/>
                <w:szCs w:val="18"/>
              </w:rPr>
            </w:pPr>
            <w:r>
              <w:rPr>
                <w:rFonts w:hint="eastAsia"/>
                <w:iCs/>
                <w:sz w:val="18"/>
                <w:szCs w:val="18"/>
              </w:rPr>
              <w:t>1</w:t>
            </w:r>
          </w:p>
        </w:tc>
        <w:tc>
          <w:tcPr>
            <w:tcW w:w="1045" w:type="dxa"/>
            <w:vAlign w:val="center"/>
          </w:tcPr>
          <w:p w14:paraId="159BE848">
            <w:pPr>
              <w:adjustRightInd w:val="0"/>
              <w:snapToGrid w:val="0"/>
              <w:jc w:val="center"/>
              <w:rPr>
                <w:sz w:val="18"/>
                <w:szCs w:val="18"/>
              </w:rPr>
            </w:pPr>
            <w:r>
              <w:rPr>
                <w:rFonts w:hint="eastAsia"/>
                <w:sz w:val="18"/>
                <w:szCs w:val="18"/>
              </w:rPr>
              <w:t>考查</w:t>
            </w:r>
          </w:p>
        </w:tc>
      </w:tr>
      <w:tr w14:paraId="0D2D5C3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223" w:hRule="atLeast"/>
          <w:jc w:val="center"/>
        </w:trPr>
        <w:tc>
          <w:tcPr>
            <w:tcW w:w="571" w:type="dxa"/>
            <w:vMerge w:val="continue"/>
          </w:tcPr>
          <w:p w14:paraId="1800AD92">
            <w:pPr>
              <w:jc w:val="center"/>
            </w:pPr>
          </w:p>
        </w:tc>
        <w:tc>
          <w:tcPr>
            <w:tcW w:w="1226" w:type="dxa"/>
            <w:vMerge w:val="continue"/>
            <w:vAlign w:val="center"/>
          </w:tcPr>
          <w:p w14:paraId="7C02E98E">
            <w:pPr>
              <w:adjustRightInd w:val="0"/>
              <w:snapToGrid w:val="0"/>
              <w:jc w:val="center"/>
            </w:pPr>
          </w:p>
        </w:tc>
        <w:tc>
          <w:tcPr>
            <w:tcW w:w="3516" w:type="dxa"/>
            <w:vAlign w:val="center"/>
          </w:tcPr>
          <w:p w14:paraId="711C0D0A">
            <w:pPr>
              <w:rPr>
                <w:b/>
                <w:bCs/>
                <w:iCs/>
                <w:sz w:val="18"/>
                <w:szCs w:val="18"/>
              </w:rPr>
            </w:pPr>
            <w:r>
              <w:rPr>
                <w:sz w:val="18"/>
                <w:szCs w:val="18"/>
              </w:rPr>
              <w:t>西方政治思想史</w:t>
            </w:r>
          </w:p>
        </w:tc>
        <w:tc>
          <w:tcPr>
            <w:tcW w:w="1081" w:type="dxa"/>
            <w:shd w:val="clear" w:color="auto" w:fill="auto"/>
            <w:vAlign w:val="center"/>
          </w:tcPr>
          <w:p w14:paraId="77DCF73B">
            <w:pPr>
              <w:jc w:val="center"/>
              <w:rPr>
                <w:sz w:val="18"/>
                <w:szCs w:val="18"/>
              </w:rPr>
            </w:pPr>
            <w:r>
              <w:rPr>
                <w:rFonts w:hint="eastAsia"/>
                <w:sz w:val="18"/>
                <w:szCs w:val="18"/>
              </w:rPr>
              <w:t>XS</w:t>
            </w:r>
            <w:r>
              <w:rPr>
                <w:sz w:val="18"/>
                <w:szCs w:val="18"/>
              </w:rPr>
              <w:t>1904</w:t>
            </w:r>
            <w:r>
              <w:rPr>
                <w:rFonts w:hint="eastAsia"/>
                <w:sz w:val="18"/>
                <w:szCs w:val="18"/>
              </w:rPr>
              <w:t>2</w:t>
            </w:r>
            <w:r>
              <w:rPr>
                <w:sz w:val="18"/>
                <w:szCs w:val="18"/>
              </w:rPr>
              <w:t>06</w:t>
            </w:r>
          </w:p>
        </w:tc>
        <w:tc>
          <w:tcPr>
            <w:tcW w:w="709" w:type="dxa"/>
            <w:vAlign w:val="center"/>
          </w:tcPr>
          <w:p w14:paraId="7FD91C91">
            <w:pPr>
              <w:jc w:val="center"/>
              <w:rPr>
                <w:iCs/>
                <w:sz w:val="18"/>
                <w:szCs w:val="18"/>
              </w:rPr>
            </w:pPr>
            <w:r>
              <w:rPr>
                <w:rFonts w:hint="eastAsia"/>
                <w:iCs/>
                <w:sz w:val="18"/>
                <w:szCs w:val="18"/>
              </w:rPr>
              <w:t>2</w:t>
            </w:r>
          </w:p>
        </w:tc>
        <w:tc>
          <w:tcPr>
            <w:tcW w:w="709" w:type="dxa"/>
            <w:vAlign w:val="center"/>
          </w:tcPr>
          <w:p w14:paraId="3C1A502C">
            <w:pPr>
              <w:jc w:val="center"/>
              <w:rPr>
                <w:iCs/>
                <w:sz w:val="18"/>
                <w:szCs w:val="18"/>
              </w:rPr>
            </w:pPr>
            <w:r>
              <w:rPr>
                <w:rFonts w:hint="eastAsia"/>
                <w:iCs/>
                <w:sz w:val="18"/>
                <w:szCs w:val="18"/>
              </w:rPr>
              <w:t>2</w:t>
            </w:r>
          </w:p>
        </w:tc>
        <w:tc>
          <w:tcPr>
            <w:tcW w:w="1045" w:type="dxa"/>
            <w:vAlign w:val="center"/>
          </w:tcPr>
          <w:p w14:paraId="46B510AB">
            <w:pPr>
              <w:adjustRightInd w:val="0"/>
              <w:snapToGrid w:val="0"/>
              <w:jc w:val="center"/>
              <w:rPr>
                <w:i/>
                <w:sz w:val="18"/>
                <w:szCs w:val="18"/>
              </w:rPr>
            </w:pPr>
            <w:r>
              <w:rPr>
                <w:rFonts w:hint="eastAsia"/>
                <w:sz w:val="18"/>
                <w:szCs w:val="18"/>
              </w:rPr>
              <w:t>考查</w:t>
            </w:r>
          </w:p>
        </w:tc>
      </w:tr>
      <w:tr w14:paraId="0159F2F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60" w:hRule="atLeast"/>
          <w:jc w:val="center"/>
        </w:trPr>
        <w:tc>
          <w:tcPr>
            <w:tcW w:w="571" w:type="dxa"/>
            <w:vMerge w:val="continue"/>
          </w:tcPr>
          <w:p w14:paraId="3B8723C2">
            <w:pPr>
              <w:rPr>
                <w:b/>
                <w:sz w:val="18"/>
                <w:szCs w:val="18"/>
              </w:rPr>
            </w:pPr>
          </w:p>
        </w:tc>
        <w:tc>
          <w:tcPr>
            <w:tcW w:w="1226" w:type="dxa"/>
            <w:vMerge w:val="continue"/>
            <w:vAlign w:val="center"/>
          </w:tcPr>
          <w:p w14:paraId="74E967E5">
            <w:pPr>
              <w:adjustRightInd w:val="0"/>
              <w:snapToGrid w:val="0"/>
              <w:jc w:val="center"/>
              <w:rPr>
                <w:b/>
                <w:sz w:val="18"/>
                <w:szCs w:val="18"/>
              </w:rPr>
            </w:pPr>
          </w:p>
        </w:tc>
        <w:tc>
          <w:tcPr>
            <w:tcW w:w="3516" w:type="dxa"/>
            <w:vAlign w:val="center"/>
          </w:tcPr>
          <w:p w14:paraId="213E0DA9">
            <w:pPr>
              <w:rPr>
                <w:i/>
                <w:sz w:val="18"/>
                <w:szCs w:val="18"/>
              </w:rPr>
            </w:pPr>
            <w:r>
              <w:rPr>
                <w:rFonts w:hint="eastAsia"/>
                <w:sz w:val="18"/>
                <w:szCs w:val="18"/>
              </w:rPr>
              <w:t>西欧史专题</w:t>
            </w:r>
          </w:p>
        </w:tc>
        <w:tc>
          <w:tcPr>
            <w:tcW w:w="1081" w:type="dxa"/>
            <w:shd w:val="clear" w:color="auto" w:fill="auto"/>
            <w:vAlign w:val="center"/>
          </w:tcPr>
          <w:p w14:paraId="5127953E">
            <w:pPr>
              <w:jc w:val="center"/>
              <w:rPr>
                <w:i/>
                <w:sz w:val="18"/>
                <w:szCs w:val="18"/>
              </w:rPr>
            </w:pPr>
            <w:r>
              <w:rPr>
                <w:rFonts w:hint="eastAsia"/>
                <w:sz w:val="18"/>
                <w:szCs w:val="18"/>
              </w:rPr>
              <w:t>XS</w:t>
            </w:r>
            <w:r>
              <w:rPr>
                <w:sz w:val="18"/>
                <w:szCs w:val="18"/>
              </w:rPr>
              <w:t>1904204</w:t>
            </w:r>
          </w:p>
        </w:tc>
        <w:tc>
          <w:tcPr>
            <w:tcW w:w="709" w:type="dxa"/>
            <w:vAlign w:val="center"/>
          </w:tcPr>
          <w:p w14:paraId="01ECF53F">
            <w:pPr>
              <w:jc w:val="center"/>
              <w:rPr>
                <w:sz w:val="18"/>
                <w:szCs w:val="18"/>
              </w:rPr>
            </w:pPr>
            <w:r>
              <w:rPr>
                <w:rFonts w:hint="eastAsia"/>
                <w:iCs/>
                <w:sz w:val="18"/>
                <w:szCs w:val="18"/>
              </w:rPr>
              <w:t>2</w:t>
            </w:r>
          </w:p>
        </w:tc>
        <w:tc>
          <w:tcPr>
            <w:tcW w:w="709" w:type="dxa"/>
            <w:vAlign w:val="center"/>
          </w:tcPr>
          <w:p w14:paraId="6FC3E428">
            <w:pPr>
              <w:jc w:val="center"/>
              <w:rPr>
                <w:sz w:val="18"/>
                <w:szCs w:val="18"/>
              </w:rPr>
            </w:pPr>
            <w:r>
              <w:rPr>
                <w:sz w:val="18"/>
                <w:szCs w:val="18"/>
              </w:rPr>
              <w:t>2</w:t>
            </w:r>
          </w:p>
        </w:tc>
        <w:tc>
          <w:tcPr>
            <w:tcW w:w="1045" w:type="dxa"/>
            <w:vAlign w:val="center"/>
          </w:tcPr>
          <w:p w14:paraId="436F398D">
            <w:pPr>
              <w:adjustRightInd w:val="0"/>
              <w:snapToGrid w:val="0"/>
              <w:jc w:val="center"/>
              <w:rPr>
                <w:sz w:val="18"/>
                <w:szCs w:val="18"/>
              </w:rPr>
            </w:pPr>
            <w:r>
              <w:rPr>
                <w:rFonts w:hint="eastAsia"/>
                <w:sz w:val="18"/>
                <w:szCs w:val="18"/>
              </w:rPr>
              <w:t>考查</w:t>
            </w:r>
          </w:p>
        </w:tc>
      </w:tr>
      <w:tr w14:paraId="745FC7CC">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61" w:hRule="atLeast"/>
          <w:jc w:val="center"/>
        </w:trPr>
        <w:tc>
          <w:tcPr>
            <w:tcW w:w="571" w:type="dxa"/>
            <w:vMerge w:val="continue"/>
          </w:tcPr>
          <w:p w14:paraId="47DEF1B5">
            <w:pPr>
              <w:rPr>
                <w:b/>
                <w:sz w:val="18"/>
                <w:szCs w:val="18"/>
              </w:rPr>
            </w:pPr>
          </w:p>
        </w:tc>
        <w:tc>
          <w:tcPr>
            <w:tcW w:w="1226" w:type="dxa"/>
            <w:vMerge w:val="continue"/>
            <w:vAlign w:val="center"/>
          </w:tcPr>
          <w:p w14:paraId="79FAD666">
            <w:pPr>
              <w:adjustRightInd w:val="0"/>
              <w:snapToGrid w:val="0"/>
              <w:jc w:val="center"/>
              <w:rPr>
                <w:b/>
                <w:sz w:val="18"/>
                <w:szCs w:val="18"/>
              </w:rPr>
            </w:pPr>
          </w:p>
        </w:tc>
        <w:tc>
          <w:tcPr>
            <w:tcW w:w="3516" w:type="dxa"/>
            <w:vAlign w:val="center"/>
          </w:tcPr>
          <w:p w14:paraId="5C4DE2A1">
            <w:pPr>
              <w:rPr>
                <w:i/>
                <w:sz w:val="18"/>
                <w:szCs w:val="18"/>
              </w:rPr>
            </w:pPr>
            <w:r>
              <w:rPr>
                <w:rFonts w:hint="eastAsia"/>
                <w:sz w:val="18"/>
                <w:szCs w:val="18"/>
              </w:rPr>
              <w:t>德意志中古史专题</w:t>
            </w:r>
          </w:p>
        </w:tc>
        <w:tc>
          <w:tcPr>
            <w:tcW w:w="1081" w:type="dxa"/>
            <w:shd w:val="clear" w:color="auto" w:fill="auto"/>
            <w:vAlign w:val="center"/>
          </w:tcPr>
          <w:p w14:paraId="620B239C">
            <w:pPr>
              <w:jc w:val="center"/>
              <w:rPr>
                <w:sz w:val="18"/>
                <w:szCs w:val="18"/>
              </w:rPr>
            </w:pPr>
            <w:r>
              <w:rPr>
                <w:rFonts w:hint="eastAsia"/>
                <w:sz w:val="18"/>
                <w:szCs w:val="18"/>
              </w:rPr>
              <w:t>XS</w:t>
            </w:r>
            <w:r>
              <w:rPr>
                <w:sz w:val="18"/>
                <w:szCs w:val="18"/>
              </w:rPr>
              <w:t>1904</w:t>
            </w:r>
            <w:r>
              <w:rPr>
                <w:rFonts w:hint="eastAsia"/>
                <w:sz w:val="18"/>
                <w:szCs w:val="18"/>
              </w:rPr>
              <w:t>2</w:t>
            </w:r>
            <w:r>
              <w:rPr>
                <w:sz w:val="18"/>
                <w:szCs w:val="18"/>
              </w:rPr>
              <w:t>05</w:t>
            </w:r>
          </w:p>
        </w:tc>
        <w:tc>
          <w:tcPr>
            <w:tcW w:w="709" w:type="dxa"/>
            <w:vAlign w:val="center"/>
          </w:tcPr>
          <w:p w14:paraId="5417A68E">
            <w:pPr>
              <w:jc w:val="center"/>
              <w:rPr>
                <w:iCs/>
                <w:sz w:val="18"/>
                <w:szCs w:val="18"/>
              </w:rPr>
            </w:pPr>
            <w:r>
              <w:rPr>
                <w:rFonts w:hint="eastAsia"/>
                <w:iCs/>
                <w:sz w:val="18"/>
                <w:szCs w:val="18"/>
              </w:rPr>
              <w:t>2</w:t>
            </w:r>
          </w:p>
        </w:tc>
        <w:tc>
          <w:tcPr>
            <w:tcW w:w="709" w:type="dxa"/>
            <w:vAlign w:val="center"/>
          </w:tcPr>
          <w:p w14:paraId="1EB8FFAC">
            <w:pPr>
              <w:jc w:val="center"/>
              <w:rPr>
                <w:iCs/>
                <w:sz w:val="18"/>
                <w:szCs w:val="18"/>
              </w:rPr>
            </w:pPr>
            <w:r>
              <w:rPr>
                <w:rFonts w:hint="eastAsia"/>
                <w:iCs/>
                <w:sz w:val="18"/>
                <w:szCs w:val="18"/>
              </w:rPr>
              <w:t>2</w:t>
            </w:r>
          </w:p>
        </w:tc>
        <w:tc>
          <w:tcPr>
            <w:tcW w:w="1045" w:type="dxa"/>
            <w:vAlign w:val="center"/>
          </w:tcPr>
          <w:p w14:paraId="5A704956">
            <w:pPr>
              <w:adjustRightInd w:val="0"/>
              <w:snapToGrid w:val="0"/>
              <w:jc w:val="center"/>
              <w:rPr>
                <w:sz w:val="18"/>
                <w:szCs w:val="18"/>
              </w:rPr>
            </w:pPr>
            <w:r>
              <w:rPr>
                <w:rFonts w:hint="eastAsia"/>
                <w:sz w:val="18"/>
                <w:szCs w:val="18"/>
              </w:rPr>
              <w:t>考查</w:t>
            </w:r>
          </w:p>
        </w:tc>
      </w:tr>
      <w:tr w14:paraId="611DC11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4" w:hRule="atLeast"/>
          <w:jc w:val="center"/>
        </w:trPr>
        <w:tc>
          <w:tcPr>
            <w:tcW w:w="571" w:type="dxa"/>
            <w:vMerge w:val="restart"/>
            <w:vAlign w:val="center"/>
          </w:tcPr>
          <w:p w14:paraId="0B34F701">
            <w:pPr>
              <w:jc w:val="center"/>
              <w:rPr>
                <w:b/>
                <w:sz w:val="18"/>
                <w:szCs w:val="18"/>
              </w:rPr>
            </w:pPr>
            <w:r>
              <w:rPr>
                <w:b/>
                <w:sz w:val="18"/>
                <w:szCs w:val="18"/>
              </w:rPr>
              <w:t>必修环节</w:t>
            </w:r>
          </w:p>
          <w:p w14:paraId="762269C0">
            <w:pPr>
              <w:jc w:val="center"/>
              <w:rPr>
                <w:b/>
                <w:sz w:val="18"/>
                <w:szCs w:val="18"/>
              </w:rPr>
            </w:pPr>
          </w:p>
        </w:tc>
        <w:tc>
          <w:tcPr>
            <w:tcW w:w="1226" w:type="dxa"/>
            <w:vMerge w:val="restart"/>
            <w:vAlign w:val="center"/>
          </w:tcPr>
          <w:p w14:paraId="45749727">
            <w:pPr>
              <w:jc w:val="center"/>
              <w:rPr>
                <w:b/>
                <w:sz w:val="18"/>
                <w:szCs w:val="18"/>
              </w:rPr>
            </w:pPr>
            <w:r>
              <w:rPr>
                <w:b/>
                <w:sz w:val="18"/>
                <w:szCs w:val="18"/>
              </w:rPr>
              <w:t>素质拓展</w:t>
            </w:r>
          </w:p>
          <w:p w14:paraId="4B036D62">
            <w:pPr>
              <w:jc w:val="center"/>
              <w:rPr>
                <w:rFonts w:eastAsia="黑体"/>
              </w:rPr>
            </w:pPr>
            <w:r>
              <w:rPr>
                <w:rFonts w:hint="eastAsia"/>
                <w:b/>
                <w:sz w:val="18"/>
                <w:szCs w:val="18"/>
              </w:rPr>
              <w:t>（2学分）</w:t>
            </w:r>
          </w:p>
        </w:tc>
        <w:tc>
          <w:tcPr>
            <w:tcW w:w="3516" w:type="dxa"/>
            <w:vAlign w:val="center"/>
          </w:tcPr>
          <w:p w14:paraId="39BEFC93">
            <w:pPr>
              <w:rPr>
                <w:rFonts w:hint="eastAsia"/>
                <w:sz w:val="18"/>
                <w:szCs w:val="18"/>
              </w:rPr>
            </w:pPr>
            <w:r>
              <w:rPr>
                <w:rFonts w:hint="eastAsia"/>
                <w:sz w:val="18"/>
                <w:szCs w:val="18"/>
              </w:rPr>
              <w:t>入学教育</w:t>
            </w:r>
          </w:p>
        </w:tc>
        <w:tc>
          <w:tcPr>
            <w:tcW w:w="1081" w:type="dxa"/>
            <w:vAlign w:val="center"/>
          </w:tcPr>
          <w:p w14:paraId="338E5FCB">
            <w:pPr>
              <w:rPr>
                <w:rFonts w:hint="eastAsia"/>
                <w:sz w:val="18"/>
                <w:szCs w:val="18"/>
              </w:rPr>
            </w:pPr>
          </w:p>
        </w:tc>
        <w:tc>
          <w:tcPr>
            <w:tcW w:w="709" w:type="dxa"/>
            <w:vAlign w:val="center"/>
          </w:tcPr>
          <w:p w14:paraId="40CBF5F6">
            <w:pPr>
              <w:jc w:val="center"/>
              <w:rPr>
                <w:rFonts w:hint="eastAsia"/>
                <w:sz w:val="18"/>
                <w:szCs w:val="18"/>
              </w:rPr>
            </w:pPr>
            <w:r>
              <w:rPr>
                <w:rFonts w:hint="eastAsia"/>
                <w:sz w:val="18"/>
                <w:szCs w:val="18"/>
              </w:rPr>
              <w:t>0</w:t>
            </w:r>
          </w:p>
        </w:tc>
        <w:tc>
          <w:tcPr>
            <w:tcW w:w="709" w:type="dxa"/>
            <w:vAlign w:val="center"/>
          </w:tcPr>
          <w:p w14:paraId="0F6A05F3">
            <w:pPr>
              <w:jc w:val="center"/>
              <w:rPr>
                <w:rFonts w:hint="eastAsia"/>
                <w:sz w:val="18"/>
                <w:szCs w:val="18"/>
              </w:rPr>
            </w:pPr>
            <w:r>
              <w:rPr>
                <w:rFonts w:hint="eastAsia"/>
                <w:sz w:val="18"/>
                <w:szCs w:val="18"/>
              </w:rPr>
              <w:t>1</w:t>
            </w:r>
          </w:p>
        </w:tc>
        <w:tc>
          <w:tcPr>
            <w:tcW w:w="1045" w:type="dxa"/>
            <w:vMerge w:val="restart"/>
            <w:vAlign w:val="center"/>
          </w:tcPr>
          <w:p w14:paraId="05C62F2A">
            <w:pPr>
              <w:rPr>
                <w:i/>
                <w:sz w:val="18"/>
                <w:szCs w:val="18"/>
              </w:rPr>
            </w:pPr>
          </w:p>
        </w:tc>
      </w:tr>
      <w:tr w14:paraId="7092039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457" w:hRule="atLeast"/>
          <w:jc w:val="center"/>
        </w:trPr>
        <w:tc>
          <w:tcPr>
            <w:tcW w:w="571" w:type="dxa"/>
            <w:vMerge w:val="continue"/>
            <w:vAlign w:val="center"/>
          </w:tcPr>
          <w:p w14:paraId="7A32E8A0">
            <w:pPr>
              <w:jc w:val="center"/>
              <w:rPr>
                <w:b/>
                <w:color w:val="000000" w:themeColor="text1"/>
                <w:sz w:val="18"/>
                <w:szCs w:val="18"/>
                <w14:textFill>
                  <w14:solidFill>
                    <w14:schemeClr w14:val="tx1"/>
                  </w14:solidFill>
                </w14:textFill>
              </w:rPr>
            </w:pPr>
          </w:p>
        </w:tc>
        <w:tc>
          <w:tcPr>
            <w:tcW w:w="1226" w:type="dxa"/>
            <w:vMerge w:val="continue"/>
            <w:vAlign w:val="center"/>
          </w:tcPr>
          <w:p w14:paraId="5FB26512">
            <w:pPr>
              <w:jc w:val="center"/>
              <w:rPr>
                <w:b/>
                <w:color w:val="000000" w:themeColor="text1"/>
                <w:sz w:val="18"/>
                <w:szCs w:val="18"/>
                <w14:textFill>
                  <w14:solidFill>
                    <w14:schemeClr w14:val="tx1"/>
                  </w14:solidFill>
                </w14:textFill>
              </w:rPr>
            </w:pPr>
          </w:p>
        </w:tc>
        <w:tc>
          <w:tcPr>
            <w:tcW w:w="3516" w:type="dxa"/>
            <w:vAlign w:val="center"/>
          </w:tcPr>
          <w:p w14:paraId="11979B31">
            <w:pPr>
              <w:rPr>
                <w:rFonts w:hint="eastAsia"/>
                <w:sz w:val="18"/>
                <w:szCs w:val="18"/>
              </w:rPr>
            </w:pPr>
            <w:r>
              <w:rPr>
                <w:rFonts w:hint="eastAsia"/>
                <w:sz w:val="18"/>
                <w:szCs w:val="18"/>
              </w:rPr>
              <w:t>学术活动</w:t>
            </w:r>
          </w:p>
        </w:tc>
        <w:tc>
          <w:tcPr>
            <w:tcW w:w="1081" w:type="dxa"/>
            <w:vAlign w:val="center"/>
          </w:tcPr>
          <w:p w14:paraId="26913E67">
            <w:pPr>
              <w:rPr>
                <w:rFonts w:hint="eastAsia"/>
                <w:sz w:val="18"/>
                <w:szCs w:val="18"/>
              </w:rPr>
            </w:pPr>
          </w:p>
        </w:tc>
        <w:tc>
          <w:tcPr>
            <w:tcW w:w="709" w:type="dxa"/>
            <w:vAlign w:val="center"/>
          </w:tcPr>
          <w:p w14:paraId="6B814867">
            <w:pPr>
              <w:jc w:val="center"/>
              <w:rPr>
                <w:rFonts w:hint="eastAsia"/>
                <w:sz w:val="18"/>
                <w:szCs w:val="18"/>
              </w:rPr>
            </w:pPr>
            <w:r>
              <w:rPr>
                <w:rFonts w:hint="eastAsia"/>
                <w:sz w:val="18"/>
                <w:szCs w:val="18"/>
              </w:rPr>
              <w:t>1</w:t>
            </w:r>
          </w:p>
        </w:tc>
        <w:tc>
          <w:tcPr>
            <w:tcW w:w="709" w:type="dxa"/>
            <w:vAlign w:val="center"/>
          </w:tcPr>
          <w:p w14:paraId="1E185673">
            <w:pPr>
              <w:jc w:val="center"/>
              <w:rPr>
                <w:rFonts w:hint="eastAsia"/>
                <w:sz w:val="18"/>
                <w:szCs w:val="18"/>
              </w:rPr>
            </w:pPr>
          </w:p>
        </w:tc>
        <w:tc>
          <w:tcPr>
            <w:tcW w:w="1045" w:type="dxa"/>
            <w:vMerge w:val="continue"/>
            <w:vAlign w:val="center"/>
          </w:tcPr>
          <w:p w14:paraId="52518DE6">
            <w:pPr>
              <w:jc w:val="center"/>
              <w:rPr>
                <w:color w:val="000000" w:themeColor="text1"/>
                <w:sz w:val="18"/>
                <w:szCs w:val="18"/>
                <w14:textFill>
                  <w14:solidFill>
                    <w14:schemeClr w14:val="tx1"/>
                  </w14:solidFill>
                </w14:textFill>
              </w:rPr>
            </w:pPr>
          </w:p>
        </w:tc>
      </w:tr>
      <w:tr w14:paraId="4A6B91D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369" w:hRule="atLeast"/>
          <w:jc w:val="center"/>
        </w:trPr>
        <w:tc>
          <w:tcPr>
            <w:tcW w:w="571" w:type="dxa"/>
            <w:vMerge w:val="continue"/>
            <w:vAlign w:val="center"/>
          </w:tcPr>
          <w:p w14:paraId="62FEC986">
            <w:pPr>
              <w:jc w:val="center"/>
              <w:rPr>
                <w:b/>
                <w:color w:val="000000" w:themeColor="text1"/>
                <w:sz w:val="18"/>
                <w:szCs w:val="18"/>
                <w14:textFill>
                  <w14:solidFill>
                    <w14:schemeClr w14:val="tx1"/>
                  </w14:solidFill>
                </w14:textFill>
              </w:rPr>
            </w:pPr>
          </w:p>
        </w:tc>
        <w:tc>
          <w:tcPr>
            <w:tcW w:w="1226" w:type="dxa"/>
            <w:vMerge w:val="continue"/>
            <w:vAlign w:val="center"/>
          </w:tcPr>
          <w:p w14:paraId="11ED43BF">
            <w:pPr>
              <w:jc w:val="center"/>
              <w:rPr>
                <w:b/>
                <w:color w:val="000000" w:themeColor="text1"/>
                <w:sz w:val="18"/>
                <w:szCs w:val="18"/>
                <w14:textFill>
                  <w14:solidFill>
                    <w14:schemeClr w14:val="tx1"/>
                  </w14:solidFill>
                </w14:textFill>
              </w:rPr>
            </w:pPr>
          </w:p>
        </w:tc>
        <w:tc>
          <w:tcPr>
            <w:tcW w:w="3516" w:type="dxa"/>
            <w:vAlign w:val="center"/>
          </w:tcPr>
          <w:p w14:paraId="041C91AE">
            <w:pPr>
              <w:rPr>
                <w:rFonts w:hint="eastAsia"/>
                <w:sz w:val="18"/>
                <w:szCs w:val="18"/>
              </w:rPr>
            </w:pPr>
            <w:r>
              <w:rPr>
                <w:rFonts w:hint="eastAsia"/>
                <w:sz w:val="18"/>
                <w:szCs w:val="18"/>
              </w:rPr>
              <w:t>竞赛活动（参加本院及校内外研究生论坛、学术年会、论文竞赛等活动且提交论文）</w:t>
            </w:r>
          </w:p>
        </w:tc>
        <w:tc>
          <w:tcPr>
            <w:tcW w:w="1081" w:type="dxa"/>
            <w:vAlign w:val="center"/>
          </w:tcPr>
          <w:p w14:paraId="70FF9D28">
            <w:pPr>
              <w:rPr>
                <w:rFonts w:hint="eastAsia"/>
                <w:sz w:val="18"/>
                <w:szCs w:val="18"/>
              </w:rPr>
            </w:pPr>
          </w:p>
        </w:tc>
        <w:tc>
          <w:tcPr>
            <w:tcW w:w="709" w:type="dxa"/>
            <w:vAlign w:val="center"/>
          </w:tcPr>
          <w:p w14:paraId="20DB7215">
            <w:pPr>
              <w:jc w:val="center"/>
              <w:rPr>
                <w:rFonts w:hint="eastAsia"/>
                <w:sz w:val="18"/>
                <w:szCs w:val="18"/>
              </w:rPr>
            </w:pPr>
            <w:r>
              <w:rPr>
                <w:rFonts w:hint="eastAsia"/>
                <w:sz w:val="18"/>
                <w:szCs w:val="18"/>
              </w:rPr>
              <w:t>1</w:t>
            </w:r>
          </w:p>
        </w:tc>
        <w:tc>
          <w:tcPr>
            <w:tcW w:w="709" w:type="dxa"/>
            <w:vAlign w:val="center"/>
          </w:tcPr>
          <w:p w14:paraId="01253C64">
            <w:pPr>
              <w:jc w:val="center"/>
              <w:rPr>
                <w:rFonts w:hint="eastAsia"/>
                <w:sz w:val="18"/>
                <w:szCs w:val="18"/>
              </w:rPr>
            </w:pPr>
          </w:p>
        </w:tc>
        <w:tc>
          <w:tcPr>
            <w:tcW w:w="1045" w:type="dxa"/>
            <w:vMerge w:val="continue"/>
            <w:vAlign w:val="center"/>
          </w:tcPr>
          <w:p w14:paraId="5C8D912C">
            <w:pPr>
              <w:jc w:val="center"/>
              <w:rPr>
                <w:color w:val="000000" w:themeColor="text1"/>
                <w:sz w:val="18"/>
                <w:szCs w:val="18"/>
                <w14:textFill>
                  <w14:solidFill>
                    <w14:schemeClr w14:val="tx1"/>
                  </w14:solidFill>
                </w14:textFill>
              </w:rPr>
            </w:pPr>
          </w:p>
        </w:tc>
      </w:tr>
      <w:tr w14:paraId="58E1EFE6">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53041959">
            <w:pPr>
              <w:rPr>
                <w:b/>
                <w:color w:val="000000" w:themeColor="text1"/>
                <w:sz w:val="18"/>
                <w:szCs w:val="18"/>
                <w14:textFill>
                  <w14:solidFill>
                    <w14:schemeClr w14:val="tx1"/>
                  </w14:solidFill>
                </w14:textFill>
              </w:rPr>
            </w:pPr>
          </w:p>
        </w:tc>
        <w:tc>
          <w:tcPr>
            <w:tcW w:w="1226" w:type="dxa"/>
            <w:vMerge w:val="restart"/>
            <w:vAlign w:val="center"/>
          </w:tcPr>
          <w:p w14:paraId="0DB13227">
            <w:pPr>
              <w:jc w:val="center"/>
              <w:rPr>
                <w:b/>
                <w:color w:val="000000" w:themeColor="text1"/>
                <w:sz w:val="18"/>
                <w:szCs w:val="18"/>
                <w14:textFill>
                  <w14:solidFill>
                    <w14:schemeClr w14:val="tx1"/>
                  </w14:solidFill>
                </w14:textFill>
              </w:rPr>
            </w:pPr>
            <w:r>
              <w:rPr>
                <w:b/>
                <w:color w:val="000000" w:themeColor="text1"/>
                <w:sz w:val="18"/>
                <w:szCs w:val="18"/>
                <w14:textFill>
                  <w14:solidFill>
                    <w14:schemeClr w14:val="tx1"/>
                  </w14:solidFill>
                </w14:textFill>
              </w:rPr>
              <w:t>学术训练</w:t>
            </w:r>
          </w:p>
        </w:tc>
        <w:tc>
          <w:tcPr>
            <w:tcW w:w="3516" w:type="dxa"/>
            <w:vAlign w:val="center"/>
          </w:tcPr>
          <w:p w14:paraId="08D72824">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中期筛选</w:t>
            </w:r>
          </w:p>
        </w:tc>
        <w:tc>
          <w:tcPr>
            <w:tcW w:w="1081" w:type="dxa"/>
            <w:vAlign w:val="center"/>
          </w:tcPr>
          <w:p w14:paraId="76C899A9">
            <w:pPr>
              <w:jc w:val="center"/>
              <w:rPr>
                <w:sz w:val="18"/>
                <w:szCs w:val="18"/>
              </w:rPr>
            </w:pPr>
          </w:p>
        </w:tc>
        <w:tc>
          <w:tcPr>
            <w:tcW w:w="709" w:type="dxa"/>
            <w:vAlign w:val="center"/>
          </w:tcPr>
          <w:p w14:paraId="0D17415B">
            <w:pPr>
              <w:jc w:val="center"/>
              <w:rPr>
                <w:sz w:val="18"/>
                <w:szCs w:val="18"/>
              </w:rPr>
            </w:pPr>
          </w:p>
        </w:tc>
        <w:tc>
          <w:tcPr>
            <w:tcW w:w="709" w:type="dxa"/>
            <w:vAlign w:val="center"/>
          </w:tcPr>
          <w:p w14:paraId="2C3BDC88">
            <w:pPr>
              <w:jc w:val="center"/>
              <w:rPr>
                <w:iCs/>
                <w:sz w:val="18"/>
                <w:szCs w:val="18"/>
              </w:rPr>
            </w:pPr>
            <w:r>
              <w:rPr>
                <w:rFonts w:hint="eastAsia"/>
                <w:iCs/>
                <w:sz w:val="18"/>
                <w:szCs w:val="18"/>
              </w:rPr>
              <w:t>3</w:t>
            </w:r>
          </w:p>
        </w:tc>
        <w:tc>
          <w:tcPr>
            <w:tcW w:w="1045" w:type="dxa"/>
            <w:vMerge w:val="restart"/>
            <w:vAlign w:val="center"/>
          </w:tcPr>
          <w:p w14:paraId="3D322932">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过程管理</w:t>
            </w:r>
          </w:p>
          <w:p w14:paraId="061A5433">
            <w:pPr>
              <w:jc w:val="cente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无学分</w:t>
            </w:r>
          </w:p>
        </w:tc>
      </w:tr>
      <w:tr w14:paraId="3B6C5A67">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00EBA68B">
            <w:pPr>
              <w:rPr>
                <w:b/>
                <w:color w:val="000000" w:themeColor="text1"/>
                <w:sz w:val="18"/>
                <w:szCs w:val="18"/>
                <w14:textFill>
                  <w14:solidFill>
                    <w14:schemeClr w14:val="tx1"/>
                  </w14:solidFill>
                </w14:textFill>
              </w:rPr>
            </w:pPr>
          </w:p>
        </w:tc>
        <w:tc>
          <w:tcPr>
            <w:tcW w:w="1226" w:type="dxa"/>
            <w:vMerge w:val="continue"/>
            <w:vAlign w:val="center"/>
          </w:tcPr>
          <w:p w14:paraId="77B9F7FE">
            <w:pPr>
              <w:jc w:val="center"/>
              <w:rPr>
                <w:b/>
                <w:color w:val="000000" w:themeColor="text1"/>
                <w:sz w:val="18"/>
                <w:szCs w:val="18"/>
                <w14:textFill>
                  <w14:solidFill>
                    <w14:schemeClr w14:val="tx1"/>
                  </w14:solidFill>
                </w14:textFill>
              </w:rPr>
            </w:pPr>
          </w:p>
        </w:tc>
        <w:tc>
          <w:tcPr>
            <w:tcW w:w="3516" w:type="dxa"/>
            <w:vAlign w:val="center"/>
          </w:tcPr>
          <w:p w14:paraId="08E4A465">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论文开题</w:t>
            </w:r>
          </w:p>
        </w:tc>
        <w:tc>
          <w:tcPr>
            <w:tcW w:w="1081" w:type="dxa"/>
            <w:vAlign w:val="center"/>
          </w:tcPr>
          <w:p w14:paraId="509DB8BD">
            <w:pPr>
              <w:jc w:val="center"/>
              <w:rPr>
                <w:sz w:val="18"/>
                <w:szCs w:val="18"/>
              </w:rPr>
            </w:pPr>
          </w:p>
        </w:tc>
        <w:tc>
          <w:tcPr>
            <w:tcW w:w="709" w:type="dxa"/>
            <w:vAlign w:val="center"/>
          </w:tcPr>
          <w:p w14:paraId="6568A20A">
            <w:pPr>
              <w:jc w:val="center"/>
              <w:rPr>
                <w:sz w:val="18"/>
                <w:szCs w:val="18"/>
              </w:rPr>
            </w:pPr>
          </w:p>
        </w:tc>
        <w:tc>
          <w:tcPr>
            <w:tcW w:w="709" w:type="dxa"/>
            <w:vAlign w:val="center"/>
          </w:tcPr>
          <w:p w14:paraId="6C8A6D29">
            <w:pPr>
              <w:jc w:val="center"/>
              <w:rPr>
                <w:iCs/>
                <w:sz w:val="18"/>
                <w:szCs w:val="18"/>
              </w:rPr>
            </w:pPr>
            <w:r>
              <w:rPr>
                <w:rFonts w:hint="eastAsia"/>
                <w:iCs/>
                <w:sz w:val="18"/>
                <w:szCs w:val="18"/>
                <w:lang w:val="en-US" w:eastAsia="zh-CN"/>
              </w:rPr>
              <w:t>3-</w:t>
            </w:r>
            <w:r>
              <w:rPr>
                <w:rFonts w:hint="eastAsia"/>
                <w:iCs/>
                <w:sz w:val="18"/>
                <w:szCs w:val="18"/>
              </w:rPr>
              <w:t>4</w:t>
            </w:r>
          </w:p>
        </w:tc>
        <w:tc>
          <w:tcPr>
            <w:tcW w:w="1045" w:type="dxa"/>
            <w:vMerge w:val="continue"/>
            <w:vAlign w:val="center"/>
          </w:tcPr>
          <w:p w14:paraId="4FF48DD4">
            <w:pPr>
              <w:jc w:val="center"/>
              <w:rPr>
                <w:color w:val="000000" w:themeColor="text1"/>
                <w:sz w:val="18"/>
                <w:szCs w:val="18"/>
                <w14:textFill>
                  <w14:solidFill>
                    <w14:schemeClr w14:val="tx1"/>
                  </w14:solidFill>
                </w14:textFill>
              </w:rPr>
            </w:pPr>
          </w:p>
        </w:tc>
      </w:tr>
      <w:tr w14:paraId="626B02C2">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156CC51">
            <w:pPr>
              <w:rPr>
                <w:b/>
                <w:color w:val="000000" w:themeColor="text1"/>
                <w:sz w:val="18"/>
                <w:szCs w:val="18"/>
                <w14:textFill>
                  <w14:solidFill>
                    <w14:schemeClr w14:val="tx1"/>
                  </w14:solidFill>
                </w14:textFill>
              </w:rPr>
            </w:pPr>
          </w:p>
        </w:tc>
        <w:tc>
          <w:tcPr>
            <w:tcW w:w="1226" w:type="dxa"/>
            <w:vMerge w:val="continue"/>
            <w:vAlign w:val="center"/>
          </w:tcPr>
          <w:p w14:paraId="1D175B99">
            <w:pPr>
              <w:jc w:val="center"/>
              <w:rPr>
                <w:b/>
                <w:color w:val="000000" w:themeColor="text1"/>
                <w:sz w:val="18"/>
                <w:szCs w:val="18"/>
                <w14:textFill>
                  <w14:solidFill>
                    <w14:schemeClr w14:val="tx1"/>
                  </w14:solidFill>
                </w14:textFill>
              </w:rPr>
            </w:pPr>
          </w:p>
        </w:tc>
        <w:tc>
          <w:tcPr>
            <w:tcW w:w="3516" w:type="dxa"/>
            <w:vAlign w:val="center"/>
          </w:tcPr>
          <w:p w14:paraId="4B108123">
            <w:pPr>
              <w:rPr>
                <w:sz w:val="18"/>
                <w:szCs w:val="18"/>
              </w:rPr>
            </w:pPr>
            <w:r>
              <w:rPr>
                <w:sz w:val="18"/>
                <w:szCs w:val="18"/>
              </w:rPr>
              <w:t>论文中期进展报告</w:t>
            </w:r>
          </w:p>
        </w:tc>
        <w:tc>
          <w:tcPr>
            <w:tcW w:w="1081" w:type="dxa"/>
            <w:vAlign w:val="center"/>
          </w:tcPr>
          <w:p w14:paraId="6534C47A">
            <w:pPr>
              <w:jc w:val="center"/>
              <w:rPr>
                <w:sz w:val="18"/>
                <w:szCs w:val="18"/>
              </w:rPr>
            </w:pPr>
          </w:p>
        </w:tc>
        <w:tc>
          <w:tcPr>
            <w:tcW w:w="709" w:type="dxa"/>
            <w:vAlign w:val="center"/>
          </w:tcPr>
          <w:p w14:paraId="30AFC508">
            <w:pPr>
              <w:jc w:val="center"/>
              <w:rPr>
                <w:sz w:val="18"/>
                <w:szCs w:val="18"/>
              </w:rPr>
            </w:pPr>
          </w:p>
        </w:tc>
        <w:tc>
          <w:tcPr>
            <w:tcW w:w="709" w:type="dxa"/>
            <w:vAlign w:val="center"/>
          </w:tcPr>
          <w:p w14:paraId="56C8399D">
            <w:pPr>
              <w:jc w:val="center"/>
              <w:rPr>
                <w:iCs/>
                <w:sz w:val="18"/>
                <w:szCs w:val="18"/>
              </w:rPr>
            </w:pPr>
            <w:r>
              <w:rPr>
                <w:rFonts w:hint="eastAsia"/>
                <w:iCs/>
                <w:sz w:val="18"/>
                <w:szCs w:val="18"/>
              </w:rPr>
              <w:t>5</w:t>
            </w:r>
          </w:p>
        </w:tc>
        <w:tc>
          <w:tcPr>
            <w:tcW w:w="1045" w:type="dxa"/>
            <w:vMerge w:val="continue"/>
          </w:tcPr>
          <w:p w14:paraId="517D7DDB">
            <w:pPr>
              <w:jc w:val="center"/>
              <w:rPr>
                <w:color w:val="000000" w:themeColor="text1"/>
                <w:sz w:val="18"/>
                <w:szCs w:val="18"/>
                <w14:textFill>
                  <w14:solidFill>
                    <w14:schemeClr w14:val="tx1"/>
                  </w14:solidFill>
                </w14:textFill>
              </w:rPr>
            </w:pPr>
          </w:p>
        </w:tc>
      </w:tr>
      <w:tr w14:paraId="71EE482F">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42F6BC27">
            <w:pPr>
              <w:rPr>
                <w:b/>
                <w:color w:val="000000" w:themeColor="text1"/>
                <w:sz w:val="18"/>
                <w:szCs w:val="18"/>
                <w14:textFill>
                  <w14:solidFill>
                    <w14:schemeClr w14:val="tx1"/>
                  </w14:solidFill>
                </w14:textFill>
              </w:rPr>
            </w:pPr>
          </w:p>
        </w:tc>
        <w:tc>
          <w:tcPr>
            <w:tcW w:w="1226" w:type="dxa"/>
            <w:vMerge w:val="continue"/>
            <w:vAlign w:val="center"/>
          </w:tcPr>
          <w:p w14:paraId="38109E58">
            <w:pPr>
              <w:jc w:val="center"/>
              <w:rPr>
                <w:b/>
                <w:color w:val="000000" w:themeColor="text1"/>
                <w:sz w:val="18"/>
                <w:szCs w:val="18"/>
                <w14:textFill>
                  <w14:solidFill>
                    <w14:schemeClr w14:val="tx1"/>
                  </w14:solidFill>
                </w14:textFill>
              </w:rPr>
            </w:pPr>
          </w:p>
        </w:tc>
        <w:tc>
          <w:tcPr>
            <w:tcW w:w="3516" w:type="dxa"/>
            <w:vAlign w:val="center"/>
          </w:tcPr>
          <w:p w14:paraId="419D4A3E">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论文预答辩</w:t>
            </w:r>
          </w:p>
        </w:tc>
        <w:tc>
          <w:tcPr>
            <w:tcW w:w="1081" w:type="dxa"/>
            <w:vAlign w:val="center"/>
          </w:tcPr>
          <w:p w14:paraId="464B6DBD">
            <w:pPr>
              <w:jc w:val="center"/>
              <w:rPr>
                <w:sz w:val="18"/>
                <w:szCs w:val="18"/>
              </w:rPr>
            </w:pPr>
          </w:p>
        </w:tc>
        <w:tc>
          <w:tcPr>
            <w:tcW w:w="709" w:type="dxa"/>
            <w:vAlign w:val="center"/>
          </w:tcPr>
          <w:p w14:paraId="3589D976">
            <w:pPr>
              <w:jc w:val="center"/>
              <w:rPr>
                <w:sz w:val="18"/>
                <w:szCs w:val="18"/>
              </w:rPr>
            </w:pPr>
          </w:p>
        </w:tc>
        <w:tc>
          <w:tcPr>
            <w:tcW w:w="709" w:type="dxa"/>
            <w:vAlign w:val="center"/>
          </w:tcPr>
          <w:p w14:paraId="6C99CED8">
            <w:pPr>
              <w:jc w:val="center"/>
              <w:rPr>
                <w:iCs/>
                <w:sz w:val="18"/>
                <w:szCs w:val="18"/>
              </w:rPr>
            </w:pPr>
            <w:r>
              <w:rPr>
                <w:rFonts w:hint="eastAsia"/>
                <w:iCs/>
                <w:sz w:val="18"/>
                <w:szCs w:val="18"/>
              </w:rPr>
              <w:t>6</w:t>
            </w:r>
          </w:p>
        </w:tc>
        <w:tc>
          <w:tcPr>
            <w:tcW w:w="1045" w:type="dxa"/>
            <w:vMerge w:val="continue"/>
          </w:tcPr>
          <w:p w14:paraId="5B708D2A">
            <w:pPr>
              <w:jc w:val="center"/>
              <w:rPr>
                <w:color w:val="000000" w:themeColor="text1"/>
                <w:sz w:val="18"/>
                <w:szCs w:val="18"/>
                <w14:textFill>
                  <w14:solidFill>
                    <w14:schemeClr w14:val="tx1"/>
                  </w14:solidFill>
                </w14:textFill>
              </w:rPr>
            </w:pPr>
          </w:p>
        </w:tc>
      </w:tr>
      <w:tr w14:paraId="15A9FFD8">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2F67701A">
            <w:pPr>
              <w:rPr>
                <w:color w:val="000000" w:themeColor="text1"/>
                <w:sz w:val="18"/>
                <w:szCs w:val="18"/>
                <w14:textFill>
                  <w14:solidFill>
                    <w14:schemeClr w14:val="tx1"/>
                  </w14:solidFill>
                </w14:textFill>
              </w:rPr>
            </w:pPr>
          </w:p>
        </w:tc>
        <w:tc>
          <w:tcPr>
            <w:tcW w:w="1226" w:type="dxa"/>
            <w:vMerge w:val="continue"/>
          </w:tcPr>
          <w:p w14:paraId="172CCFCB">
            <w:pPr>
              <w:jc w:val="center"/>
              <w:rPr>
                <w:color w:val="000000" w:themeColor="text1"/>
                <w:sz w:val="18"/>
                <w:szCs w:val="18"/>
                <w14:textFill>
                  <w14:solidFill>
                    <w14:schemeClr w14:val="tx1"/>
                  </w14:solidFill>
                </w14:textFill>
              </w:rPr>
            </w:pPr>
          </w:p>
        </w:tc>
        <w:tc>
          <w:tcPr>
            <w:tcW w:w="3516" w:type="dxa"/>
            <w:vAlign w:val="center"/>
          </w:tcPr>
          <w:p w14:paraId="49331768">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论文评审</w:t>
            </w:r>
          </w:p>
        </w:tc>
        <w:tc>
          <w:tcPr>
            <w:tcW w:w="1081" w:type="dxa"/>
            <w:vAlign w:val="center"/>
          </w:tcPr>
          <w:p w14:paraId="5CCF6FC0">
            <w:pPr>
              <w:jc w:val="center"/>
              <w:rPr>
                <w:color w:val="000000" w:themeColor="text1"/>
                <w:sz w:val="18"/>
                <w:szCs w:val="18"/>
                <w14:textFill>
                  <w14:solidFill>
                    <w14:schemeClr w14:val="tx1"/>
                  </w14:solidFill>
                </w14:textFill>
              </w:rPr>
            </w:pPr>
          </w:p>
        </w:tc>
        <w:tc>
          <w:tcPr>
            <w:tcW w:w="709" w:type="dxa"/>
            <w:vAlign w:val="center"/>
          </w:tcPr>
          <w:p w14:paraId="5A0D7B73">
            <w:pPr>
              <w:jc w:val="center"/>
              <w:rPr>
                <w:color w:val="000000" w:themeColor="text1"/>
                <w:sz w:val="18"/>
                <w:szCs w:val="18"/>
                <w14:textFill>
                  <w14:solidFill>
                    <w14:schemeClr w14:val="tx1"/>
                  </w14:solidFill>
                </w14:textFill>
              </w:rPr>
            </w:pPr>
          </w:p>
        </w:tc>
        <w:tc>
          <w:tcPr>
            <w:tcW w:w="709" w:type="dxa"/>
            <w:vAlign w:val="center"/>
          </w:tcPr>
          <w:p w14:paraId="371B4D28">
            <w:pPr>
              <w:jc w:val="cente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6</w:t>
            </w:r>
          </w:p>
        </w:tc>
        <w:tc>
          <w:tcPr>
            <w:tcW w:w="1045" w:type="dxa"/>
            <w:vMerge w:val="continue"/>
          </w:tcPr>
          <w:p w14:paraId="5B2ECB21">
            <w:pPr>
              <w:jc w:val="center"/>
              <w:rPr>
                <w:color w:val="000000" w:themeColor="text1"/>
                <w:sz w:val="18"/>
                <w:szCs w:val="18"/>
                <w14:textFill>
                  <w14:solidFill>
                    <w14:schemeClr w14:val="tx1"/>
                  </w14:solidFill>
                </w14:textFill>
              </w:rPr>
            </w:pPr>
          </w:p>
        </w:tc>
      </w:tr>
      <w:tr w14:paraId="4B2AE17E">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jc w:val="center"/>
        </w:trPr>
        <w:tc>
          <w:tcPr>
            <w:tcW w:w="571" w:type="dxa"/>
            <w:vMerge w:val="continue"/>
          </w:tcPr>
          <w:p w14:paraId="1D44F195">
            <w:pPr>
              <w:rPr>
                <w:color w:val="000000" w:themeColor="text1"/>
                <w:sz w:val="18"/>
                <w:szCs w:val="18"/>
                <w14:textFill>
                  <w14:solidFill>
                    <w14:schemeClr w14:val="tx1"/>
                  </w14:solidFill>
                </w14:textFill>
              </w:rPr>
            </w:pPr>
          </w:p>
        </w:tc>
        <w:tc>
          <w:tcPr>
            <w:tcW w:w="1226" w:type="dxa"/>
            <w:vMerge w:val="continue"/>
          </w:tcPr>
          <w:p w14:paraId="26DA393C">
            <w:pPr>
              <w:jc w:val="center"/>
              <w:rPr>
                <w:color w:val="000000" w:themeColor="text1"/>
                <w:sz w:val="18"/>
                <w:szCs w:val="18"/>
                <w14:textFill>
                  <w14:solidFill>
                    <w14:schemeClr w14:val="tx1"/>
                  </w14:solidFill>
                </w14:textFill>
              </w:rPr>
            </w:pPr>
          </w:p>
        </w:tc>
        <w:tc>
          <w:tcPr>
            <w:tcW w:w="3516" w:type="dxa"/>
            <w:vAlign w:val="center"/>
          </w:tcPr>
          <w:p w14:paraId="0D86E3B2">
            <w:pPr>
              <w:rPr>
                <w:color w:val="000000" w:themeColor="text1"/>
                <w:sz w:val="18"/>
                <w:szCs w:val="18"/>
                <w14:textFill>
                  <w14:solidFill>
                    <w14:schemeClr w14:val="tx1"/>
                  </w14:solidFill>
                </w14:textFill>
              </w:rPr>
            </w:pPr>
            <w:r>
              <w:rPr>
                <w:color w:val="000000" w:themeColor="text1"/>
                <w:sz w:val="18"/>
                <w:szCs w:val="18"/>
                <w14:textFill>
                  <w14:solidFill>
                    <w14:schemeClr w14:val="tx1"/>
                  </w14:solidFill>
                </w14:textFill>
              </w:rPr>
              <w:t>论文答辩</w:t>
            </w:r>
          </w:p>
        </w:tc>
        <w:tc>
          <w:tcPr>
            <w:tcW w:w="1081" w:type="dxa"/>
            <w:vAlign w:val="center"/>
          </w:tcPr>
          <w:p w14:paraId="22C8AD3B">
            <w:pPr>
              <w:jc w:val="center"/>
              <w:rPr>
                <w:color w:val="000000" w:themeColor="text1"/>
                <w:sz w:val="18"/>
                <w:szCs w:val="18"/>
                <w14:textFill>
                  <w14:solidFill>
                    <w14:schemeClr w14:val="tx1"/>
                  </w14:solidFill>
                </w14:textFill>
              </w:rPr>
            </w:pPr>
          </w:p>
        </w:tc>
        <w:tc>
          <w:tcPr>
            <w:tcW w:w="709" w:type="dxa"/>
            <w:vAlign w:val="center"/>
          </w:tcPr>
          <w:p w14:paraId="65FF4A58">
            <w:pPr>
              <w:jc w:val="center"/>
              <w:rPr>
                <w:color w:val="000000" w:themeColor="text1"/>
                <w:sz w:val="18"/>
                <w:szCs w:val="18"/>
                <w14:textFill>
                  <w14:solidFill>
                    <w14:schemeClr w14:val="tx1"/>
                  </w14:solidFill>
                </w14:textFill>
              </w:rPr>
            </w:pPr>
          </w:p>
        </w:tc>
        <w:tc>
          <w:tcPr>
            <w:tcW w:w="709" w:type="dxa"/>
            <w:vAlign w:val="center"/>
          </w:tcPr>
          <w:p w14:paraId="0B3AB0AA">
            <w:pPr>
              <w:jc w:val="center"/>
              <w:rPr>
                <w:iCs/>
                <w:color w:val="000000" w:themeColor="text1"/>
                <w:sz w:val="18"/>
                <w:szCs w:val="18"/>
                <w14:textFill>
                  <w14:solidFill>
                    <w14:schemeClr w14:val="tx1"/>
                  </w14:solidFill>
                </w14:textFill>
              </w:rPr>
            </w:pPr>
            <w:r>
              <w:rPr>
                <w:iCs/>
                <w:color w:val="000000" w:themeColor="text1"/>
                <w:sz w:val="18"/>
                <w:szCs w:val="18"/>
                <w14:textFill>
                  <w14:solidFill>
                    <w14:schemeClr w14:val="tx1"/>
                  </w14:solidFill>
                </w14:textFill>
              </w:rPr>
              <w:t>6</w:t>
            </w:r>
          </w:p>
        </w:tc>
        <w:tc>
          <w:tcPr>
            <w:tcW w:w="1045" w:type="dxa"/>
            <w:vMerge w:val="continue"/>
          </w:tcPr>
          <w:p w14:paraId="38FE6792">
            <w:pPr>
              <w:jc w:val="center"/>
              <w:rPr>
                <w:color w:val="000000" w:themeColor="text1"/>
                <w:sz w:val="18"/>
                <w:szCs w:val="18"/>
                <w14:textFill>
                  <w14:solidFill>
                    <w14:schemeClr w14:val="tx1"/>
                  </w14:solidFill>
                </w14:textFill>
              </w:rPr>
            </w:pPr>
          </w:p>
        </w:tc>
      </w:tr>
    </w:tbl>
    <w:p w14:paraId="6F238E48">
      <w:pPr>
        <w:spacing w:line="440" w:lineRule="exact"/>
        <w:ind w:firstLine="560" w:firstLineChars="200"/>
        <w:rPr>
          <w:rFonts w:eastAsia="黑体"/>
          <w:bCs/>
          <w:sz w:val="28"/>
          <w:szCs w:val="28"/>
        </w:rPr>
      </w:pPr>
      <w:r>
        <w:rPr>
          <w:rFonts w:eastAsia="黑体"/>
          <w:bCs/>
          <w:sz w:val="28"/>
          <w:szCs w:val="28"/>
        </w:rPr>
        <w:t>十</w:t>
      </w:r>
      <w:r>
        <w:rPr>
          <w:rFonts w:hint="eastAsia" w:eastAsia="黑体"/>
          <w:bCs/>
          <w:sz w:val="28"/>
          <w:szCs w:val="28"/>
        </w:rPr>
        <w:t>三</w:t>
      </w:r>
      <w:r>
        <w:rPr>
          <w:rFonts w:eastAsia="黑体"/>
          <w:bCs/>
          <w:sz w:val="28"/>
          <w:szCs w:val="28"/>
        </w:rPr>
        <w:t>、其他需要说明事项</w:t>
      </w:r>
    </w:p>
    <w:p w14:paraId="124ECF45">
      <w:pPr>
        <w:spacing w:line="360" w:lineRule="auto"/>
        <w:ind w:firstLine="480" w:firstLineChars="200"/>
        <w:rPr>
          <w:rFonts w:ascii="Times New Roman" w:hAnsi="Times New Roman" w:eastAsiaTheme="minorEastAsia"/>
          <w:bCs/>
          <w:sz w:val="24"/>
        </w:rPr>
      </w:pPr>
      <w:r>
        <w:rPr>
          <w:rFonts w:hint="eastAsia" w:eastAsiaTheme="minorEastAsia"/>
          <w:bCs/>
          <w:sz w:val="24"/>
          <w:lang w:val="en-US" w:eastAsia="zh-CN"/>
        </w:rPr>
        <w:t>1.</w:t>
      </w:r>
      <w:r>
        <w:rPr>
          <w:rFonts w:ascii="Times New Roman" w:hAnsi="Times New Roman" w:eastAsiaTheme="minorEastAsia"/>
          <w:bCs/>
          <w:sz w:val="24"/>
        </w:rPr>
        <w:t>公共外语课程按入学时的外国语考试科目修读相关语种。</w:t>
      </w:r>
    </w:p>
    <w:p w14:paraId="71C79FEA">
      <w:pPr>
        <w:spacing w:line="360" w:lineRule="auto"/>
        <w:ind w:firstLine="480" w:firstLineChars="200"/>
        <w:rPr>
          <w:rFonts w:ascii="Times New Roman" w:hAnsi="Times New Roman"/>
        </w:rPr>
      </w:pPr>
      <w:r>
        <w:rPr>
          <w:rFonts w:hint="eastAsia" w:eastAsiaTheme="minorEastAsia" w:cstheme="minorEastAsia"/>
          <w:bCs/>
          <w:sz w:val="24"/>
          <w:lang w:val="en-US" w:eastAsia="zh-CN"/>
        </w:rPr>
        <w:t>2.</w:t>
      </w:r>
      <w:bookmarkStart w:id="0" w:name="_GoBack"/>
      <w:bookmarkEnd w:id="0"/>
      <w:r>
        <w:rPr>
          <w:rFonts w:hint="eastAsia" w:ascii="Times New Roman" w:hAnsi="Times New Roman" w:eastAsiaTheme="minorEastAsia" w:cstheme="minorEastAsia"/>
          <w:bCs/>
          <w:sz w:val="24"/>
        </w:rPr>
        <w:t>10人以上专业方向至少1/2人数选修才能开课，10人以下专业方向至少1/3人数选修才能开课。</w:t>
      </w:r>
    </w:p>
    <w:p w14:paraId="4A6CAF78">
      <w:pPr>
        <w:spacing w:line="440" w:lineRule="exact"/>
        <w:ind w:firstLine="480" w:firstLineChars="200"/>
        <w:rPr>
          <w:rFonts w:eastAsia="黑体"/>
          <w:bCs/>
          <w:sz w:val="24"/>
        </w:rPr>
      </w:pPr>
    </w:p>
    <w:sectPr>
      <w:pgSz w:w="11906" w:h="16838"/>
      <w:pgMar w:top="1418" w:right="1418" w:bottom="1247"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Cambria">
    <w:panose1 w:val="02040503050406030204"/>
    <w:charset w:val="00"/>
    <w:family w:val="roman"/>
    <w:pitch w:val="default"/>
    <w:sig w:usb0="E00006FF" w:usb1="420024FF" w:usb2="02000000" w:usb3="00000000" w:csb0="2000019F" w:csb1="00000000"/>
  </w:font>
  <w:font w:name="Georgia">
    <w:panose1 w:val="02040502050405020303"/>
    <w:charset w:val="00"/>
    <w:family w:val="roman"/>
    <w:pitch w:val="default"/>
    <w:sig w:usb0="00000287" w:usb1="00000000" w:usb2="00000000" w:usb3="00000000" w:csb0="2000009F" w:csb1="00000000"/>
  </w:font>
  <w:font w:name="仿宋_GB2312">
    <w:panose1 w:val="02010609030101010101"/>
    <w:charset w:val="86"/>
    <w:family w:val="modern"/>
    <w:pitch w:val="default"/>
    <w:sig w:usb0="00000001" w:usb1="080E0000" w:usb2="00000000" w:usb3="00000000" w:csb0="00040000" w:csb1="00000000"/>
  </w:font>
  <w:font w:name="ˎ̥">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F8C013"/>
    <w:multiLevelType w:val="singleLevel"/>
    <w:tmpl w:val="90F8C013"/>
    <w:lvl w:ilvl="0" w:tentative="0">
      <w:start w:val="3"/>
      <w:numFmt w:val="decimal"/>
      <w:lvlText w:val="%1."/>
      <w:lvlJc w:val="left"/>
      <w:pPr>
        <w:tabs>
          <w:tab w:val="left" w:pos="312"/>
        </w:tabs>
      </w:pPr>
      <w:rPr>
        <w:rFonts w:hint="default"/>
        <w:i w:val="0"/>
        <w:iCs w:val="0"/>
        <w:color w:val="auto"/>
      </w:rPr>
    </w:lvl>
  </w:abstractNum>
  <w:abstractNum w:abstractNumId="1">
    <w:nsid w:val="5A97D9F0"/>
    <w:multiLevelType w:val="singleLevel"/>
    <w:tmpl w:val="5A97D9F0"/>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55CA2"/>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2968"/>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057"/>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07E4"/>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5C76"/>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26"/>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52D"/>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9F7"/>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2A25"/>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07F6"/>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0C3"/>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2AFF"/>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4B05"/>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2E4B"/>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394"/>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169"/>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012A0989"/>
    <w:rsid w:val="018A7679"/>
    <w:rsid w:val="03BA7024"/>
    <w:rsid w:val="040E27E3"/>
    <w:rsid w:val="047F2D99"/>
    <w:rsid w:val="049E088A"/>
    <w:rsid w:val="05511119"/>
    <w:rsid w:val="059622CB"/>
    <w:rsid w:val="05F2473E"/>
    <w:rsid w:val="061F1B34"/>
    <w:rsid w:val="07CA609C"/>
    <w:rsid w:val="07E6312F"/>
    <w:rsid w:val="09253129"/>
    <w:rsid w:val="097529BD"/>
    <w:rsid w:val="0AED2238"/>
    <w:rsid w:val="0BA7755E"/>
    <w:rsid w:val="0C776A4C"/>
    <w:rsid w:val="0CF63E15"/>
    <w:rsid w:val="0D200E92"/>
    <w:rsid w:val="0D7511DD"/>
    <w:rsid w:val="0DE95AD6"/>
    <w:rsid w:val="0E8A3350"/>
    <w:rsid w:val="0EBB70C4"/>
    <w:rsid w:val="0F9C5147"/>
    <w:rsid w:val="0FE12B5A"/>
    <w:rsid w:val="103E7FAD"/>
    <w:rsid w:val="117A5014"/>
    <w:rsid w:val="11C40985"/>
    <w:rsid w:val="122F22A3"/>
    <w:rsid w:val="12E27315"/>
    <w:rsid w:val="13620456"/>
    <w:rsid w:val="13A50343"/>
    <w:rsid w:val="13B567D8"/>
    <w:rsid w:val="148E318C"/>
    <w:rsid w:val="15007F26"/>
    <w:rsid w:val="15FA6724"/>
    <w:rsid w:val="16985F3D"/>
    <w:rsid w:val="18552337"/>
    <w:rsid w:val="190F48BA"/>
    <w:rsid w:val="19102702"/>
    <w:rsid w:val="195720DF"/>
    <w:rsid w:val="19C92FDD"/>
    <w:rsid w:val="1B3F107D"/>
    <w:rsid w:val="1C422BD3"/>
    <w:rsid w:val="1CCA0848"/>
    <w:rsid w:val="1D085BCA"/>
    <w:rsid w:val="1D1C3A08"/>
    <w:rsid w:val="1DA90026"/>
    <w:rsid w:val="1E6908EA"/>
    <w:rsid w:val="1E9516DF"/>
    <w:rsid w:val="1ED16490"/>
    <w:rsid w:val="1EDF0E7F"/>
    <w:rsid w:val="1F325180"/>
    <w:rsid w:val="1F754943"/>
    <w:rsid w:val="1FA718BF"/>
    <w:rsid w:val="1FE96C05"/>
    <w:rsid w:val="20174376"/>
    <w:rsid w:val="20384A18"/>
    <w:rsid w:val="207D68CF"/>
    <w:rsid w:val="20B850CB"/>
    <w:rsid w:val="21582E98"/>
    <w:rsid w:val="216A0C36"/>
    <w:rsid w:val="217F0425"/>
    <w:rsid w:val="22673393"/>
    <w:rsid w:val="22873A35"/>
    <w:rsid w:val="23C6591B"/>
    <w:rsid w:val="24194B61"/>
    <w:rsid w:val="25777034"/>
    <w:rsid w:val="25C805EC"/>
    <w:rsid w:val="26417F96"/>
    <w:rsid w:val="2665408D"/>
    <w:rsid w:val="26BD3E5F"/>
    <w:rsid w:val="27084A19"/>
    <w:rsid w:val="27591D69"/>
    <w:rsid w:val="28331B0A"/>
    <w:rsid w:val="285F01B5"/>
    <w:rsid w:val="2A910503"/>
    <w:rsid w:val="2B3202B6"/>
    <w:rsid w:val="2B7F799F"/>
    <w:rsid w:val="2C0C4FAB"/>
    <w:rsid w:val="2CE13D42"/>
    <w:rsid w:val="2D087520"/>
    <w:rsid w:val="2D2D6F87"/>
    <w:rsid w:val="2DA27975"/>
    <w:rsid w:val="2EF835C5"/>
    <w:rsid w:val="2F234AE5"/>
    <w:rsid w:val="2F4800A8"/>
    <w:rsid w:val="2F927575"/>
    <w:rsid w:val="31A83080"/>
    <w:rsid w:val="31A97836"/>
    <w:rsid w:val="31AB2694"/>
    <w:rsid w:val="31B859B9"/>
    <w:rsid w:val="31FC0F17"/>
    <w:rsid w:val="321B1AA4"/>
    <w:rsid w:val="3273368E"/>
    <w:rsid w:val="3291620A"/>
    <w:rsid w:val="33CC1BDB"/>
    <w:rsid w:val="34327EA0"/>
    <w:rsid w:val="343706EB"/>
    <w:rsid w:val="34CC3529"/>
    <w:rsid w:val="35647C06"/>
    <w:rsid w:val="35B446E9"/>
    <w:rsid w:val="35DE3514"/>
    <w:rsid w:val="35F264B8"/>
    <w:rsid w:val="378B147A"/>
    <w:rsid w:val="37B22EAA"/>
    <w:rsid w:val="38D97FC3"/>
    <w:rsid w:val="38F848ED"/>
    <w:rsid w:val="39BA6046"/>
    <w:rsid w:val="39DA2245"/>
    <w:rsid w:val="3B2B3BCD"/>
    <w:rsid w:val="3BB63B4B"/>
    <w:rsid w:val="3CB66F99"/>
    <w:rsid w:val="3CCC47C1"/>
    <w:rsid w:val="3CF209DB"/>
    <w:rsid w:val="3E6842C3"/>
    <w:rsid w:val="3EDE4585"/>
    <w:rsid w:val="3F4A7E6C"/>
    <w:rsid w:val="3F884C8B"/>
    <w:rsid w:val="3FB069A9"/>
    <w:rsid w:val="40CA5044"/>
    <w:rsid w:val="41C02E3C"/>
    <w:rsid w:val="41D41C6F"/>
    <w:rsid w:val="422A7BDF"/>
    <w:rsid w:val="433C7ACC"/>
    <w:rsid w:val="436C6603"/>
    <w:rsid w:val="44566E59"/>
    <w:rsid w:val="44E27D5B"/>
    <w:rsid w:val="45D71D2E"/>
    <w:rsid w:val="465F3DB0"/>
    <w:rsid w:val="46C55DB4"/>
    <w:rsid w:val="46C93D6D"/>
    <w:rsid w:val="486F26F2"/>
    <w:rsid w:val="48A979B2"/>
    <w:rsid w:val="48C27297"/>
    <w:rsid w:val="491F1203"/>
    <w:rsid w:val="49557B3A"/>
    <w:rsid w:val="4B920BD1"/>
    <w:rsid w:val="4C7E73A7"/>
    <w:rsid w:val="4C893F99"/>
    <w:rsid w:val="4CD313A2"/>
    <w:rsid w:val="4DCF7EBB"/>
    <w:rsid w:val="4E1C29D4"/>
    <w:rsid w:val="4F2002A2"/>
    <w:rsid w:val="4F6D14D3"/>
    <w:rsid w:val="4F9861FC"/>
    <w:rsid w:val="50047304"/>
    <w:rsid w:val="500A342C"/>
    <w:rsid w:val="50AC6291"/>
    <w:rsid w:val="52326C6A"/>
    <w:rsid w:val="523F4EE3"/>
    <w:rsid w:val="532A7941"/>
    <w:rsid w:val="5385202A"/>
    <w:rsid w:val="54492049"/>
    <w:rsid w:val="55570796"/>
    <w:rsid w:val="556B5EF5"/>
    <w:rsid w:val="558B294E"/>
    <w:rsid w:val="567E1E60"/>
    <w:rsid w:val="570010E5"/>
    <w:rsid w:val="574254CC"/>
    <w:rsid w:val="58C919AA"/>
    <w:rsid w:val="58EC00A8"/>
    <w:rsid w:val="59DE3233"/>
    <w:rsid w:val="5A767910"/>
    <w:rsid w:val="5ACE5056"/>
    <w:rsid w:val="5B1A473F"/>
    <w:rsid w:val="5B5B0FE0"/>
    <w:rsid w:val="5C4E46A0"/>
    <w:rsid w:val="5C5A48F7"/>
    <w:rsid w:val="5C741C2D"/>
    <w:rsid w:val="5E0B4875"/>
    <w:rsid w:val="5E761C8C"/>
    <w:rsid w:val="5EAC3900"/>
    <w:rsid w:val="5EB01642"/>
    <w:rsid w:val="5EEE216B"/>
    <w:rsid w:val="60116111"/>
    <w:rsid w:val="60E42019"/>
    <w:rsid w:val="60EB4BB4"/>
    <w:rsid w:val="62E418BB"/>
    <w:rsid w:val="634C56B2"/>
    <w:rsid w:val="637311F2"/>
    <w:rsid w:val="652266CA"/>
    <w:rsid w:val="65412264"/>
    <w:rsid w:val="657A02B4"/>
    <w:rsid w:val="65D33E68"/>
    <w:rsid w:val="663D12E2"/>
    <w:rsid w:val="667B36BC"/>
    <w:rsid w:val="66E04A8F"/>
    <w:rsid w:val="677F7746"/>
    <w:rsid w:val="68242759"/>
    <w:rsid w:val="68305F4C"/>
    <w:rsid w:val="69623539"/>
    <w:rsid w:val="6A975464"/>
    <w:rsid w:val="6B4C44A1"/>
    <w:rsid w:val="6BA33E56"/>
    <w:rsid w:val="6BBB5183"/>
    <w:rsid w:val="6BFB7C75"/>
    <w:rsid w:val="6C895281"/>
    <w:rsid w:val="6F631DB9"/>
    <w:rsid w:val="713E3413"/>
    <w:rsid w:val="735859AD"/>
    <w:rsid w:val="73C80709"/>
    <w:rsid w:val="740E2D29"/>
    <w:rsid w:val="74741F2C"/>
    <w:rsid w:val="75834E1A"/>
    <w:rsid w:val="765B1A3C"/>
    <w:rsid w:val="76B61E01"/>
    <w:rsid w:val="777750AA"/>
    <w:rsid w:val="779854A5"/>
    <w:rsid w:val="77C225AF"/>
    <w:rsid w:val="77E85551"/>
    <w:rsid w:val="785D5F3F"/>
    <w:rsid w:val="792151BF"/>
    <w:rsid w:val="7A0E0CCB"/>
    <w:rsid w:val="7A1B7E60"/>
    <w:rsid w:val="7A74131E"/>
    <w:rsid w:val="7ABB6F4D"/>
    <w:rsid w:val="7B310FBD"/>
    <w:rsid w:val="7C7575D0"/>
    <w:rsid w:val="7C80044E"/>
    <w:rsid w:val="7CC3658D"/>
    <w:rsid w:val="7D545437"/>
    <w:rsid w:val="7E1370A0"/>
    <w:rsid w:val="7E6920E9"/>
    <w:rsid w:val="7F2826D7"/>
    <w:rsid w:val="7F4021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8"/>
    <w:qFormat/>
    <w:uiPriority w:val="0"/>
    <w:pPr>
      <w:keepNext/>
      <w:keepLines/>
      <w:spacing w:before="340" w:after="330" w:line="578" w:lineRule="auto"/>
      <w:jc w:val="center"/>
      <w:outlineLvl w:val="0"/>
    </w:pPr>
    <w:rPr>
      <w:rFonts w:eastAsia="华文行楷"/>
      <w:kern w:val="44"/>
      <w:sz w:val="44"/>
      <w:szCs w:val="20"/>
    </w:rPr>
  </w:style>
  <w:style w:type="paragraph" w:styleId="4">
    <w:name w:val="heading 2"/>
    <w:basedOn w:val="1"/>
    <w:next w:val="1"/>
    <w:link w:val="17"/>
    <w:qFormat/>
    <w:uiPriority w:val="99"/>
    <w:pPr>
      <w:keepNext/>
      <w:keepLines/>
      <w:spacing w:line="360" w:lineRule="auto"/>
      <w:jc w:val="center"/>
      <w:outlineLvl w:val="1"/>
    </w:pPr>
    <w:rPr>
      <w:rFonts w:ascii="Cambria" w:hAnsi="Cambria"/>
      <w:b/>
      <w:bCs/>
      <w:sz w:val="32"/>
      <w:szCs w:val="32"/>
    </w:rPr>
  </w:style>
  <w:style w:type="paragraph" w:styleId="2">
    <w:name w:val="heading 3"/>
    <w:basedOn w:val="1"/>
    <w:next w:val="1"/>
    <w:qFormat/>
    <w:uiPriority w:val="9"/>
    <w:pPr>
      <w:spacing w:line="600" w:lineRule="exact"/>
      <w:ind w:firstLine="640" w:firstLineChars="200"/>
      <w:outlineLvl w:val="2"/>
    </w:pPr>
    <w:rPr>
      <w:rFonts w:ascii="黑体" w:hAnsi="黑体" w:eastAsia="黑体"/>
      <w:color w:val="000000"/>
      <w:szCs w:val="32"/>
    </w:rPr>
  </w:style>
  <w:style w:type="paragraph" w:styleId="5">
    <w:name w:val="heading 4"/>
    <w:basedOn w:val="1"/>
    <w:next w:val="1"/>
    <w:link w:val="2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link w:val="20"/>
    <w:semiHidden/>
    <w:unhideWhenUsed/>
    <w:qFormat/>
    <w:uiPriority w:val="99"/>
    <w:pPr>
      <w:jc w:val="left"/>
    </w:pPr>
  </w:style>
  <w:style w:type="paragraph" w:styleId="7">
    <w:name w:val="Balloon Text"/>
    <w:basedOn w:val="1"/>
    <w:link w:val="22"/>
    <w:semiHidden/>
    <w:unhideWhenUsed/>
    <w:qFormat/>
    <w:uiPriority w:val="99"/>
    <w:rPr>
      <w:sz w:val="18"/>
      <w:szCs w:val="18"/>
    </w:rPr>
  </w:style>
  <w:style w:type="paragraph" w:styleId="8">
    <w:name w:val="footer"/>
    <w:basedOn w:val="1"/>
    <w:link w:val="24"/>
    <w:unhideWhenUsed/>
    <w:qFormat/>
    <w:uiPriority w:val="99"/>
    <w:pPr>
      <w:tabs>
        <w:tab w:val="center" w:pos="4153"/>
        <w:tab w:val="right" w:pos="8306"/>
      </w:tabs>
      <w:snapToGrid w:val="0"/>
      <w:jc w:val="left"/>
    </w:pPr>
    <w:rPr>
      <w:sz w:val="18"/>
      <w:szCs w:val="18"/>
    </w:rPr>
  </w:style>
  <w:style w:type="paragraph" w:styleId="9">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6"/>
    <w:next w:val="6"/>
    <w:link w:val="21"/>
    <w:semiHidden/>
    <w:unhideWhenUsed/>
    <w:qFormat/>
    <w:uiPriority w:val="99"/>
    <w:rPr>
      <w:b/>
      <w:bCs/>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22"/>
    <w:rPr>
      <w:b/>
      <w:bCs/>
    </w:rPr>
  </w:style>
  <w:style w:type="character" w:styleId="16">
    <w:name w:val="annotation reference"/>
    <w:basedOn w:val="14"/>
    <w:semiHidden/>
    <w:unhideWhenUsed/>
    <w:qFormat/>
    <w:uiPriority w:val="99"/>
    <w:rPr>
      <w:sz w:val="21"/>
      <w:szCs w:val="21"/>
    </w:rPr>
  </w:style>
  <w:style w:type="character" w:customStyle="1" w:styleId="17">
    <w:name w:val="标题 2 字符"/>
    <w:basedOn w:val="14"/>
    <w:link w:val="4"/>
    <w:qFormat/>
    <w:uiPriority w:val="99"/>
    <w:rPr>
      <w:rFonts w:ascii="Cambria" w:hAnsi="Cambria" w:eastAsia="宋体" w:cs="Times New Roman"/>
      <w:b/>
      <w:bCs/>
      <w:sz w:val="32"/>
      <w:szCs w:val="32"/>
    </w:rPr>
  </w:style>
  <w:style w:type="character" w:customStyle="1" w:styleId="18">
    <w:name w:val="标题 1 字符"/>
    <w:basedOn w:val="14"/>
    <w:link w:val="3"/>
    <w:qFormat/>
    <w:uiPriority w:val="0"/>
    <w:rPr>
      <w:rFonts w:ascii="Times New Roman" w:hAnsi="Times New Roman" w:eastAsia="华文行楷" w:cs="Times New Roman"/>
      <w:kern w:val="44"/>
      <w:sz w:val="44"/>
      <w:szCs w:val="20"/>
    </w:rPr>
  </w:style>
  <w:style w:type="paragraph" w:customStyle="1" w:styleId="19">
    <w:name w:val="Default"/>
    <w:qFormat/>
    <w:uiPriority w:val="0"/>
    <w:pPr>
      <w:autoSpaceDE w:val="0"/>
      <w:autoSpaceDN w:val="0"/>
      <w:adjustRightInd w:val="0"/>
    </w:pPr>
    <w:rPr>
      <w:rFonts w:ascii="Georgia" w:hAnsi="Georgia" w:eastAsia="宋体" w:cs="Georgia"/>
      <w:color w:val="000000"/>
      <w:sz w:val="24"/>
      <w:szCs w:val="24"/>
      <w:lang w:val="en-US" w:eastAsia="zh-CN" w:bidi="ar-SA"/>
    </w:rPr>
  </w:style>
  <w:style w:type="character" w:customStyle="1" w:styleId="20">
    <w:name w:val="批注文字 字符"/>
    <w:basedOn w:val="14"/>
    <w:link w:val="6"/>
    <w:semiHidden/>
    <w:qFormat/>
    <w:uiPriority w:val="99"/>
    <w:rPr>
      <w:rFonts w:ascii="Times New Roman" w:hAnsi="Times New Roman" w:eastAsia="宋体" w:cs="Times New Roman"/>
      <w:szCs w:val="24"/>
    </w:rPr>
  </w:style>
  <w:style w:type="character" w:customStyle="1" w:styleId="21">
    <w:name w:val="批注主题 字符"/>
    <w:basedOn w:val="20"/>
    <w:link w:val="11"/>
    <w:semiHidden/>
    <w:qFormat/>
    <w:uiPriority w:val="99"/>
    <w:rPr>
      <w:rFonts w:ascii="Times New Roman" w:hAnsi="Times New Roman" w:eastAsia="宋体" w:cs="Times New Roman"/>
      <w:b/>
      <w:bCs/>
      <w:szCs w:val="24"/>
    </w:rPr>
  </w:style>
  <w:style w:type="character" w:customStyle="1" w:styleId="22">
    <w:name w:val="批注框文本 字符"/>
    <w:basedOn w:val="14"/>
    <w:link w:val="7"/>
    <w:semiHidden/>
    <w:qFormat/>
    <w:uiPriority w:val="99"/>
    <w:rPr>
      <w:rFonts w:ascii="Times New Roman" w:hAnsi="Times New Roman" w:eastAsia="宋体" w:cs="Times New Roman"/>
      <w:sz w:val="18"/>
      <w:szCs w:val="18"/>
    </w:rPr>
  </w:style>
  <w:style w:type="character" w:customStyle="1" w:styleId="23">
    <w:name w:val="页眉 字符"/>
    <w:basedOn w:val="14"/>
    <w:link w:val="9"/>
    <w:qFormat/>
    <w:uiPriority w:val="99"/>
    <w:rPr>
      <w:rFonts w:ascii="Times New Roman" w:hAnsi="Times New Roman" w:eastAsia="宋体" w:cs="Times New Roman"/>
      <w:sz w:val="18"/>
      <w:szCs w:val="18"/>
    </w:rPr>
  </w:style>
  <w:style w:type="character" w:customStyle="1" w:styleId="24">
    <w:name w:val="页脚 字符"/>
    <w:basedOn w:val="14"/>
    <w:link w:val="8"/>
    <w:qFormat/>
    <w:uiPriority w:val="99"/>
    <w:rPr>
      <w:rFonts w:ascii="Times New Roman" w:hAnsi="Times New Roman" w:eastAsia="宋体" w:cs="Times New Roman"/>
      <w:sz w:val="18"/>
      <w:szCs w:val="18"/>
    </w:rPr>
  </w:style>
  <w:style w:type="paragraph" w:customStyle="1" w:styleId="25">
    <w:name w:val="vsbcontent_end"/>
    <w:basedOn w:val="1"/>
    <w:qFormat/>
    <w:uiPriority w:val="0"/>
    <w:pPr>
      <w:widowControl/>
      <w:spacing w:before="100" w:beforeAutospacing="1" w:after="100" w:afterAutospacing="1"/>
      <w:jc w:val="left"/>
    </w:pPr>
    <w:rPr>
      <w:rFonts w:ascii="宋体" w:hAnsi="宋体" w:cs="宋体"/>
      <w:kern w:val="0"/>
      <w:sz w:val="24"/>
    </w:rPr>
  </w:style>
  <w:style w:type="paragraph" w:styleId="26">
    <w:name w:val="List Paragraph"/>
    <w:basedOn w:val="1"/>
    <w:qFormat/>
    <w:uiPriority w:val="99"/>
    <w:pPr>
      <w:ind w:firstLine="420" w:firstLineChars="200"/>
    </w:pPr>
  </w:style>
  <w:style w:type="character" w:customStyle="1" w:styleId="27">
    <w:name w:val="标题 4 字符"/>
    <w:basedOn w:val="14"/>
    <w:link w:val="5"/>
    <w:semiHidden/>
    <w:qFormat/>
    <w:uiPriority w:val="9"/>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17E661-3428-4DE2-BE38-9BC014DB4FF6}">
  <ds:schemaRefs/>
</ds:datastoreItem>
</file>

<file path=docProps/app.xml><?xml version="1.0" encoding="utf-8"?>
<Properties xmlns="http://schemas.openxmlformats.org/officeDocument/2006/extended-properties" xmlns:vt="http://schemas.openxmlformats.org/officeDocument/2006/docPropsVTypes">
  <Template>Normal</Template>
  <Company>yanjiushengyuan</Company>
  <Pages>5</Pages>
  <Words>4015</Words>
  <Characters>4182</Characters>
  <Lines>37</Lines>
  <Paragraphs>10</Paragraphs>
  <TotalTime>1</TotalTime>
  <ScaleCrop>false</ScaleCrop>
  <LinksUpToDate>false</LinksUpToDate>
  <CharactersWithSpaces>4285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2025-04-28T23:43:00Z</dcterms:created>
  <dc:creator>刘明旭</dc:creator>
  <cp:lastModifiedBy>碧云霜竹Donald</cp:lastModifiedBy>
  <cp:lastPrinted>2025-03-14T03:17:00Z</cp:lastPrinted>
  <dcterms:modified xsi:type="dcterms:W3CDTF">2025-06-13T08:48:54Z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eyJoZGlkIjoiZWZjYTU2NGY2YzY0NDgzNDFkY2NhZTc1YWNkYjhlMWIiLCJ1c2VySWQiOiIyOTQ1NTAzNTgifQ==</vt:lpwstr>
  </property>
  <property fmtid="{D5CDD505-2E9C-101B-9397-08002B2CF9AE}" pid="4" name="ICV">
    <vt:lpwstr>CE5BA4B2A9944ADDA5E95D471302DC0E_12</vt:lpwstr>
  </property>
</Properties>
</file>